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eastAsia="zh-CN"/>
        </w:rPr>
        <w:t>铁前部白灰上料返粉仓改造工程项目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17</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FF0000"/>
          <w:sz w:val="24"/>
          <w:szCs w:val="24"/>
          <w:u w:val="single"/>
        </w:rPr>
        <w:t>国家建设部门颁发的</w:t>
      </w:r>
      <w:r>
        <w:rPr>
          <w:rFonts w:hint="eastAsia" w:ascii="宋体" w:hAnsi="宋体"/>
          <w:bCs/>
          <w:color w:val="FF0000"/>
          <w:sz w:val="24"/>
          <w:szCs w:val="24"/>
          <w:u w:val="single"/>
          <w:lang w:val="en-US" w:eastAsia="zh-CN"/>
        </w:rPr>
        <w:t>机电</w:t>
      </w:r>
      <w:r>
        <w:rPr>
          <w:rFonts w:hint="eastAsia" w:ascii="宋体" w:hAnsi="宋体"/>
          <w:bCs/>
          <w:color w:val="FF0000"/>
          <w:sz w:val="24"/>
          <w:szCs w:val="24"/>
          <w:u w:val="single"/>
        </w:rPr>
        <w:t>工程施工总承包</w:t>
      </w:r>
      <w:r>
        <w:rPr>
          <w:rFonts w:hint="eastAsia"/>
          <w:color w:val="FF0000"/>
          <w:sz w:val="24"/>
          <w:szCs w:val="24"/>
          <w:u w:val="single"/>
        </w:rPr>
        <w:t>叁级</w:t>
      </w:r>
      <w:r>
        <w:rPr>
          <w:rFonts w:hint="eastAsia" w:ascii="宋体" w:hAnsi="宋体"/>
          <w:bCs/>
          <w:color w:val="FF0000"/>
          <w:sz w:val="24"/>
          <w:szCs w:val="24"/>
          <w:u w:val="single"/>
        </w:rPr>
        <w:t>及以上资质证书</w:t>
      </w:r>
      <w:r>
        <w:rPr>
          <w:rFonts w:hint="eastAsia" w:ascii="宋体" w:hAnsi="宋体"/>
          <w:bCs/>
          <w:color w:val="FF0000"/>
          <w:sz w:val="24"/>
          <w:szCs w:val="24"/>
          <w:u w:val="single"/>
          <w:lang w:val="en-US" w:eastAsia="zh-CN"/>
        </w:rPr>
        <w:t>和建筑</w:t>
      </w:r>
      <w:r>
        <w:rPr>
          <w:rFonts w:hint="eastAsia" w:ascii="宋体" w:hAnsi="宋体"/>
          <w:bCs/>
          <w:color w:val="FF0000"/>
          <w:sz w:val="24"/>
          <w:szCs w:val="24"/>
          <w:u w:val="single"/>
        </w:rPr>
        <w:t>工程施工总承包</w:t>
      </w:r>
      <w:r>
        <w:rPr>
          <w:rFonts w:hint="eastAsia"/>
          <w:color w:val="FF0000"/>
          <w:sz w:val="24"/>
          <w:szCs w:val="24"/>
          <w:u w:val="single"/>
        </w:rPr>
        <w:t>叁级</w:t>
      </w:r>
      <w:r>
        <w:rPr>
          <w:rFonts w:hint="eastAsia" w:ascii="宋体" w:hAnsi="宋体"/>
          <w:bCs/>
          <w:color w:val="FF0000"/>
          <w:sz w:val="24"/>
          <w:szCs w:val="24"/>
          <w:u w:val="single"/>
        </w:rPr>
        <w:t>及以上资质证书</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ascii="宋体" w:hAnsi="宋体"/>
          <w:bCs/>
          <w:color w:val="FF0000"/>
          <w:sz w:val="24"/>
          <w:szCs w:val="24"/>
          <w:u w:val="none"/>
          <w:lang w:val="en-US" w:eastAsia="zh-CN"/>
        </w:rPr>
        <w:t>机电</w:t>
      </w:r>
      <w:r>
        <w:rPr>
          <w:rFonts w:hint="eastAsia" w:ascii="宋体" w:hAnsi="宋体"/>
          <w:bCs/>
          <w:color w:val="FF0000"/>
          <w:sz w:val="24"/>
          <w:szCs w:val="24"/>
          <w:u w:val="none"/>
        </w:rPr>
        <w:t>工程</w:t>
      </w:r>
      <w:r>
        <w:rPr>
          <w:rFonts w:hint="eastAsia" w:ascii="宋体" w:hAnsi="宋体"/>
          <w:bCs/>
          <w:color w:val="FF0000"/>
          <w:sz w:val="24"/>
          <w:szCs w:val="24"/>
          <w:u w:val="none"/>
          <w:lang w:val="en-US" w:eastAsia="zh-CN"/>
        </w:rPr>
        <w:t>或</w:t>
      </w:r>
      <w:r>
        <w:rPr>
          <w:rFonts w:hint="eastAsia" w:hAnsi="宋体"/>
          <w:color w:val="FF0000"/>
          <w:sz w:val="24"/>
          <w:szCs w:val="24"/>
          <w:highlight w:val="none"/>
          <w:u w:val="none"/>
          <w:lang w:val="en-US" w:eastAsia="zh-CN"/>
        </w:rPr>
        <w:t>建筑工程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01</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18</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周  伟</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13095538240</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铁前部白灰上料返粉仓改造工程项目目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铁前部白灰上料返粉仓改造工程项目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exact"/>
        <w:rPr>
          <w:rFonts w:hint="default" w:ascii="宋体" w:hAnsi="宋体"/>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color w:val="auto"/>
          <w:lang w:val="en-US" w:eastAsia="zh-CN"/>
        </w:rPr>
        <w:t>包含：筛下物仓下部锥形段混凝土仓破除改建为钢仓，拆除部分管道和钢结构，配套设备、管道、电控安装等施工</w:t>
      </w:r>
      <w:r>
        <w:rPr>
          <w:rFonts w:hint="eastAsia" w:ascii="宋体" w:hAnsi="宋体"/>
          <w:color w:val="auto"/>
          <w:lang w:val="en-US" w:eastAsia="zh-CN"/>
        </w:rPr>
        <w:t>。</w:t>
      </w:r>
    </w:p>
    <w:p>
      <w:pPr>
        <w:spacing w:line="360" w:lineRule="exact"/>
        <w:rPr>
          <w:rFonts w:hint="eastAsia" w:ascii="宋体" w:hAnsi="宋体"/>
          <w:color w:val="auto"/>
        </w:rPr>
      </w:pP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exact"/>
        <w:rPr>
          <w:rFonts w:hint="eastAsia" w:ascii="宋体" w:hAnsi="宋体"/>
          <w:color w:val="auto"/>
        </w:rPr>
      </w:pPr>
      <w:r>
        <w:rPr>
          <w:rFonts w:hint="eastAsia" w:ascii="宋体" w:hAnsi="宋体"/>
          <w:color w:val="auto"/>
        </w:rPr>
        <w:t>开工日期：202</w:t>
      </w:r>
      <w:r>
        <w:rPr>
          <w:rFonts w:hint="eastAsia" w:ascii="宋体" w:hAnsi="宋体"/>
          <w:color w:val="auto"/>
          <w:lang w:val="en-US" w:eastAsia="zh-CN"/>
        </w:rPr>
        <w:t>2</w:t>
      </w:r>
      <w:r>
        <w:rPr>
          <w:rFonts w:hint="eastAsia" w:ascii="宋体" w:hAnsi="宋体"/>
          <w:color w:val="auto"/>
        </w:rPr>
        <w:t>年</w:t>
      </w:r>
      <w:r>
        <w:rPr>
          <w:rFonts w:hint="eastAsia" w:ascii="宋体" w:hAnsi="宋体"/>
          <w:color w:val="auto"/>
          <w:lang w:val="en-US" w:eastAsia="zh-CN"/>
        </w:rPr>
        <w:t>2</w:t>
      </w:r>
      <w:r>
        <w:rPr>
          <w:rFonts w:hint="eastAsia" w:ascii="宋体" w:hAnsi="宋体"/>
          <w:color w:val="auto"/>
        </w:rPr>
        <w:t>月</w:t>
      </w:r>
      <w:r>
        <w:rPr>
          <w:rFonts w:hint="eastAsia" w:ascii="宋体" w:hAnsi="宋体"/>
          <w:color w:val="auto"/>
          <w:lang w:val="en-US" w:eastAsia="zh-CN"/>
        </w:rPr>
        <w:t>16</w:t>
      </w:r>
      <w:r>
        <w:rPr>
          <w:rFonts w:hint="eastAsia" w:ascii="宋体" w:hAnsi="宋体"/>
          <w:color w:val="auto"/>
        </w:rPr>
        <w:t xml:space="preserve">日（暂定）                                          </w:t>
      </w:r>
    </w:p>
    <w:p>
      <w:pPr>
        <w:spacing w:line="360" w:lineRule="exact"/>
        <w:rPr>
          <w:rFonts w:hint="eastAsia" w:ascii="宋体" w:hAnsi="宋体"/>
          <w:color w:val="auto"/>
        </w:rPr>
      </w:pPr>
      <w:r>
        <w:rPr>
          <w:rFonts w:hint="eastAsia" w:ascii="宋体" w:hAnsi="宋体"/>
          <w:color w:val="auto"/>
        </w:rPr>
        <w:t>竣工日期：202</w:t>
      </w:r>
      <w:r>
        <w:rPr>
          <w:rFonts w:hint="eastAsia" w:ascii="宋体" w:hAnsi="宋体"/>
          <w:color w:val="auto"/>
          <w:lang w:val="en-US" w:eastAsia="zh-CN"/>
        </w:rPr>
        <w:t>2</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2</w:t>
      </w:r>
      <w:r>
        <w:rPr>
          <w:rFonts w:hint="eastAsia" w:ascii="宋体" w:hAnsi="宋体"/>
          <w:color w:val="auto"/>
        </w:rPr>
        <w:t xml:space="preserve">日                                              </w:t>
      </w:r>
    </w:p>
    <w:p>
      <w:pPr>
        <w:spacing w:line="360" w:lineRule="exact"/>
        <w:rPr>
          <w:rFonts w:ascii="宋体" w:hAnsi="宋体"/>
          <w:color w:val="auto"/>
        </w:rPr>
      </w:pPr>
      <w:r>
        <w:rPr>
          <w:rFonts w:hint="eastAsia" w:ascii="宋体" w:hAnsi="宋体"/>
          <w:color w:val="auto"/>
        </w:rPr>
        <w:t>合同工期总日历天数</w:t>
      </w:r>
      <w:r>
        <w:rPr>
          <w:rFonts w:hint="eastAsia" w:ascii="宋体" w:hAnsi="宋体"/>
          <w:color w:val="auto"/>
          <w:lang w:val="en-US" w:eastAsia="zh-CN"/>
        </w:rPr>
        <w:t>75</w:t>
      </w:r>
      <w:r>
        <w:rPr>
          <w:rFonts w:hint="eastAsia" w:ascii="宋体" w:hAnsi="宋体"/>
          <w:color w:val="auto"/>
        </w:rPr>
        <w:t>天</w:t>
      </w:r>
      <w:r>
        <w:rPr>
          <w:rFonts w:hint="eastAsia" w:ascii="宋体" w:hAnsi="宋体"/>
          <w:color w:val="auto"/>
          <w:lang w:val="en-US" w:eastAsia="zh-CN"/>
        </w:rPr>
        <w:t>。</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本工程结算执行《建设工程结算管理暂行办法》。</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该工程钢筋、电缆、阀门由发包人提供，其他所有材料由承包人提供。承包人需优先领用发包人非标定尺和不成捆钢筋，若发包人不能及时提供所需材料，承包方上报自购证明报告，经发包人同意后可由承包人提供。</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单价包干部分材料价差除钢材和混凝土外不予调整，钢材和混凝土价格以2021年第12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工程内容按合同约定执行，开具增值税发票执行9%税率。</w:t>
      </w:r>
    </w:p>
    <w:p>
      <w:pPr>
        <w:numPr>
          <w:ilvl w:val="0"/>
          <w:numId w:val="2"/>
        </w:numPr>
        <w:spacing w:line="360" w:lineRule="exact"/>
        <w:ind w:left="420" w:leftChars="0" w:hanging="420"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发包人在指定位置提供施工电源及水源，之外部分承包人自行承担，现场施工水电费结算时按合同总价的７‰扣除或装表据实扣除。</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color w:val="auto"/>
        </w:rPr>
      </w:pPr>
      <w:r>
        <w:rPr>
          <w:rFonts w:hint="eastAsia" w:ascii="宋体" w:hAnsi="宋体" w:cs="宋体"/>
          <w:color w:val="auto"/>
        </w:rPr>
        <w:t>承包人向工程师提交已完工程量报告的时间：承包人每月20日前向发包人代表提交已完工程量报告，发包人代表收到报告后5日内审核完毕。</w:t>
      </w:r>
    </w:p>
    <w:p>
      <w:pPr>
        <w:spacing w:line="360" w:lineRule="exact"/>
        <w:ind w:firstLine="420" w:firstLineChars="200"/>
        <w:rPr>
          <w:rFonts w:hint="eastAsia" w:ascii="宋体" w:hAnsi="宋体" w:cs="宋体"/>
          <w:color w:val="auto"/>
          <w:lang w:eastAsia="zh-CN"/>
        </w:rPr>
      </w:pPr>
      <w:r>
        <w:rPr>
          <w:rFonts w:hint="eastAsia" w:ascii="宋体" w:hAnsi="宋体" w:cs="宋体"/>
          <w:color w:val="auto"/>
        </w:rPr>
        <w:t>2．双方约定的工程款（进度款）支付的方式：以上工程无预付款；发包人次月按审定的上月进度的70%支付承包人工程款，付款前提供等额增值税专用发票</w:t>
      </w:r>
      <w:r>
        <w:rPr>
          <w:rFonts w:hint="eastAsia" w:ascii="宋体" w:hAnsi="宋体" w:cs="宋体"/>
          <w:color w:val="auto"/>
          <w:lang w:eastAsia="zh-CN"/>
        </w:rPr>
        <w:t>。</w:t>
      </w:r>
    </w:p>
    <w:p>
      <w:pPr>
        <w:spacing w:line="360" w:lineRule="exact"/>
        <w:ind w:firstLine="420" w:firstLineChars="200"/>
        <w:rPr>
          <w:rFonts w:hint="eastAsia" w:ascii="宋体" w:hAnsi="宋体" w:cs="宋体"/>
          <w:color w:val="auto"/>
        </w:rPr>
      </w:pPr>
      <w:r>
        <w:rPr>
          <w:rFonts w:hint="eastAsia" w:ascii="宋体" w:hAnsi="宋体" w:cs="宋体"/>
          <w:color w:val="auto"/>
        </w:rPr>
        <w:t>工程竣工验收合格、结算审核后付至审核价的97%，留3%为质保金，质保金返还按保修规定。承包人应于发包人支付全部或部分工程款项前向发包人开具增值税专用发票，工程款以6个月承兑汇票支付。</w:t>
      </w:r>
    </w:p>
    <w:p>
      <w:pPr>
        <w:spacing w:line="360" w:lineRule="exact"/>
        <w:ind w:firstLine="420" w:firstLineChars="200"/>
        <w:rPr>
          <w:rFonts w:hint="eastAsia" w:ascii="宋体" w:hAnsi="宋体" w:cs="宋体"/>
          <w:color w:val="auto"/>
          <w:lang w:val="en-US" w:eastAsia="zh-CN"/>
        </w:rPr>
      </w:pPr>
      <w:r>
        <w:rPr>
          <w:rFonts w:hint="eastAsia" w:ascii="宋体" w:hAnsi="宋体" w:cs="宋体"/>
          <w:color w:val="auto"/>
        </w:rPr>
        <w:t>结算审核后承包人及时向发包人开具全额增值税专用发票</w:t>
      </w:r>
      <w:r>
        <w:rPr>
          <w:rFonts w:hint="eastAsia" w:ascii="宋体" w:hAnsi="宋体" w:cs="宋体"/>
          <w:color w:val="auto"/>
          <w:lang w:val="en-US" w:eastAsia="zh-CN"/>
        </w:rPr>
        <w:t>。</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211" w:firstLineChars="1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tbl>
      <w:tblPr>
        <w:tblW w:w="15840" w:type="dxa"/>
        <w:tblInd w:w="0" w:type="dxa"/>
        <w:shd w:val="clear"/>
        <w:tblLayout w:type="fixed"/>
        <w:tblCellMar>
          <w:top w:w="0" w:type="dxa"/>
          <w:left w:w="0" w:type="dxa"/>
          <w:bottom w:w="0" w:type="dxa"/>
          <w:right w:w="0" w:type="dxa"/>
        </w:tblCellMar>
      </w:tblPr>
      <w:tblGrid>
        <w:gridCol w:w="419"/>
        <w:gridCol w:w="2086"/>
        <w:gridCol w:w="1630"/>
        <w:gridCol w:w="501"/>
        <w:gridCol w:w="862"/>
        <w:gridCol w:w="10342"/>
      </w:tblGrid>
      <w:tr>
        <w:tblPrEx>
          <w:shd w:val="clear"/>
          <w:tblLayout w:type="fixed"/>
          <w:tblCellMar>
            <w:top w:w="0" w:type="dxa"/>
            <w:left w:w="0" w:type="dxa"/>
            <w:bottom w:w="0" w:type="dxa"/>
            <w:right w:w="0" w:type="dxa"/>
          </w:tblCellMar>
        </w:tblPrEx>
        <w:trPr>
          <w:trHeight w:val="452" w:hRule="atLeast"/>
        </w:trPr>
        <w:tc>
          <w:tcPr>
            <w:tcW w:w="15840"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铁前部白灰上料返粉仓改造工程项目报价单</w:t>
            </w:r>
          </w:p>
        </w:tc>
      </w:tr>
      <w:tr>
        <w:tblPrEx>
          <w:shd w:val="clear"/>
          <w:tblLayout w:type="fixed"/>
          <w:tblCellMar>
            <w:top w:w="0" w:type="dxa"/>
            <w:left w:w="0" w:type="dxa"/>
            <w:bottom w:w="0" w:type="dxa"/>
            <w:right w:w="0" w:type="dxa"/>
          </w:tblCellMar>
        </w:tblPrEx>
        <w:trPr>
          <w:trHeight w:val="312"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分项名称</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施工图号</w:t>
            </w: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工程量</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594"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仓壁振动器安装</w:t>
            </w:r>
          </w:p>
        </w:tc>
        <w:tc>
          <w:tcPr>
            <w:tcW w:w="16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21110113.01J01、21110113.01G01</w:t>
            </w: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包括卸车、运输、倒运、检验、安装、调试、标识等涉及的全部工序及人工费、机械费、材料费、措施费、不可竞争费、税金、水电费等全部费用。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594"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电液动闸阀安装</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套</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包括闸阀和配套法兰的卸车、运输、倒运、安装、标识等涉及的全部工序及人工费、机械费、材料费（不含闸阀及法兰材料费用）、措施费、不可竞争费、税金、水电费等全部费用。</w:t>
            </w:r>
          </w:p>
        </w:tc>
      </w:tr>
      <w:tr>
        <w:tblPrEx>
          <w:shd w:val="clear"/>
          <w:tblLayout w:type="fixed"/>
          <w:tblCellMar>
            <w:top w:w="0" w:type="dxa"/>
            <w:left w:w="0" w:type="dxa"/>
            <w:bottom w:w="0" w:type="dxa"/>
            <w:right w:w="0" w:type="dxa"/>
          </w:tblCellMar>
        </w:tblPrEx>
        <w:trPr>
          <w:trHeight w:val="573"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钢结构制安</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钢漏斗、埋件、梯子、平台、栏杆等所有钢构制安，包括卸车、运输、倒运、制作、安装、除锈、刷漆（含油漆）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594"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钢结构、管道拆除分解</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钢结构、管道的拆除、分解（分解尺寸不大于0.6m）、运送、倒运、等全部工序及涉及的人工费、机械费、材料费、措施费、不可竞争费、税金、水电费等全部费用。由施工现场送至厂内指定地点（以磅单为结算依据）。</w:t>
            </w:r>
          </w:p>
        </w:tc>
      </w:tr>
      <w:tr>
        <w:tblPrEx>
          <w:tblLayout w:type="fixed"/>
          <w:tblCellMar>
            <w:top w:w="0" w:type="dxa"/>
            <w:left w:w="0" w:type="dxa"/>
            <w:bottom w:w="0" w:type="dxa"/>
            <w:right w:w="0" w:type="dxa"/>
          </w:tblCellMar>
        </w:tblPrEx>
        <w:trPr>
          <w:trHeight w:val="615"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混凝土破除</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m3</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包括拆除、运输、倒运等涉及的全部工序及人工费、机械费、材料费、措施费、不可竞争费、税金、水电费等全部费用。由加工厂或施工现场送至芜湖新兴铸管厂内指定地点。</w:t>
            </w:r>
          </w:p>
        </w:tc>
      </w:tr>
      <w:tr>
        <w:tblPrEx>
          <w:shd w:val="clear"/>
          <w:tblLayout w:type="fixed"/>
          <w:tblCellMar>
            <w:top w:w="0" w:type="dxa"/>
            <w:left w:w="0" w:type="dxa"/>
            <w:bottom w:w="0" w:type="dxa"/>
            <w:right w:w="0" w:type="dxa"/>
          </w:tblCellMar>
        </w:tblPrEx>
        <w:trPr>
          <w:trHeight w:val="615"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混凝土浇筑</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m3</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包括运输、卸车、浇筑、振捣、养护、脚手架等涉及的全部工序及人工费、机械费、材料费、措施费、不可竞争费、税金、水电费等全部费用。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615"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钢筋制安</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包括卸车、运输、倒运、制作、安装等涉及的全部工序及人工费、机械费、材料费(不含钢筋材料费)、措施费、不可竞争费、税金、水电费等全部费用。</w:t>
            </w:r>
          </w:p>
        </w:tc>
      </w:tr>
      <w:tr>
        <w:tblPrEx>
          <w:tblLayout w:type="fixed"/>
          <w:tblCellMar>
            <w:top w:w="0" w:type="dxa"/>
            <w:left w:w="0" w:type="dxa"/>
            <w:bottom w:w="0" w:type="dxa"/>
            <w:right w:w="0" w:type="dxa"/>
          </w:tblCellMar>
        </w:tblPrEx>
        <w:trPr>
          <w:trHeight w:val="626" w:hRule="atLeast"/>
        </w:trPr>
        <w:tc>
          <w:tcPr>
            <w:tcW w:w="41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20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优惠率（不包含材料费）</w:t>
            </w:r>
          </w:p>
        </w:tc>
        <w:tc>
          <w:tcPr>
            <w:tcW w:w="1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w:t>
            </w:r>
          </w:p>
        </w:tc>
        <w:tc>
          <w:tcPr>
            <w:tcW w:w="8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暂估金额20000元</w:t>
            </w:r>
          </w:p>
        </w:tc>
        <w:tc>
          <w:tcPr>
            <w:tcW w:w="103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bookmarkStart w:id="3" w:name="_GoBack"/>
            <w:bookmarkEnd w:id="3"/>
            <w:r>
              <w:rPr>
                <w:rFonts w:hint="eastAsia" w:ascii="宋体" w:hAnsi="宋体" w:eastAsia="宋体" w:cs="宋体"/>
                <w:i w:val="0"/>
                <w:color w:val="000000"/>
                <w:kern w:val="0"/>
                <w:sz w:val="20"/>
                <w:szCs w:val="20"/>
                <w:u w:val="none"/>
                <w:bdr w:val="none" w:color="auto" w:sz="0" w:space="0"/>
                <w:lang w:val="en-US" w:eastAsia="zh-CN" w:bidi="ar"/>
              </w:rPr>
              <w:t>拦标价：1%。执行2018版安徽省建设工程计价定额及配套费用定额，材料费不参与总价优惠。措施费以签证形式据实计取，二次搬运费不计取。报价折算百分比公式，优惠率=（暂估金额-报价）/暂估金额*100%。</w:t>
            </w:r>
          </w:p>
        </w:tc>
      </w:tr>
    </w:tbl>
    <w:p>
      <w:pPr>
        <w:tabs>
          <w:tab w:val="left" w:pos="720"/>
          <w:tab w:val="left" w:pos="7200"/>
        </w:tabs>
        <w:snapToGrid w:val="0"/>
        <w:spacing w:line="240" w:lineRule="auto"/>
        <w:ind w:firstLine="240" w:firstLineChars="100"/>
        <w:rPr>
          <w:b/>
          <w:color w:val="auto"/>
        </w:rPr>
        <w:sectPr>
          <w:pgSz w:w="16840" w:h="11900" w:orient="landscape"/>
          <w:pgMar w:top="1361" w:right="1582" w:bottom="981" w:left="278" w:header="720" w:footer="720" w:gutter="0"/>
          <w:cols w:space="0" w:num="1"/>
          <w:rtlGutter w:val="0"/>
          <w:docGrid w:linePitch="0" w:charSpace="0"/>
        </w:sectPr>
      </w:pPr>
      <w:r>
        <w:rPr>
          <w:rFonts w:hint="eastAsia" w:ascii="宋体" w:hAnsi="宋体" w:cs="宋体"/>
          <w:color w:val="auto"/>
          <w:sz w:val="24"/>
          <w:szCs w:val="24"/>
          <w:lang w:val="en-US" w:eastAsia="zh-CN"/>
        </w:rPr>
        <w:t xml:space="preserve">                             </w:t>
      </w: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15291886"/>
      <w:bookmarkStart w:id="1" w:name="_Toc532887698"/>
      <w:bookmarkStart w:id="2" w:name="_Toc15231775"/>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5F62028"/>
    <w:rsid w:val="083D3F56"/>
    <w:rsid w:val="08806402"/>
    <w:rsid w:val="08CA7F4E"/>
    <w:rsid w:val="0A047221"/>
    <w:rsid w:val="0A0901C8"/>
    <w:rsid w:val="0B4A7DF3"/>
    <w:rsid w:val="0DFC1491"/>
    <w:rsid w:val="0E4F2C23"/>
    <w:rsid w:val="0F454D3F"/>
    <w:rsid w:val="104501EF"/>
    <w:rsid w:val="121B22D6"/>
    <w:rsid w:val="133E6E16"/>
    <w:rsid w:val="13B43725"/>
    <w:rsid w:val="140F383A"/>
    <w:rsid w:val="14197C48"/>
    <w:rsid w:val="1A33768E"/>
    <w:rsid w:val="1C7E1688"/>
    <w:rsid w:val="1C8160E7"/>
    <w:rsid w:val="1CAB7BE0"/>
    <w:rsid w:val="1DC136C9"/>
    <w:rsid w:val="214D2E1E"/>
    <w:rsid w:val="21D2437C"/>
    <w:rsid w:val="21F73AF2"/>
    <w:rsid w:val="23883F50"/>
    <w:rsid w:val="24C93CD8"/>
    <w:rsid w:val="24E835CF"/>
    <w:rsid w:val="27B106C3"/>
    <w:rsid w:val="282A37D0"/>
    <w:rsid w:val="28754C22"/>
    <w:rsid w:val="29AB06DF"/>
    <w:rsid w:val="29EF4459"/>
    <w:rsid w:val="2A62363C"/>
    <w:rsid w:val="2AFF2879"/>
    <w:rsid w:val="2C604D81"/>
    <w:rsid w:val="2CA46661"/>
    <w:rsid w:val="2FFE36B1"/>
    <w:rsid w:val="310A5319"/>
    <w:rsid w:val="326329B3"/>
    <w:rsid w:val="34481C4C"/>
    <w:rsid w:val="364C51F0"/>
    <w:rsid w:val="37CA36AB"/>
    <w:rsid w:val="386D04A2"/>
    <w:rsid w:val="39913532"/>
    <w:rsid w:val="3A100A0A"/>
    <w:rsid w:val="3A9E2574"/>
    <w:rsid w:val="3B9F0063"/>
    <w:rsid w:val="3C062CAD"/>
    <w:rsid w:val="3D5977E3"/>
    <w:rsid w:val="400A7CF7"/>
    <w:rsid w:val="426C16C4"/>
    <w:rsid w:val="42B5472A"/>
    <w:rsid w:val="467B56CD"/>
    <w:rsid w:val="47807B49"/>
    <w:rsid w:val="4786146B"/>
    <w:rsid w:val="49806F97"/>
    <w:rsid w:val="4A1D777A"/>
    <w:rsid w:val="4BEB70CE"/>
    <w:rsid w:val="4C2439BA"/>
    <w:rsid w:val="4C6D4D7D"/>
    <w:rsid w:val="4C6F1F1E"/>
    <w:rsid w:val="4EF83610"/>
    <w:rsid w:val="4FC1072C"/>
    <w:rsid w:val="51C85998"/>
    <w:rsid w:val="526A207D"/>
    <w:rsid w:val="53966193"/>
    <w:rsid w:val="54DA0463"/>
    <w:rsid w:val="558D3BDC"/>
    <w:rsid w:val="56266223"/>
    <w:rsid w:val="56F435CB"/>
    <w:rsid w:val="57181B7C"/>
    <w:rsid w:val="579A163B"/>
    <w:rsid w:val="58251DDC"/>
    <w:rsid w:val="58DD36A6"/>
    <w:rsid w:val="5953468B"/>
    <w:rsid w:val="59A06F0E"/>
    <w:rsid w:val="5ACF5D45"/>
    <w:rsid w:val="5D634D0C"/>
    <w:rsid w:val="5E513B46"/>
    <w:rsid w:val="5F297010"/>
    <w:rsid w:val="5F533CAB"/>
    <w:rsid w:val="607B250C"/>
    <w:rsid w:val="65100BCA"/>
    <w:rsid w:val="66296C18"/>
    <w:rsid w:val="67B90FFF"/>
    <w:rsid w:val="67E85B48"/>
    <w:rsid w:val="68BB783B"/>
    <w:rsid w:val="6998730F"/>
    <w:rsid w:val="6BFA79CF"/>
    <w:rsid w:val="6CDE16B5"/>
    <w:rsid w:val="6DF65BBA"/>
    <w:rsid w:val="6EE72E54"/>
    <w:rsid w:val="6F286C4E"/>
    <w:rsid w:val="71A34979"/>
    <w:rsid w:val="724E1F86"/>
    <w:rsid w:val="72FE5A07"/>
    <w:rsid w:val="73F30113"/>
    <w:rsid w:val="7481717E"/>
    <w:rsid w:val="74E73BF7"/>
    <w:rsid w:val="75037D3A"/>
    <w:rsid w:val="765207B1"/>
    <w:rsid w:val="77676C2F"/>
    <w:rsid w:val="782F64FC"/>
    <w:rsid w:val="7A1268BD"/>
    <w:rsid w:val="7A471BC2"/>
    <w:rsid w:val="7BBC59D1"/>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6</TotalTime>
  <ScaleCrop>false</ScaleCrop>
  <LinksUpToDate>false</LinksUpToDate>
  <CharactersWithSpaces>11263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2022-01-17T02:35:02Z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9C715AAECA884F55A9461866D6FA45E2</vt:lpwstr>
  </property>
</Properties>
</file>