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12" w:rsidRDefault="002F5812">
      <w:pPr>
        <w:spacing w:line="360" w:lineRule="auto"/>
        <w:jc w:val="center"/>
        <w:rPr>
          <w:b/>
          <w:sz w:val="48"/>
          <w:szCs w:val="48"/>
        </w:rPr>
      </w:pPr>
    </w:p>
    <w:p w:rsidR="002F5812" w:rsidRDefault="002F5812">
      <w:pPr>
        <w:spacing w:line="360" w:lineRule="auto"/>
        <w:jc w:val="center"/>
        <w:rPr>
          <w:b/>
          <w:sz w:val="48"/>
          <w:szCs w:val="48"/>
        </w:rPr>
      </w:pPr>
    </w:p>
    <w:p w:rsidR="002F5812" w:rsidRDefault="001257CE">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2F5812" w:rsidRDefault="002F5812">
      <w:pPr>
        <w:spacing w:line="360" w:lineRule="auto"/>
        <w:jc w:val="center"/>
        <w:rPr>
          <w:b/>
          <w:sz w:val="48"/>
          <w:szCs w:val="48"/>
        </w:rPr>
      </w:pPr>
    </w:p>
    <w:p w:rsidR="002F5812" w:rsidRDefault="002F5812">
      <w:pPr>
        <w:spacing w:line="360" w:lineRule="auto"/>
        <w:jc w:val="center"/>
        <w:rPr>
          <w:b/>
          <w:sz w:val="48"/>
          <w:szCs w:val="48"/>
        </w:rPr>
      </w:pPr>
    </w:p>
    <w:p w:rsidR="002F5812" w:rsidRDefault="001257CE">
      <w:pPr>
        <w:spacing w:line="360" w:lineRule="auto"/>
        <w:jc w:val="center"/>
        <w:rPr>
          <w:b/>
          <w:sz w:val="48"/>
          <w:szCs w:val="48"/>
        </w:rPr>
      </w:pPr>
      <w:r>
        <w:rPr>
          <w:rFonts w:hint="eastAsia"/>
          <w:b/>
          <w:sz w:val="48"/>
          <w:szCs w:val="48"/>
        </w:rPr>
        <w:t>芜湖新兴新材料产业园有限公司</w:t>
      </w:r>
    </w:p>
    <w:p w:rsidR="002F5812" w:rsidRDefault="001257CE">
      <w:pPr>
        <w:spacing w:line="360" w:lineRule="auto"/>
        <w:jc w:val="center"/>
        <w:rPr>
          <w:b/>
          <w:sz w:val="48"/>
          <w:szCs w:val="48"/>
        </w:rPr>
      </w:pPr>
      <w:r>
        <w:rPr>
          <w:rFonts w:hint="eastAsia"/>
          <w:b/>
          <w:sz w:val="48"/>
          <w:szCs w:val="48"/>
        </w:rPr>
        <w:t>废管件、浇道破碎</w:t>
      </w:r>
      <w:r>
        <w:rPr>
          <w:rFonts w:hint="eastAsia"/>
          <w:b/>
          <w:sz w:val="48"/>
          <w:szCs w:val="48"/>
        </w:rPr>
        <w:t>外包</w:t>
      </w:r>
    </w:p>
    <w:p w:rsidR="002F5812" w:rsidRDefault="002F5812">
      <w:pPr>
        <w:spacing w:line="360" w:lineRule="auto"/>
        <w:jc w:val="center"/>
        <w:rPr>
          <w:b/>
          <w:sz w:val="48"/>
          <w:szCs w:val="48"/>
        </w:rPr>
      </w:pPr>
    </w:p>
    <w:p w:rsidR="002F5812" w:rsidRDefault="002F5812">
      <w:pPr>
        <w:spacing w:line="360" w:lineRule="auto"/>
        <w:rPr>
          <w:rFonts w:ascii="仿宋_GB2312" w:eastAsia="仿宋_GB2312"/>
          <w:bCs/>
          <w:kern w:val="0"/>
          <w:sz w:val="44"/>
          <w:szCs w:val="44"/>
        </w:rPr>
      </w:pPr>
    </w:p>
    <w:p w:rsidR="002F5812" w:rsidRDefault="002F5812">
      <w:pPr>
        <w:rPr>
          <w:rFonts w:ascii="仿宋_GB2312" w:eastAsia="仿宋_GB2312" w:hAnsi="宋体"/>
          <w:sz w:val="44"/>
          <w:szCs w:val="44"/>
        </w:rPr>
      </w:pPr>
    </w:p>
    <w:p w:rsidR="002F5812" w:rsidRDefault="001257CE">
      <w:pPr>
        <w:spacing w:line="800" w:lineRule="exact"/>
        <w:jc w:val="center"/>
        <w:rPr>
          <w:b/>
          <w:sz w:val="84"/>
          <w:szCs w:val="84"/>
        </w:rPr>
      </w:pPr>
      <w:r>
        <w:rPr>
          <w:rFonts w:hint="eastAsia"/>
          <w:b/>
          <w:sz w:val="84"/>
          <w:szCs w:val="84"/>
        </w:rPr>
        <w:t>招标文件</w:t>
      </w:r>
    </w:p>
    <w:p w:rsidR="002F5812" w:rsidRDefault="002F5812">
      <w:pPr>
        <w:rPr>
          <w:rFonts w:ascii="仿宋_GB2312" w:eastAsia="仿宋_GB2312"/>
          <w:bCs/>
          <w:kern w:val="0"/>
          <w:sz w:val="52"/>
          <w:szCs w:val="52"/>
        </w:rPr>
      </w:pPr>
    </w:p>
    <w:p w:rsidR="002F5812" w:rsidRDefault="002F5812">
      <w:pPr>
        <w:rPr>
          <w:rFonts w:ascii="仿宋_GB2312" w:eastAsia="仿宋_GB2312"/>
          <w:bCs/>
          <w:kern w:val="0"/>
          <w:sz w:val="52"/>
          <w:szCs w:val="52"/>
        </w:rPr>
      </w:pPr>
    </w:p>
    <w:p w:rsidR="002F5812" w:rsidRDefault="002F5812">
      <w:pPr>
        <w:rPr>
          <w:rFonts w:ascii="仿宋_GB2312" w:eastAsia="仿宋_GB2312"/>
          <w:bCs/>
          <w:kern w:val="0"/>
          <w:sz w:val="52"/>
          <w:szCs w:val="52"/>
        </w:rPr>
      </w:pPr>
    </w:p>
    <w:p w:rsidR="002F5812" w:rsidRDefault="002F5812">
      <w:pPr>
        <w:rPr>
          <w:rFonts w:ascii="仿宋_GB2312" w:eastAsia="仿宋_GB2312"/>
          <w:bCs/>
          <w:kern w:val="0"/>
          <w:sz w:val="52"/>
          <w:szCs w:val="52"/>
        </w:rPr>
      </w:pPr>
    </w:p>
    <w:p w:rsidR="002F5812" w:rsidRDefault="002F5812">
      <w:pPr>
        <w:rPr>
          <w:rFonts w:ascii="仿宋_GB2312" w:eastAsia="仿宋_GB2312"/>
          <w:bCs/>
          <w:kern w:val="0"/>
          <w:sz w:val="36"/>
          <w:szCs w:val="36"/>
        </w:rPr>
      </w:pPr>
    </w:p>
    <w:p w:rsidR="002F5812" w:rsidRDefault="002F5812">
      <w:pPr>
        <w:rPr>
          <w:rFonts w:ascii="仿宋_GB2312" w:eastAsia="仿宋_GB2312"/>
          <w:bCs/>
          <w:kern w:val="0"/>
          <w:sz w:val="36"/>
          <w:szCs w:val="36"/>
        </w:rPr>
      </w:pPr>
    </w:p>
    <w:p w:rsidR="002F5812" w:rsidRDefault="002F5812">
      <w:pPr>
        <w:jc w:val="center"/>
        <w:rPr>
          <w:rFonts w:ascii="仿宋_GB2312" w:eastAsia="仿宋_GB2312"/>
          <w:bCs/>
          <w:kern w:val="0"/>
          <w:sz w:val="36"/>
          <w:szCs w:val="36"/>
        </w:rPr>
      </w:pPr>
    </w:p>
    <w:p w:rsidR="002F5812" w:rsidRDefault="001257CE">
      <w:pPr>
        <w:jc w:val="center"/>
        <w:rPr>
          <w:rFonts w:ascii="宋体" w:hAnsi="宋体"/>
          <w:b/>
          <w:bCs/>
          <w:kern w:val="0"/>
          <w:sz w:val="44"/>
          <w:szCs w:val="44"/>
        </w:rPr>
      </w:pPr>
      <w:r>
        <w:rPr>
          <w:rFonts w:ascii="宋体" w:hAnsi="宋体" w:hint="eastAsia"/>
          <w:b/>
          <w:bCs/>
          <w:kern w:val="0"/>
          <w:sz w:val="44"/>
          <w:szCs w:val="44"/>
        </w:rPr>
        <w:t>芜湖新兴</w:t>
      </w:r>
      <w:r>
        <w:rPr>
          <w:rFonts w:ascii="宋体" w:hAnsi="宋体" w:hint="eastAsia"/>
          <w:b/>
          <w:sz w:val="44"/>
          <w:szCs w:val="44"/>
        </w:rPr>
        <w:t>新材料产业园有限公司</w:t>
      </w:r>
    </w:p>
    <w:p w:rsidR="002F5812" w:rsidRDefault="002F5812">
      <w:pPr>
        <w:spacing w:line="360" w:lineRule="auto"/>
        <w:rPr>
          <w:rFonts w:ascii="仿宋_GB2312" w:eastAsia="仿宋_GB2312" w:hAnsi="宋体" w:cs="宋体"/>
          <w:kern w:val="0"/>
          <w:sz w:val="28"/>
          <w:szCs w:val="28"/>
        </w:rPr>
        <w:sectPr w:rsidR="002F5812">
          <w:headerReference w:type="default" r:id="rId8"/>
          <w:footerReference w:type="default" r:id="rId9"/>
          <w:pgSz w:w="11906" w:h="16838"/>
          <w:pgMar w:top="1247" w:right="1797" w:bottom="1247" w:left="1797" w:header="851" w:footer="992" w:gutter="0"/>
          <w:cols w:space="720"/>
          <w:docGrid w:type="lines" w:linePitch="312"/>
        </w:sectPr>
      </w:pPr>
    </w:p>
    <w:p w:rsidR="002F5812" w:rsidRDefault="000B601B" w:rsidP="000B601B">
      <w:pPr>
        <w:spacing w:line="360" w:lineRule="auto"/>
        <w:ind w:firstLineChars="200" w:firstLine="480"/>
        <w:rPr>
          <w:rFonts w:ascii="宋体" w:hAnsi="宋体"/>
          <w:b/>
          <w:sz w:val="24"/>
        </w:rPr>
      </w:pPr>
      <w:r>
        <w:rPr>
          <w:rFonts w:hint="eastAsia"/>
          <w:bCs/>
          <w:sz w:val="24"/>
        </w:rPr>
        <w:lastRenderedPageBreak/>
        <w:t>芜湖新兴新材料产业园有限公司</w:t>
      </w:r>
      <w:r w:rsidR="001257CE">
        <w:rPr>
          <w:rFonts w:ascii="宋体" w:hAnsi="宋体" w:hint="eastAsia"/>
          <w:sz w:val="24"/>
        </w:rPr>
        <w:t>系新兴铸管股份有限公司（以下简称新兴铸管或股份公司）独立投资，建于芜湖三山区滨江工业园的年产</w:t>
      </w:r>
      <w:r w:rsidR="001257CE">
        <w:rPr>
          <w:rFonts w:ascii="宋体" w:hAnsi="宋体" w:hint="eastAsia"/>
          <w:sz w:val="24"/>
        </w:rPr>
        <w:t>5</w:t>
      </w:r>
      <w:r w:rsidR="001257CE">
        <w:rPr>
          <w:rFonts w:ascii="宋体" w:hAnsi="宋体" w:hint="eastAsia"/>
          <w:sz w:val="24"/>
        </w:rPr>
        <w:t>万吨专业化球铁管件生产车间，一期工程设计产能为</w:t>
      </w:r>
      <w:r w:rsidR="001257CE">
        <w:rPr>
          <w:rFonts w:ascii="宋体" w:hAnsi="宋体" w:hint="eastAsia"/>
          <w:sz w:val="24"/>
        </w:rPr>
        <w:t>3</w:t>
      </w:r>
      <w:r w:rsidR="001257CE">
        <w:rPr>
          <w:rFonts w:ascii="宋体" w:hAnsi="宋体" w:hint="eastAsia"/>
          <w:sz w:val="24"/>
        </w:rPr>
        <w:t>万吨</w:t>
      </w:r>
      <w:r w:rsidR="001257CE">
        <w:rPr>
          <w:rFonts w:ascii="宋体" w:hAnsi="宋体" w:hint="eastAsia"/>
          <w:sz w:val="24"/>
        </w:rPr>
        <w:t>/</w:t>
      </w:r>
      <w:r w:rsidR="001257CE">
        <w:rPr>
          <w:rFonts w:ascii="宋体" w:hAnsi="宋体" w:hint="eastAsia"/>
          <w:sz w:val="24"/>
        </w:rPr>
        <w:t>年，其中每年</w:t>
      </w:r>
      <w:r>
        <w:rPr>
          <w:rFonts w:ascii="宋体" w:hAnsi="宋体" w:hint="eastAsia"/>
          <w:sz w:val="24"/>
        </w:rPr>
        <w:t>约</w:t>
      </w:r>
      <w:r w:rsidR="001257CE">
        <w:rPr>
          <w:rFonts w:ascii="宋体" w:hAnsi="宋体" w:hint="eastAsia"/>
          <w:sz w:val="24"/>
        </w:rPr>
        <w:t>产生</w:t>
      </w:r>
      <w:r w:rsidR="001257CE">
        <w:rPr>
          <w:rFonts w:ascii="宋体" w:hAnsi="宋体" w:hint="eastAsia"/>
          <w:sz w:val="24"/>
        </w:rPr>
        <w:t>7500</w:t>
      </w:r>
      <w:r w:rsidR="001257CE">
        <w:rPr>
          <w:rFonts w:ascii="宋体" w:hAnsi="宋体" w:hint="eastAsia"/>
          <w:sz w:val="24"/>
        </w:rPr>
        <w:t>吨浇道、废品</w:t>
      </w:r>
      <w:r w:rsidR="001257CE">
        <w:rPr>
          <w:rFonts w:ascii="宋体" w:hAnsi="宋体" w:hint="eastAsia"/>
          <w:sz w:val="24"/>
        </w:rPr>
        <w:t>,</w:t>
      </w:r>
      <w:r w:rsidR="001257CE">
        <w:rPr>
          <w:rFonts w:ascii="宋体" w:hAnsi="宋体" w:hint="eastAsia"/>
          <w:sz w:val="24"/>
        </w:rPr>
        <w:t>本公司（招标方）拟将该浇道、废品的破碎以承包形式，按照公开、公平、公正的精神，实行公开招标外包，现将有关招标事项说明如下</w:t>
      </w:r>
      <w:r w:rsidR="001257CE">
        <w:rPr>
          <w:rFonts w:ascii="宋体" w:hAnsi="宋体" w:hint="eastAsia"/>
          <w:sz w:val="24"/>
        </w:rPr>
        <w:t>:</w:t>
      </w:r>
    </w:p>
    <w:p w:rsidR="002F5812" w:rsidRDefault="001257CE">
      <w:pPr>
        <w:numPr>
          <w:ilvl w:val="0"/>
          <w:numId w:val="1"/>
        </w:numPr>
        <w:spacing w:line="360" w:lineRule="auto"/>
        <w:rPr>
          <w:rFonts w:ascii="宋体" w:hAnsi="宋体"/>
          <w:sz w:val="24"/>
        </w:rPr>
      </w:pPr>
      <w:r>
        <w:rPr>
          <w:rFonts w:ascii="宋体" w:hAnsi="宋体" w:hint="eastAsia"/>
          <w:sz w:val="24"/>
        </w:rPr>
        <w:t>招标内容</w:t>
      </w:r>
    </w:p>
    <w:p w:rsidR="002F5812" w:rsidRDefault="001257CE">
      <w:pPr>
        <w:pStyle w:val="a3"/>
        <w:numPr>
          <w:ilvl w:val="0"/>
          <w:numId w:val="2"/>
        </w:numPr>
        <w:snapToGrid w:val="0"/>
        <w:spacing w:line="360" w:lineRule="auto"/>
        <w:rPr>
          <w:rFonts w:hAnsi="宋体"/>
          <w:sz w:val="24"/>
          <w:szCs w:val="24"/>
        </w:rPr>
      </w:pPr>
      <w:r>
        <w:rPr>
          <w:rFonts w:hAnsi="宋体" w:hint="eastAsia"/>
          <w:sz w:val="24"/>
          <w:szCs w:val="24"/>
        </w:rPr>
        <w:t>管件园产生的废管件及浇冒口按标准破碎后倒运至招标方指定地点。</w:t>
      </w:r>
    </w:p>
    <w:p w:rsidR="002F5812" w:rsidRDefault="001257CE">
      <w:pPr>
        <w:pStyle w:val="a3"/>
        <w:numPr>
          <w:ilvl w:val="0"/>
          <w:numId w:val="2"/>
        </w:numPr>
        <w:snapToGrid w:val="0"/>
        <w:spacing w:line="360" w:lineRule="auto"/>
        <w:rPr>
          <w:rFonts w:asciiTheme="minorEastAsia" w:hAnsiTheme="minorEastAsia"/>
          <w:sz w:val="24"/>
          <w:szCs w:val="24"/>
        </w:rPr>
      </w:pPr>
      <w:r>
        <w:rPr>
          <w:rFonts w:asciiTheme="minorEastAsia" w:hAnsiTheme="minorEastAsia" w:hint="eastAsia"/>
          <w:sz w:val="24"/>
          <w:szCs w:val="24"/>
        </w:rPr>
        <w:t>破碎的废管件及浇冒口大小尽量均匀，最大对角线长度不能超过</w:t>
      </w:r>
      <w:r>
        <w:rPr>
          <w:rFonts w:asciiTheme="minorEastAsia" w:hAnsiTheme="minorEastAsia" w:hint="eastAsia"/>
          <w:sz w:val="24"/>
          <w:szCs w:val="24"/>
        </w:rPr>
        <w:t>400</w:t>
      </w:r>
      <w:r>
        <w:rPr>
          <w:rFonts w:asciiTheme="minorEastAsia" w:hAnsiTheme="minorEastAsia" w:hint="eastAsia"/>
          <w:sz w:val="24"/>
          <w:szCs w:val="24"/>
        </w:rPr>
        <w:t>毫米。对不符合标准的，甲方不予接收。</w:t>
      </w:r>
    </w:p>
    <w:p w:rsidR="002F5812" w:rsidRDefault="001257CE">
      <w:pPr>
        <w:pStyle w:val="a3"/>
        <w:numPr>
          <w:ilvl w:val="0"/>
          <w:numId w:val="2"/>
        </w:numPr>
        <w:snapToGrid w:val="0"/>
        <w:spacing w:line="360" w:lineRule="auto"/>
        <w:rPr>
          <w:rFonts w:asciiTheme="minorEastAsia" w:hAnsiTheme="minorEastAsia"/>
          <w:sz w:val="24"/>
          <w:szCs w:val="24"/>
        </w:rPr>
      </w:pPr>
      <w:r>
        <w:rPr>
          <w:rFonts w:asciiTheme="minorEastAsia" w:hAnsiTheme="minorEastAsia" w:hint="eastAsia"/>
          <w:sz w:val="24"/>
          <w:szCs w:val="24"/>
        </w:rPr>
        <w:t>进出所产</w:t>
      </w:r>
      <w:r>
        <w:rPr>
          <w:rFonts w:asciiTheme="minorEastAsia" w:hAnsiTheme="minorEastAsia" w:hint="eastAsia"/>
          <w:sz w:val="24"/>
          <w:szCs w:val="24"/>
        </w:rPr>
        <w:t>生的吨位差不允许超过总量的</w:t>
      </w:r>
      <w:r>
        <w:rPr>
          <w:rFonts w:asciiTheme="minorEastAsia" w:hAnsiTheme="minorEastAsia" w:hint="eastAsia"/>
          <w:sz w:val="24"/>
          <w:szCs w:val="24"/>
        </w:rPr>
        <w:t>0.5%</w:t>
      </w:r>
      <w:r>
        <w:rPr>
          <w:rFonts w:asciiTheme="minorEastAsia" w:hAnsiTheme="minorEastAsia" w:hint="eastAsia"/>
          <w:sz w:val="24"/>
          <w:szCs w:val="24"/>
        </w:rPr>
        <w:t>，否则按当期芜湖新兴铸管有限责任公司外销（购）生铁价格两倍进行考核。</w:t>
      </w:r>
    </w:p>
    <w:p w:rsidR="002F5812" w:rsidRDefault="001257CE">
      <w:pPr>
        <w:rPr>
          <w:rFonts w:hAnsi="宋体" w:cs="Tahoma"/>
          <w:kern w:val="0"/>
          <w:sz w:val="24"/>
        </w:rPr>
      </w:pPr>
      <w:r>
        <w:rPr>
          <w:rFonts w:hAnsi="宋体" w:hint="eastAsia"/>
          <w:sz w:val="24"/>
        </w:rPr>
        <w:t xml:space="preserve">4.  </w:t>
      </w:r>
      <w:r>
        <w:rPr>
          <w:rFonts w:hAnsi="宋体" w:hint="eastAsia"/>
          <w:sz w:val="24"/>
        </w:rPr>
        <w:t>投标方自备工器具与生产辅助材料</w:t>
      </w:r>
      <w:r>
        <w:rPr>
          <w:rFonts w:hAnsi="宋体" w:cs="Tahoma" w:hint="eastAsia"/>
          <w:kern w:val="0"/>
          <w:sz w:val="24"/>
        </w:rPr>
        <w:t>。</w:t>
      </w:r>
    </w:p>
    <w:p w:rsidR="002F5812" w:rsidRDefault="001257CE">
      <w:pPr>
        <w:pStyle w:val="1"/>
        <w:numPr>
          <w:ilvl w:val="0"/>
          <w:numId w:val="3"/>
        </w:numPr>
        <w:spacing w:line="360" w:lineRule="auto"/>
        <w:ind w:firstLineChars="0"/>
        <w:rPr>
          <w:rFonts w:ascii="宋体" w:hAnsi="宋体"/>
          <w:sz w:val="24"/>
        </w:rPr>
      </w:pPr>
      <w:r>
        <w:rPr>
          <w:rFonts w:ascii="宋体" w:hAnsi="宋体" w:hint="eastAsia"/>
          <w:sz w:val="24"/>
        </w:rPr>
        <w:t>参标方资质要求</w:t>
      </w:r>
    </w:p>
    <w:p w:rsidR="002F5812" w:rsidRDefault="001257CE">
      <w:pPr>
        <w:pStyle w:val="a3"/>
        <w:numPr>
          <w:ilvl w:val="0"/>
          <w:numId w:val="4"/>
        </w:numPr>
        <w:snapToGrid w:val="0"/>
        <w:spacing w:line="360" w:lineRule="auto"/>
        <w:rPr>
          <w:rFonts w:hAnsi="宋体"/>
          <w:sz w:val="24"/>
          <w:szCs w:val="24"/>
        </w:rPr>
      </w:pPr>
      <w:r>
        <w:rPr>
          <w:rFonts w:hAnsi="宋体" w:hint="eastAsia"/>
          <w:sz w:val="24"/>
          <w:szCs w:val="24"/>
        </w:rPr>
        <w:t>注册资金</w:t>
      </w:r>
      <w:r>
        <w:rPr>
          <w:rFonts w:hAnsi="宋体" w:hint="eastAsia"/>
          <w:sz w:val="24"/>
          <w:szCs w:val="24"/>
        </w:rPr>
        <w:t>100</w:t>
      </w:r>
      <w:r>
        <w:rPr>
          <w:rFonts w:hAnsi="宋体" w:hint="eastAsia"/>
          <w:sz w:val="24"/>
          <w:szCs w:val="24"/>
        </w:rPr>
        <w:t>万元以上</w:t>
      </w:r>
      <w:r>
        <w:rPr>
          <w:rFonts w:hAnsi="宋体" w:hint="eastAsia"/>
          <w:sz w:val="24"/>
          <w:szCs w:val="24"/>
        </w:rPr>
        <w:t>(</w:t>
      </w:r>
      <w:r>
        <w:rPr>
          <w:rFonts w:hAnsi="宋体" w:hint="eastAsia"/>
          <w:sz w:val="24"/>
          <w:szCs w:val="24"/>
        </w:rPr>
        <w:t>含</w:t>
      </w:r>
      <w:r>
        <w:rPr>
          <w:rFonts w:hAnsi="宋体" w:hint="eastAsia"/>
          <w:sz w:val="24"/>
          <w:szCs w:val="24"/>
        </w:rPr>
        <w:t>100</w:t>
      </w:r>
      <w:r>
        <w:rPr>
          <w:rFonts w:hAnsi="宋体" w:hint="eastAsia"/>
          <w:sz w:val="24"/>
          <w:szCs w:val="24"/>
        </w:rPr>
        <w:t>万元</w:t>
      </w:r>
      <w:r>
        <w:rPr>
          <w:rFonts w:hAnsi="宋体" w:hint="eastAsia"/>
          <w:sz w:val="24"/>
          <w:szCs w:val="24"/>
        </w:rPr>
        <w:t>)</w:t>
      </w:r>
      <w:r>
        <w:rPr>
          <w:rFonts w:hAnsi="宋体" w:hint="eastAsia"/>
          <w:sz w:val="24"/>
          <w:szCs w:val="24"/>
        </w:rPr>
        <w:t>；</w:t>
      </w:r>
    </w:p>
    <w:p w:rsidR="002F5812" w:rsidRDefault="001257CE">
      <w:pPr>
        <w:pStyle w:val="a3"/>
        <w:numPr>
          <w:ilvl w:val="0"/>
          <w:numId w:val="4"/>
        </w:numPr>
        <w:snapToGrid w:val="0"/>
        <w:spacing w:line="360" w:lineRule="auto"/>
        <w:rPr>
          <w:rFonts w:hAnsi="宋体"/>
          <w:sz w:val="24"/>
          <w:szCs w:val="24"/>
        </w:rPr>
      </w:pPr>
      <w:r>
        <w:rPr>
          <w:rFonts w:hAnsi="宋体" w:hint="eastAsia"/>
          <w:sz w:val="24"/>
          <w:szCs w:val="24"/>
        </w:rPr>
        <w:t>无不良记录（法律、经济、前科）证明；</w:t>
      </w:r>
    </w:p>
    <w:p w:rsidR="002F5812" w:rsidRDefault="001257CE">
      <w:pPr>
        <w:pStyle w:val="1"/>
        <w:numPr>
          <w:ilvl w:val="0"/>
          <w:numId w:val="3"/>
        </w:numPr>
        <w:spacing w:line="360" w:lineRule="auto"/>
        <w:ind w:firstLineChars="0"/>
        <w:rPr>
          <w:rFonts w:ascii="宋体" w:hAnsi="宋体"/>
          <w:sz w:val="24"/>
        </w:rPr>
      </w:pPr>
      <w:r>
        <w:rPr>
          <w:rFonts w:ascii="宋体" w:hAnsi="宋体" w:hint="eastAsia"/>
          <w:sz w:val="24"/>
        </w:rPr>
        <w:t>开标时间及评标办法：</w:t>
      </w:r>
    </w:p>
    <w:p w:rsidR="002F5812" w:rsidRDefault="001257CE">
      <w:pPr>
        <w:pStyle w:val="a3"/>
        <w:numPr>
          <w:ilvl w:val="0"/>
          <w:numId w:val="5"/>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8</w:t>
      </w:r>
      <w:r>
        <w:rPr>
          <w:rFonts w:hAnsi="宋体" w:hint="eastAsia"/>
          <w:sz w:val="24"/>
          <w:szCs w:val="24"/>
        </w:rPr>
        <w:t>日～</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15</w:t>
      </w:r>
      <w:r>
        <w:rPr>
          <w:rFonts w:hAnsi="宋体" w:hint="eastAsia"/>
          <w:sz w:val="24"/>
          <w:szCs w:val="24"/>
        </w:rPr>
        <w:t>日，每天</w:t>
      </w:r>
      <w:r>
        <w:rPr>
          <w:rFonts w:hAnsi="宋体" w:hint="eastAsia"/>
          <w:sz w:val="24"/>
          <w:szCs w:val="24"/>
        </w:rPr>
        <w:t>9:15</w:t>
      </w:r>
      <w:r>
        <w:rPr>
          <w:rFonts w:hAnsi="宋体" w:hint="eastAsia"/>
          <w:sz w:val="24"/>
          <w:szCs w:val="24"/>
        </w:rPr>
        <w:t>～</w:t>
      </w:r>
      <w:r>
        <w:rPr>
          <w:rFonts w:hAnsi="宋体" w:hint="eastAsia"/>
          <w:sz w:val="24"/>
          <w:szCs w:val="24"/>
        </w:rPr>
        <w:t>11:45</w:t>
      </w:r>
      <w:r>
        <w:rPr>
          <w:rFonts w:hAnsi="宋体" w:hint="eastAsia"/>
          <w:sz w:val="24"/>
          <w:szCs w:val="24"/>
        </w:rPr>
        <w:t>，</w:t>
      </w:r>
      <w:r>
        <w:rPr>
          <w:rFonts w:hAnsi="宋体" w:hint="eastAsia"/>
          <w:sz w:val="24"/>
          <w:szCs w:val="24"/>
        </w:rPr>
        <w:t>13:00</w:t>
      </w:r>
      <w:r>
        <w:rPr>
          <w:rFonts w:hAnsi="宋体" w:hint="eastAsia"/>
          <w:sz w:val="24"/>
          <w:szCs w:val="24"/>
        </w:rPr>
        <w:t>～</w:t>
      </w:r>
      <w:r>
        <w:rPr>
          <w:rFonts w:hAnsi="宋体" w:hint="eastAsia"/>
          <w:sz w:val="24"/>
          <w:szCs w:val="24"/>
        </w:rPr>
        <w:t>17:00</w:t>
      </w:r>
      <w:r>
        <w:rPr>
          <w:rFonts w:hAnsi="宋体" w:hint="eastAsia"/>
          <w:sz w:val="24"/>
          <w:szCs w:val="24"/>
        </w:rPr>
        <w:t>发放。</w:t>
      </w:r>
    </w:p>
    <w:p w:rsidR="002F5812" w:rsidRDefault="001257CE">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2F5812" w:rsidRDefault="001257CE">
      <w:pPr>
        <w:pStyle w:val="a3"/>
        <w:numPr>
          <w:ilvl w:val="0"/>
          <w:numId w:val="5"/>
        </w:numPr>
        <w:snapToGrid w:val="0"/>
        <w:spacing w:line="360" w:lineRule="auto"/>
        <w:rPr>
          <w:rFonts w:hAnsi="宋体"/>
          <w:sz w:val="24"/>
          <w:szCs w:val="24"/>
        </w:rPr>
      </w:pPr>
      <w:r>
        <w:rPr>
          <w:rFonts w:hAnsi="宋体" w:hint="eastAsia"/>
          <w:sz w:val="24"/>
          <w:szCs w:val="24"/>
        </w:rPr>
        <w:t>答疑时间、地点：</w:t>
      </w:r>
      <w:r>
        <w:rPr>
          <w:rFonts w:hAnsi="宋体"/>
          <w:sz w:val="24"/>
          <w:szCs w:val="24"/>
        </w:rPr>
        <w:t>2</w:t>
      </w:r>
      <w:r>
        <w:rPr>
          <w:rFonts w:hAnsi="宋体"/>
          <w:sz w:val="24"/>
          <w:szCs w:val="24"/>
        </w:rPr>
        <w:t>0</w:t>
      </w:r>
      <w:r>
        <w:rPr>
          <w:rFonts w:hAnsi="宋体" w:hint="eastAsia"/>
          <w:sz w:val="24"/>
          <w:szCs w:val="24"/>
        </w:rPr>
        <w:t>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13:30</w:t>
      </w:r>
      <w:r>
        <w:rPr>
          <w:rFonts w:hAnsi="宋体" w:hint="eastAsia"/>
          <w:sz w:val="24"/>
          <w:szCs w:val="24"/>
        </w:rPr>
        <w:t>，</w:t>
      </w:r>
      <w:r>
        <w:rPr>
          <w:rFonts w:hAnsi="宋体" w:hint="eastAsia"/>
          <w:sz w:val="24"/>
        </w:rPr>
        <w:t>招标方芜湖新兴新材料产业园调度室会议室。</w:t>
      </w:r>
    </w:p>
    <w:p w:rsidR="002F5812" w:rsidRDefault="001257CE">
      <w:pPr>
        <w:pStyle w:val="a3"/>
        <w:numPr>
          <w:ilvl w:val="0"/>
          <w:numId w:val="5"/>
        </w:numPr>
        <w:snapToGrid w:val="0"/>
        <w:spacing w:line="360" w:lineRule="auto"/>
        <w:rPr>
          <w:rFonts w:hAnsi="宋体"/>
          <w:sz w:val="24"/>
          <w:szCs w:val="24"/>
        </w:rPr>
      </w:pPr>
      <w:r>
        <w:rPr>
          <w:rFonts w:hAnsi="宋体" w:hint="eastAsia"/>
          <w:sz w:val="24"/>
          <w:szCs w:val="24"/>
        </w:rPr>
        <w:t>招标时间和地点：将于</w:t>
      </w:r>
      <w:r>
        <w:rPr>
          <w:rFonts w:hAnsi="宋体" w:hint="eastAsia"/>
          <w:sz w:val="24"/>
          <w:szCs w:val="24"/>
        </w:rPr>
        <w:t>2015</w:t>
      </w:r>
      <w:r>
        <w:rPr>
          <w:rFonts w:hAnsi="宋体" w:hint="eastAsia"/>
          <w:sz w:val="24"/>
          <w:szCs w:val="24"/>
        </w:rPr>
        <w:t>年</w:t>
      </w:r>
      <w:r>
        <w:rPr>
          <w:rFonts w:hAnsi="宋体" w:hint="eastAsia"/>
          <w:sz w:val="24"/>
          <w:szCs w:val="24"/>
        </w:rPr>
        <w:t>12</w:t>
      </w:r>
      <w:r>
        <w:rPr>
          <w:rFonts w:hAnsi="宋体" w:hint="eastAsia"/>
          <w:sz w:val="24"/>
          <w:szCs w:val="24"/>
        </w:rPr>
        <w:t>月</w:t>
      </w:r>
      <w:r>
        <w:rPr>
          <w:rFonts w:hAnsi="宋体" w:hint="eastAsia"/>
          <w:sz w:val="24"/>
          <w:szCs w:val="24"/>
        </w:rPr>
        <w:t>17</w:t>
      </w:r>
      <w:r>
        <w:rPr>
          <w:rFonts w:hAnsi="宋体" w:hint="eastAsia"/>
          <w:sz w:val="24"/>
          <w:szCs w:val="24"/>
        </w:rPr>
        <w:t>日</w:t>
      </w:r>
      <w:r>
        <w:rPr>
          <w:rFonts w:hAnsi="宋体" w:hint="eastAsia"/>
          <w:sz w:val="24"/>
          <w:szCs w:val="24"/>
        </w:rPr>
        <w:t>13:30</w:t>
      </w:r>
      <w:r>
        <w:rPr>
          <w:rFonts w:hAnsi="宋体" w:hint="eastAsia"/>
          <w:sz w:val="24"/>
          <w:szCs w:val="24"/>
        </w:rPr>
        <w:t>在招标方</w:t>
      </w:r>
      <w:r>
        <w:rPr>
          <w:rFonts w:hAnsi="宋体" w:hint="eastAsia"/>
          <w:sz w:val="24"/>
        </w:rPr>
        <w:t>芜湖新兴新材料产业园调度室会议室</w:t>
      </w:r>
      <w:r>
        <w:rPr>
          <w:rFonts w:hAnsi="宋体" w:hint="eastAsia"/>
          <w:sz w:val="24"/>
          <w:szCs w:val="24"/>
        </w:rPr>
        <w:t>。</w:t>
      </w:r>
    </w:p>
    <w:p w:rsidR="002F5812" w:rsidRDefault="001257CE">
      <w:pPr>
        <w:pStyle w:val="a3"/>
        <w:numPr>
          <w:ilvl w:val="0"/>
          <w:numId w:val="5"/>
        </w:numPr>
        <w:snapToGrid w:val="0"/>
        <w:spacing w:line="360" w:lineRule="auto"/>
        <w:rPr>
          <w:rFonts w:hAnsi="宋体"/>
          <w:sz w:val="24"/>
          <w:szCs w:val="24"/>
        </w:rPr>
      </w:pPr>
      <w:r>
        <w:rPr>
          <w:rFonts w:hAnsi="宋体" w:hint="eastAsia"/>
          <w:sz w:val="24"/>
          <w:szCs w:val="24"/>
        </w:rPr>
        <w:t>现场开标，投标书当众启封，由招标方评标小组根据资质、报价、业绩、标书等情况，实行打分制，分值较高的前两位投标人分别为第一第二推选中标单位，呈报招标方公司领导审批。</w:t>
      </w:r>
    </w:p>
    <w:p w:rsidR="002F5812" w:rsidRDefault="001257CE">
      <w:pPr>
        <w:pStyle w:val="a3"/>
        <w:numPr>
          <w:ilvl w:val="0"/>
          <w:numId w:val="5"/>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lastRenderedPageBreak/>
        <w:t>四、投标方工作责任</w:t>
      </w:r>
    </w:p>
    <w:p w:rsidR="002F5812" w:rsidRDefault="001257CE">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2F5812" w:rsidRDefault="001257CE">
      <w:pPr>
        <w:pStyle w:val="a3"/>
        <w:numPr>
          <w:ilvl w:val="0"/>
          <w:numId w:val="6"/>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投标方所有工作人员必须按照招标方规定进行四级安全教育，严格遵守公司厂规厂纪，否则一切影响及损失由投标方承担、负责。通过岗标培训考核合格认定后，具备本岗位操作能力方可上岗。</w:t>
      </w:r>
    </w:p>
    <w:p w:rsidR="002F5812" w:rsidRDefault="001257CE">
      <w:pPr>
        <w:pStyle w:val="a3"/>
        <w:numPr>
          <w:ilvl w:val="0"/>
          <w:numId w:val="6"/>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2F5812" w:rsidRDefault="001257CE">
      <w:pPr>
        <w:pStyle w:val="a3"/>
        <w:numPr>
          <w:ilvl w:val="0"/>
          <w:numId w:val="6"/>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rsidR="002F5812" w:rsidRDefault="001257CE">
      <w:pPr>
        <w:pStyle w:val="a3"/>
        <w:numPr>
          <w:ilvl w:val="0"/>
          <w:numId w:val="6"/>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投标方管理人员必须参加招标方有关生产调度、工艺质量、设备保障等专题会议，以方便双方配合工作，相关纪律执行招标方制度。</w:t>
      </w:r>
    </w:p>
    <w:p w:rsidR="002F5812" w:rsidRDefault="001257CE">
      <w:pPr>
        <w:pStyle w:val="a3"/>
        <w:numPr>
          <w:ilvl w:val="0"/>
          <w:numId w:val="6"/>
        </w:numPr>
        <w:snapToGrid w:val="0"/>
        <w:spacing w:line="360" w:lineRule="auto"/>
        <w:rPr>
          <w:rFonts w:hAnsi="宋体"/>
          <w:sz w:val="24"/>
          <w:szCs w:val="24"/>
        </w:rPr>
      </w:pPr>
      <w:r>
        <w:rPr>
          <w:rFonts w:hAnsi="宋体" w:hint="eastAsia"/>
          <w:sz w:val="24"/>
          <w:szCs w:val="24"/>
        </w:rPr>
        <w:t>投标方管理者要采取切实有效保障措施保证不</w:t>
      </w:r>
      <w:r>
        <w:rPr>
          <w:rFonts w:hAnsi="宋体" w:hint="eastAsia"/>
          <w:sz w:val="24"/>
          <w:szCs w:val="24"/>
        </w:rPr>
        <w:t>影响招标方生产，否则招标方将按自身制度标准考核投标方。</w:t>
      </w:r>
    </w:p>
    <w:p w:rsidR="002F5812" w:rsidRDefault="001257CE">
      <w:pPr>
        <w:pStyle w:val="a3"/>
        <w:numPr>
          <w:ilvl w:val="0"/>
          <w:numId w:val="6"/>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招标方有权按照相关影响和损坏的直接、间接损失对投标方进行索赔。</w:t>
      </w:r>
    </w:p>
    <w:p w:rsidR="002F5812" w:rsidRDefault="001257CE">
      <w:pPr>
        <w:pStyle w:val="a3"/>
        <w:numPr>
          <w:ilvl w:val="0"/>
          <w:numId w:val="6"/>
        </w:numPr>
        <w:snapToGrid w:val="0"/>
        <w:spacing w:line="360" w:lineRule="auto"/>
        <w:rPr>
          <w:rFonts w:hAnsi="宋体"/>
          <w:sz w:val="24"/>
          <w:szCs w:val="24"/>
        </w:rPr>
      </w:pPr>
      <w:r>
        <w:rPr>
          <w:rFonts w:hAnsi="宋体" w:hint="eastAsia"/>
          <w:sz w:val="24"/>
          <w:szCs w:val="24"/>
        </w:rPr>
        <w:t>投标方必须严格按照招标方生产指令组织作业，按时完成下达的生产计划。</w:t>
      </w:r>
    </w:p>
    <w:p w:rsidR="002F5812" w:rsidRDefault="001257CE">
      <w:pPr>
        <w:pStyle w:val="a3"/>
        <w:numPr>
          <w:ilvl w:val="0"/>
          <w:numId w:val="6"/>
        </w:numPr>
        <w:snapToGrid w:val="0"/>
        <w:spacing w:line="360" w:lineRule="auto"/>
        <w:rPr>
          <w:rFonts w:hAnsi="宋体"/>
          <w:sz w:val="24"/>
          <w:szCs w:val="24"/>
        </w:rPr>
      </w:pPr>
      <w:r>
        <w:rPr>
          <w:rFonts w:hAnsi="宋体" w:hint="eastAsia"/>
          <w:sz w:val="24"/>
          <w:szCs w:val="24"/>
        </w:rPr>
        <w:t>投标方须认真执行《工艺操作规程》，确保产品质量，对不符合质量标准的招标方拒收，投标方承担全部损失。</w:t>
      </w:r>
    </w:p>
    <w:p w:rsidR="002F5812" w:rsidRDefault="001257CE">
      <w:pPr>
        <w:pStyle w:val="a3"/>
        <w:numPr>
          <w:ilvl w:val="0"/>
          <w:numId w:val="6"/>
        </w:numPr>
        <w:snapToGrid w:val="0"/>
        <w:spacing w:line="360" w:lineRule="auto"/>
        <w:rPr>
          <w:rFonts w:hAnsi="宋体"/>
          <w:sz w:val="24"/>
          <w:szCs w:val="24"/>
        </w:rPr>
      </w:pPr>
      <w:r>
        <w:rPr>
          <w:rFonts w:hAnsi="宋体" w:hint="eastAsia"/>
          <w:sz w:val="24"/>
          <w:szCs w:val="24"/>
        </w:rPr>
        <w:t>投标方必须杜绝违章作业</w:t>
      </w:r>
      <w:r>
        <w:rPr>
          <w:rFonts w:hAnsi="宋体" w:hint="eastAsia"/>
          <w:sz w:val="24"/>
          <w:szCs w:val="24"/>
        </w:rPr>
        <w:t>、违章指挥、违犯劳动纪律，严禁疲劳作业、酒后上班，避免安全事故。</w:t>
      </w:r>
    </w:p>
    <w:p w:rsidR="002F5812" w:rsidRDefault="001257CE">
      <w:pPr>
        <w:pStyle w:val="a3"/>
        <w:snapToGrid w:val="0"/>
        <w:spacing w:line="360" w:lineRule="auto"/>
        <w:ind w:left="360" w:hangingChars="150" w:hanging="360"/>
        <w:rPr>
          <w:rFonts w:hAnsi="宋体"/>
          <w:sz w:val="24"/>
          <w:szCs w:val="24"/>
        </w:rPr>
      </w:pPr>
      <w:bookmarkStart w:id="0" w:name="_GoBack"/>
      <w:bookmarkEnd w:id="0"/>
      <w:r>
        <w:rPr>
          <w:rFonts w:hAnsi="宋体" w:hint="eastAsia"/>
          <w:sz w:val="24"/>
          <w:szCs w:val="24"/>
        </w:rPr>
        <w:t>五、双方约定</w:t>
      </w:r>
    </w:p>
    <w:p w:rsidR="002F5812" w:rsidRDefault="001257CE">
      <w:pPr>
        <w:pStyle w:val="a3"/>
        <w:numPr>
          <w:ilvl w:val="0"/>
          <w:numId w:val="7"/>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2F5812" w:rsidRDefault="001257CE">
      <w:pPr>
        <w:pStyle w:val="a3"/>
        <w:numPr>
          <w:ilvl w:val="0"/>
          <w:numId w:val="7"/>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2F5812" w:rsidRDefault="001257CE">
      <w:pPr>
        <w:pStyle w:val="a3"/>
        <w:numPr>
          <w:ilvl w:val="0"/>
          <w:numId w:val="7"/>
        </w:numPr>
        <w:snapToGrid w:val="0"/>
        <w:spacing w:line="360" w:lineRule="auto"/>
        <w:rPr>
          <w:rFonts w:hAnsi="宋体"/>
          <w:sz w:val="24"/>
          <w:szCs w:val="24"/>
        </w:rPr>
      </w:pPr>
      <w:r>
        <w:rPr>
          <w:rFonts w:hAnsi="宋体" w:hint="eastAsia"/>
          <w:sz w:val="24"/>
          <w:szCs w:val="24"/>
        </w:rPr>
        <w:lastRenderedPageBreak/>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2F5812" w:rsidRDefault="001257CE">
      <w:pPr>
        <w:pStyle w:val="a3"/>
        <w:numPr>
          <w:ilvl w:val="0"/>
          <w:numId w:val="7"/>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2F5812" w:rsidRDefault="001257CE">
      <w:pPr>
        <w:pStyle w:val="a3"/>
        <w:numPr>
          <w:ilvl w:val="0"/>
          <w:numId w:val="7"/>
        </w:numPr>
        <w:snapToGrid w:val="0"/>
        <w:spacing w:line="360" w:lineRule="auto"/>
        <w:rPr>
          <w:rFonts w:hAnsi="宋体"/>
          <w:sz w:val="24"/>
          <w:szCs w:val="24"/>
        </w:rPr>
      </w:pPr>
      <w:r>
        <w:rPr>
          <w:rFonts w:hAnsi="宋体" w:hint="eastAsia"/>
          <w:sz w:val="24"/>
          <w:szCs w:val="24"/>
        </w:rPr>
        <w:t>投标方须遵守招标</w:t>
      </w:r>
      <w:r>
        <w:rPr>
          <w:rFonts w:hAnsi="宋体" w:hint="eastAsia"/>
          <w:sz w:val="24"/>
          <w:szCs w:val="24"/>
        </w:rPr>
        <w:t>方的现场管理制度，必须符合</w:t>
      </w:r>
      <w:r>
        <w:rPr>
          <w:rFonts w:hAnsi="宋体" w:hint="eastAsia"/>
          <w:sz w:val="24"/>
          <w:szCs w:val="24"/>
        </w:rPr>
        <w:t>6S</w:t>
      </w:r>
      <w:r>
        <w:rPr>
          <w:rFonts w:hAnsi="宋体" w:hint="eastAsia"/>
          <w:sz w:val="24"/>
          <w:szCs w:val="24"/>
        </w:rPr>
        <w:t>相关标准和要求，如有违反，按招标方现场和</w:t>
      </w:r>
      <w:r>
        <w:rPr>
          <w:rFonts w:hAnsi="宋体" w:hint="eastAsia"/>
          <w:sz w:val="24"/>
          <w:szCs w:val="24"/>
        </w:rPr>
        <w:t>6S</w:t>
      </w:r>
      <w:r>
        <w:rPr>
          <w:rFonts w:hAnsi="宋体" w:hint="eastAsia"/>
          <w:sz w:val="24"/>
          <w:szCs w:val="24"/>
        </w:rPr>
        <w:t>管理制度给予考核。</w:t>
      </w:r>
    </w:p>
    <w:p w:rsidR="002F5812" w:rsidRDefault="001257CE">
      <w:pPr>
        <w:pStyle w:val="a3"/>
        <w:numPr>
          <w:ilvl w:val="0"/>
          <w:numId w:val="7"/>
        </w:numPr>
        <w:snapToGrid w:val="0"/>
        <w:spacing w:line="360" w:lineRule="auto"/>
        <w:rPr>
          <w:rFonts w:hAnsi="宋体"/>
          <w:sz w:val="24"/>
          <w:szCs w:val="24"/>
        </w:rPr>
      </w:pPr>
      <w:r>
        <w:rPr>
          <w:rFonts w:hAnsi="宋体" w:hint="eastAsia"/>
          <w:sz w:val="24"/>
          <w:szCs w:val="24"/>
        </w:rPr>
        <w:t>投标方中标后须预付</w:t>
      </w:r>
      <w:r>
        <w:rPr>
          <w:rFonts w:hAnsi="宋体" w:hint="eastAsia"/>
          <w:sz w:val="24"/>
          <w:szCs w:val="24"/>
        </w:rPr>
        <w:t>10</w:t>
      </w:r>
      <w:r>
        <w:rPr>
          <w:rFonts w:hAnsi="宋体" w:hint="eastAsia"/>
          <w:sz w:val="24"/>
          <w:szCs w:val="24"/>
        </w:rPr>
        <w:t>万元资金到招标方财务作为履约保证金，一旦发生重大生产、安全、质量事故影响，将扣除该费用，终止合同。</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六、结算方式：</w:t>
      </w:r>
    </w:p>
    <w:p w:rsidR="002F5812" w:rsidRDefault="001257CE" w:rsidP="000B601B">
      <w:pPr>
        <w:pStyle w:val="a3"/>
        <w:tabs>
          <w:tab w:val="left" w:pos="425"/>
        </w:tabs>
        <w:snapToGrid w:val="0"/>
        <w:spacing w:line="360" w:lineRule="auto"/>
        <w:ind w:left="425"/>
        <w:rPr>
          <w:rFonts w:hAnsi="宋体"/>
          <w:sz w:val="24"/>
          <w:szCs w:val="24"/>
        </w:rPr>
      </w:pPr>
      <w:r>
        <w:rPr>
          <w:rFonts w:hAnsi="宋体" w:hint="eastAsia"/>
          <w:sz w:val="24"/>
          <w:szCs w:val="24"/>
        </w:rPr>
        <w:t>正常生产费用结算：</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结算费用</w:t>
      </w:r>
      <w:r>
        <w:rPr>
          <w:rFonts w:hAnsi="宋体" w:hint="eastAsia"/>
          <w:sz w:val="24"/>
          <w:szCs w:val="24"/>
        </w:rPr>
        <w:t>=</w:t>
      </w:r>
      <w:r>
        <w:rPr>
          <w:rFonts w:hAnsi="宋体" w:hint="eastAsia"/>
          <w:sz w:val="24"/>
          <w:szCs w:val="24"/>
        </w:rPr>
        <w:t>月破碎的各种废管件、浇道的总量×</w:t>
      </w:r>
      <w:r>
        <w:rPr>
          <w:rFonts w:hAnsi="宋体" w:hint="eastAsia"/>
          <w:sz w:val="24"/>
        </w:rPr>
        <w:t>招标单价</w:t>
      </w:r>
      <w:r>
        <w:rPr>
          <w:rFonts w:hAnsi="宋体" w:hint="eastAsia"/>
          <w:sz w:val="24"/>
        </w:rPr>
        <w:t>(</w:t>
      </w:r>
      <w:r>
        <w:rPr>
          <w:rFonts w:hAnsi="宋体" w:hint="eastAsia"/>
          <w:sz w:val="24"/>
        </w:rPr>
        <w:t>元</w:t>
      </w:r>
      <w:r>
        <w:rPr>
          <w:rFonts w:hAnsi="宋体" w:hint="eastAsia"/>
          <w:sz w:val="24"/>
        </w:rPr>
        <w:t>/</w:t>
      </w:r>
      <w:r>
        <w:rPr>
          <w:rFonts w:hAnsi="宋体" w:hint="eastAsia"/>
          <w:sz w:val="24"/>
        </w:rPr>
        <w:t>吨</w:t>
      </w:r>
      <w:r>
        <w:rPr>
          <w:rFonts w:hAnsi="宋体" w:hint="eastAsia"/>
          <w:sz w:val="24"/>
        </w:rPr>
        <w:t>)</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p>
    <w:p w:rsidR="002F5812" w:rsidRDefault="001257CE">
      <w:pPr>
        <w:pStyle w:val="a3"/>
        <w:numPr>
          <w:ilvl w:val="0"/>
          <w:numId w:val="9"/>
        </w:numPr>
        <w:snapToGrid w:val="0"/>
        <w:spacing w:line="360" w:lineRule="auto"/>
        <w:rPr>
          <w:rFonts w:hAnsi="宋体"/>
          <w:sz w:val="24"/>
          <w:szCs w:val="24"/>
        </w:rPr>
      </w:pPr>
      <w:r>
        <w:rPr>
          <w:rFonts w:hAnsi="宋体" w:hint="eastAsia"/>
          <w:sz w:val="24"/>
          <w:szCs w:val="24"/>
        </w:rPr>
        <w:t>投标人资格标准：</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必须具有独立法人资格，投标时带营业执照副本或加盖公章的复印件。</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投标方确保能及时、保质、保量的完成招标方交给的生产任务，生产过程中不得耽误招标方的正常生产工作。</w:t>
      </w:r>
    </w:p>
    <w:p w:rsidR="002F5812" w:rsidRDefault="001257CE">
      <w:pPr>
        <w:pStyle w:val="a3"/>
        <w:numPr>
          <w:ilvl w:val="0"/>
          <w:numId w:val="9"/>
        </w:numPr>
        <w:snapToGrid w:val="0"/>
        <w:spacing w:line="360" w:lineRule="auto"/>
        <w:rPr>
          <w:rFonts w:hAnsi="宋体"/>
          <w:sz w:val="24"/>
          <w:szCs w:val="24"/>
        </w:rPr>
      </w:pPr>
      <w:r>
        <w:rPr>
          <w:rFonts w:hAnsi="宋体" w:hint="eastAsia"/>
          <w:sz w:val="24"/>
          <w:szCs w:val="24"/>
        </w:rPr>
        <w:t>违约赔偿：</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签订合同后，任何一方违约，均应承担违约责任。投标方违约造成招标方经济损失，应当给予招标方赔偿。</w:t>
      </w:r>
    </w:p>
    <w:p w:rsidR="002F5812" w:rsidRDefault="001257CE">
      <w:pPr>
        <w:pStyle w:val="a3"/>
        <w:numPr>
          <w:ilvl w:val="0"/>
          <w:numId w:val="9"/>
        </w:numPr>
        <w:snapToGrid w:val="0"/>
        <w:spacing w:line="360" w:lineRule="auto"/>
        <w:rPr>
          <w:rFonts w:hAnsi="宋体"/>
          <w:sz w:val="24"/>
          <w:szCs w:val="24"/>
        </w:rPr>
      </w:pPr>
      <w:r>
        <w:rPr>
          <w:rFonts w:hAnsi="宋体" w:hint="eastAsia"/>
          <w:sz w:val="24"/>
          <w:szCs w:val="24"/>
        </w:rPr>
        <w:t>纠纷处理方式：</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发生纠纷时，由双方协商解决。协商不成的，任何一方均可直接向招标方住所地人民法院起诉解决。</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八、其它：</w:t>
      </w:r>
    </w:p>
    <w:p w:rsidR="002F5812" w:rsidRDefault="001257CE">
      <w:pPr>
        <w:pStyle w:val="a3"/>
        <w:numPr>
          <w:ilvl w:val="0"/>
          <w:numId w:val="10"/>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2F5812" w:rsidRDefault="001257CE">
      <w:pPr>
        <w:pStyle w:val="a3"/>
        <w:numPr>
          <w:ilvl w:val="0"/>
          <w:numId w:val="10"/>
        </w:numPr>
        <w:snapToGrid w:val="0"/>
        <w:spacing w:line="360" w:lineRule="auto"/>
        <w:rPr>
          <w:rFonts w:hAnsi="宋体"/>
          <w:sz w:val="24"/>
          <w:szCs w:val="24"/>
        </w:rPr>
      </w:pPr>
      <w:r>
        <w:rPr>
          <w:rFonts w:hAnsi="宋体" w:hint="eastAsia"/>
          <w:sz w:val="24"/>
          <w:szCs w:val="24"/>
        </w:rPr>
        <w:t>承包单位必须遵守招标方厂规厂纪，服从招标方</w:t>
      </w:r>
      <w:r>
        <w:rPr>
          <w:rFonts w:hAnsi="宋体" w:hint="eastAsia"/>
          <w:sz w:val="24"/>
          <w:szCs w:val="24"/>
        </w:rPr>
        <w:t>安全及现场环境方面的管理。</w:t>
      </w:r>
    </w:p>
    <w:p w:rsidR="002F5812" w:rsidRDefault="001257CE">
      <w:pPr>
        <w:pStyle w:val="a3"/>
        <w:numPr>
          <w:ilvl w:val="0"/>
          <w:numId w:val="10"/>
        </w:numPr>
        <w:snapToGrid w:val="0"/>
        <w:spacing w:line="360" w:lineRule="auto"/>
        <w:rPr>
          <w:rFonts w:hAnsi="宋体"/>
          <w:sz w:val="24"/>
          <w:szCs w:val="24"/>
        </w:rPr>
      </w:pPr>
      <w:r>
        <w:rPr>
          <w:rFonts w:hAnsi="宋体" w:hint="eastAsia"/>
          <w:sz w:val="24"/>
          <w:szCs w:val="24"/>
        </w:rPr>
        <w:t>参加投标即已承认本招标书所有条款。</w:t>
      </w:r>
    </w:p>
    <w:p w:rsidR="002F5812" w:rsidRDefault="001257CE">
      <w:pPr>
        <w:pStyle w:val="a3"/>
        <w:numPr>
          <w:ilvl w:val="0"/>
          <w:numId w:val="10"/>
        </w:numPr>
        <w:snapToGrid w:val="0"/>
        <w:spacing w:line="360" w:lineRule="auto"/>
        <w:rPr>
          <w:rFonts w:hAnsi="宋体"/>
          <w:sz w:val="24"/>
          <w:szCs w:val="24"/>
        </w:rPr>
      </w:pPr>
      <w:r>
        <w:rPr>
          <w:rFonts w:hAnsi="宋体" w:hint="eastAsia"/>
          <w:sz w:val="24"/>
          <w:szCs w:val="24"/>
        </w:rPr>
        <w:t>未尽事宜，双方协商。</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lastRenderedPageBreak/>
        <w:t>1</w:t>
      </w:r>
      <w:r>
        <w:rPr>
          <w:rFonts w:hAnsi="宋体" w:hint="eastAsia"/>
          <w:sz w:val="24"/>
          <w:szCs w:val="24"/>
        </w:rPr>
        <w:t>、招标单位：芜湖新兴</w:t>
      </w:r>
      <w:r>
        <w:rPr>
          <w:rFonts w:hAnsi="宋体" w:hint="eastAsia"/>
          <w:sz w:val="24"/>
        </w:rPr>
        <w:t>新材料产业园</w:t>
      </w:r>
      <w:r>
        <w:rPr>
          <w:rFonts w:hAnsi="宋体" w:hint="eastAsia"/>
          <w:sz w:val="24"/>
          <w:szCs w:val="24"/>
        </w:rPr>
        <w:t>有限公司。</w:t>
      </w: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人：苏建钢</w:t>
      </w:r>
      <w:r>
        <w:rPr>
          <w:rFonts w:hAnsi="宋体" w:hint="eastAsia"/>
          <w:sz w:val="24"/>
          <w:szCs w:val="24"/>
        </w:rPr>
        <w:t>18955323696</w:t>
      </w:r>
    </w:p>
    <w:p w:rsidR="002F5812" w:rsidRDefault="001257CE">
      <w:pPr>
        <w:pStyle w:val="a3"/>
        <w:snapToGrid w:val="0"/>
        <w:spacing w:line="360" w:lineRule="auto"/>
        <w:ind w:leftChars="171" w:left="359" w:firstLineChars="500" w:firstLine="1200"/>
        <w:rPr>
          <w:rFonts w:hAnsi="宋体"/>
          <w:sz w:val="24"/>
          <w:szCs w:val="24"/>
        </w:rPr>
      </w:pPr>
      <w:r>
        <w:rPr>
          <w:rFonts w:hAnsi="宋体" w:hint="eastAsia"/>
          <w:sz w:val="24"/>
          <w:szCs w:val="24"/>
        </w:rPr>
        <w:t>何万宝</w:t>
      </w:r>
      <w:r>
        <w:rPr>
          <w:rFonts w:hAnsi="宋体" w:hint="eastAsia"/>
          <w:sz w:val="24"/>
          <w:szCs w:val="24"/>
        </w:rPr>
        <w:t>15212242089</w:t>
      </w:r>
      <w:r>
        <w:rPr>
          <w:rFonts w:hAnsi="宋体" w:hint="eastAsia"/>
          <w:sz w:val="24"/>
          <w:szCs w:val="24"/>
        </w:rPr>
        <w:t>。</w:t>
      </w:r>
    </w:p>
    <w:p w:rsidR="002F5812" w:rsidRDefault="002F5812">
      <w:pPr>
        <w:pStyle w:val="a3"/>
        <w:snapToGrid w:val="0"/>
        <w:spacing w:line="360" w:lineRule="auto"/>
        <w:ind w:left="360" w:hangingChars="150" w:hanging="360"/>
        <w:rPr>
          <w:rFonts w:hAnsi="宋体"/>
          <w:sz w:val="24"/>
          <w:szCs w:val="24"/>
        </w:rPr>
      </w:pPr>
    </w:p>
    <w:p w:rsidR="002F5812" w:rsidRDefault="001257CE">
      <w:pPr>
        <w:pStyle w:val="a3"/>
        <w:snapToGrid w:val="0"/>
        <w:spacing w:line="360" w:lineRule="auto"/>
        <w:ind w:left="360" w:hangingChars="150" w:hanging="360"/>
        <w:rPr>
          <w:rFonts w:hAnsi="宋体"/>
          <w:sz w:val="24"/>
          <w:szCs w:val="24"/>
        </w:rPr>
      </w:pPr>
      <w:r>
        <w:rPr>
          <w:rFonts w:hAnsi="宋体" w:hint="eastAsia"/>
          <w:sz w:val="24"/>
          <w:szCs w:val="24"/>
        </w:rPr>
        <w:t xml:space="preserve">                                                   2015</w:t>
      </w:r>
      <w:r>
        <w:rPr>
          <w:rFonts w:hAnsi="宋体" w:hint="eastAsia"/>
          <w:sz w:val="24"/>
          <w:szCs w:val="24"/>
        </w:rPr>
        <w:t>年</w:t>
      </w:r>
      <w:r>
        <w:rPr>
          <w:rFonts w:hAnsi="宋体" w:hint="eastAsia"/>
          <w:sz w:val="24"/>
          <w:szCs w:val="24"/>
        </w:rPr>
        <w:t>12</w:t>
      </w:r>
      <w:r>
        <w:rPr>
          <w:rFonts w:hAnsi="宋体" w:hint="eastAsia"/>
          <w:sz w:val="24"/>
          <w:szCs w:val="24"/>
        </w:rPr>
        <w:t>月</w:t>
      </w:r>
      <w:r w:rsidR="000B601B">
        <w:rPr>
          <w:rFonts w:hAnsi="宋体" w:hint="eastAsia"/>
          <w:sz w:val="24"/>
          <w:szCs w:val="24"/>
        </w:rPr>
        <w:t>8</w:t>
      </w:r>
      <w:r>
        <w:rPr>
          <w:rFonts w:hAnsi="宋体" w:hint="eastAsia"/>
          <w:sz w:val="24"/>
          <w:szCs w:val="24"/>
        </w:rPr>
        <w:t>日</w:t>
      </w:r>
    </w:p>
    <w:p w:rsidR="002F5812" w:rsidRDefault="002F5812">
      <w:pPr>
        <w:rPr>
          <w:rFonts w:hAnsi="宋体" w:cs="Tahoma"/>
          <w:kern w:val="0"/>
          <w:sz w:val="24"/>
        </w:rPr>
      </w:pPr>
    </w:p>
    <w:sectPr w:rsidR="002F5812" w:rsidSect="002F58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7CE" w:rsidRDefault="001257CE" w:rsidP="002F5812">
      <w:r>
        <w:separator/>
      </w:r>
    </w:p>
  </w:endnote>
  <w:endnote w:type="continuationSeparator" w:id="0">
    <w:p w:rsidR="001257CE" w:rsidRDefault="001257CE" w:rsidP="002F5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12" w:rsidRDefault="001257CE">
    <w:pPr>
      <w:pStyle w:val="a4"/>
      <w:jc w:val="center"/>
    </w:pPr>
    <w:r>
      <w:rPr>
        <w:rFonts w:hint="eastAsia"/>
      </w:rPr>
      <w:t>2015</w:t>
    </w:r>
    <w:r>
      <w:rPr>
        <w:rFonts w:hint="eastAsia"/>
      </w:rPr>
      <w:t>年</w:t>
    </w:r>
    <w:r>
      <w:rPr>
        <w:rFonts w:hint="eastAsia"/>
      </w:rPr>
      <w:t>12</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7CE" w:rsidRDefault="001257CE" w:rsidP="002F5812">
      <w:r>
        <w:separator/>
      </w:r>
    </w:p>
  </w:footnote>
  <w:footnote w:type="continuationSeparator" w:id="0">
    <w:p w:rsidR="001257CE" w:rsidRDefault="001257CE" w:rsidP="002F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12" w:rsidRDefault="001257CE">
    <w:pPr>
      <w:jc w:val="center"/>
      <w:rPr>
        <w:rFonts w:ascii="黑体" w:eastAsia="黑体"/>
        <w:kern w:val="0"/>
      </w:rPr>
    </w:pPr>
    <w:r>
      <w:rPr>
        <w:rFonts w:ascii="黑体" w:eastAsia="黑体" w:hint="eastAsia"/>
        <w:kern w:val="0"/>
      </w:rPr>
      <w:t>芜湖新兴新材料产业园有限公司工序外包招标书</w:t>
    </w:r>
  </w:p>
  <w:p w:rsidR="002F5812" w:rsidRDefault="002F5812">
    <w:pPr>
      <w:rPr>
        <w:rFonts w:ascii="黑体" w:eastAsia="黑体"/>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13526"/>
    <w:multiLevelType w:val="multilevel"/>
    <w:tmpl w:val="3CF13526"/>
    <w:lvl w:ilvl="0">
      <w:start w:val="1"/>
      <w:numFmt w:val="decimal"/>
      <w:lvlText w:val="%1."/>
      <w:lvlJc w:val="left"/>
      <w:pPr>
        <w:ind w:left="480" w:hanging="480"/>
      </w:pPr>
      <w:rPr>
        <w:rFonts w:cs="Tahoma"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2">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3">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4">
    <w:nsid w:val="532BDC1C"/>
    <w:multiLevelType w:val="singleLevel"/>
    <w:tmpl w:val="532BDC1C"/>
    <w:lvl w:ilvl="0">
      <w:start w:val="1"/>
      <w:numFmt w:val="decimal"/>
      <w:lvlText w:val="%1."/>
      <w:lvlJc w:val="left"/>
      <w:pPr>
        <w:tabs>
          <w:tab w:val="left" w:pos="425"/>
        </w:tabs>
        <w:ind w:left="425" w:hanging="425"/>
      </w:pPr>
      <w:rPr>
        <w:rFonts w:hint="default"/>
      </w:rPr>
    </w:lvl>
  </w:abstractNum>
  <w:abstractNum w:abstractNumId="5">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6">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7">
    <w:nsid w:val="5330EA57"/>
    <w:multiLevelType w:val="singleLevel"/>
    <w:tmpl w:val="5330EA57"/>
    <w:lvl w:ilvl="0">
      <w:start w:val="1"/>
      <w:numFmt w:val="decimal"/>
      <w:lvlText w:val="%1."/>
      <w:lvlJc w:val="left"/>
      <w:pPr>
        <w:tabs>
          <w:tab w:val="left" w:pos="425"/>
        </w:tabs>
        <w:ind w:left="425" w:hanging="425"/>
      </w:pPr>
      <w:rPr>
        <w:rFonts w:hint="default"/>
      </w:rPr>
    </w:lvl>
  </w:abstractNum>
  <w:abstractNum w:abstractNumId="8">
    <w:nsid w:val="533222C7"/>
    <w:multiLevelType w:val="singleLevel"/>
    <w:tmpl w:val="533222C7"/>
    <w:lvl w:ilvl="0">
      <w:start w:val="1"/>
      <w:numFmt w:val="chineseCounting"/>
      <w:suff w:val="nothing"/>
      <w:lvlText w:val="%1、"/>
      <w:lvlJc w:val="left"/>
    </w:lvl>
  </w:abstractNum>
  <w:abstractNum w:abstractNumId="9">
    <w:nsid w:val="58631514"/>
    <w:multiLevelType w:val="multilevel"/>
    <w:tmpl w:val="58631514"/>
    <w:lvl w:ilvl="0">
      <w:start w:val="2"/>
      <w:numFmt w:val="japaneseCounting"/>
      <w:lvlText w:val="%1、"/>
      <w:lvlJc w:val="left"/>
      <w:pPr>
        <w:ind w:left="480" w:hanging="4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
  </w:num>
  <w:num w:numId="2">
    <w:abstractNumId w:val="0"/>
  </w:num>
  <w:num w:numId="3">
    <w:abstractNumId w:val="9"/>
  </w:num>
  <w:num w:numId="4">
    <w:abstractNumId w:val="2"/>
  </w:num>
  <w:num w:numId="5">
    <w:abstractNumId w:val="7"/>
  </w:num>
  <w:num w:numId="6">
    <w:abstractNumId w:val="1"/>
  </w:num>
  <w:num w:numId="7">
    <w:abstractNumId w:val="3"/>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8F4275"/>
    <w:rsid w:val="000B601B"/>
    <w:rsid w:val="001257CE"/>
    <w:rsid w:val="00250AA7"/>
    <w:rsid w:val="002F5812"/>
    <w:rsid w:val="003A4997"/>
    <w:rsid w:val="005D13CA"/>
    <w:rsid w:val="0060044D"/>
    <w:rsid w:val="007D4A8D"/>
    <w:rsid w:val="0088068F"/>
    <w:rsid w:val="00A22EE9"/>
    <w:rsid w:val="00C249CE"/>
    <w:rsid w:val="00D85D12"/>
    <w:rsid w:val="00EB12EA"/>
    <w:rsid w:val="00EE2763"/>
    <w:rsid w:val="028F4275"/>
    <w:rsid w:val="274A1985"/>
    <w:rsid w:val="32506E1A"/>
    <w:rsid w:val="6CBF6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8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F5812"/>
    <w:rPr>
      <w:rFonts w:ascii="宋体" w:hAnsi="Courier New"/>
      <w:szCs w:val="20"/>
    </w:rPr>
  </w:style>
  <w:style w:type="paragraph" w:styleId="a4">
    <w:name w:val="footer"/>
    <w:basedOn w:val="a"/>
    <w:rsid w:val="002F5812"/>
    <w:pPr>
      <w:tabs>
        <w:tab w:val="center" w:pos="4153"/>
        <w:tab w:val="right" w:pos="8306"/>
      </w:tabs>
      <w:snapToGrid w:val="0"/>
      <w:jc w:val="left"/>
    </w:pPr>
    <w:rPr>
      <w:sz w:val="18"/>
      <w:szCs w:val="18"/>
    </w:rPr>
  </w:style>
  <w:style w:type="paragraph" w:styleId="a5">
    <w:name w:val="header"/>
    <w:basedOn w:val="a"/>
    <w:link w:val="Char"/>
    <w:rsid w:val="002F5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F5812"/>
    <w:rPr>
      <w:kern w:val="2"/>
      <w:sz w:val="18"/>
      <w:szCs w:val="18"/>
    </w:rPr>
  </w:style>
  <w:style w:type="paragraph" w:customStyle="1" w:styleId="1">
    <w:name w:val="列出段落1"/>
    <w:basedOn w:val="a"/>
    <w:uiPriority w:val="99"/>
    <w:unhideWhenUsed/>
    <w:qFormat/>
    <w:rsid w:val="002F581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2015-12-06T13:27:00Z</dcterms:created>
  <dcterms:modified xsi:type="dcterms:W3CDTF">2015-12-08T13:59:00Z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