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wordWrap/>
        <w:bidi w:val="0"/>
        <w:snapToGrid/>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drawing>
          <wp:inline distT="0" distB="0" distL="0" distR="0">
            <wp:extent cx="3513455" cy="600075"/>
            <wp:effectExtent l="0" t="0" r="10795" b="9525"/>
            <wp:docPr id="55" name="图片 55" descr="C:\Users\Windows User\Documents\Tencent Files\89446418\Image\C2C\2AI]R7)`YR4_T}3[0NDBN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Windows User\Documents\Tencent Files\89446418\Image\C2C\2AI]R7)`YR4_T}3[0NDBN3K.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3820298" cy="652424"/>
                    </a:xfrm>
                    <a:prstGeom prst="rect">
                      <a:avLst/>
                    </a:prstGeom>
                    <a:noFill/>
                    <a:ln>
                      <a:noFill/>
                    </a:ln>
                  </pic:spPr>
                </pic:pic>
              </a:graphicData>
            </a:graphic>
          </wp:inline>
        </w:drawing>
      </w:r>
    </w:p>
    <w:p>
      <w:pPr>
        <w:pStyle w:val="17"/>
        <w:keepNext w:val="0"/>
        <w:keepLines w:val="0"/>
        <w:pageBreakBefore w:val="0"/>
        <w:pBdr>
          <w:bottom w:val="none" w:color="auto" w:sz="0" w:space="0"/>
        </w:pBdr>
        <w:kinsoku/>
        <w:wordWrap/>
        <w:bidi w:val="0"/>
        <w:snapToGrid/>
        <w:spacing w:line="312" w:lineRule="auto"/>
        <w:jc w:val="left"/>
        <w:rPr>
          <w:rFonts w:ascii="Times New Roman" w:hAnsi="Times New Roman" w:eastAsia="宋体" w:cs="Times New Roman"/>
          <w:b/>
          <w:sz w:val="52"/>
          <w:szCs w:val="52"/>
        </w:rPr>
      </w:pPr>
    </w:p>
    <w:p>
      <w:pPr>
        <w:pStyle w:val="17"/>
        <w:keepNext w:val="0"/>
        <w:keepLines w:val="0"/>
        <w:pageBreakBefore w:val="0"/>
        <w:pBdr>
          <w:bottom w:val="none" w:color="auto" w:sz="0" w:space="0"/>
        </w:pBdr>
        <w:kinsoku/>
        <w:wordWrap/>
        <w:bidi w:val="0"/>
        <w:snapToGrid/>
        <w:spacing w:line="312" w:lineRule="auto"/>
        <w:rPr>
          <w:rFonts w:ascii="Times New Roman" w:hAnsi="Times New Roman" w:eastAsia="宋体" w:cs="Times New Roman"/>
          <w:b/>
          <w:sz w:val="52"/>
          <w:szCs w:val="52"/>
        </w:rPr>
      </w:pPr>
    </w:p>
    <w:p>
      <w:pPr>
        <w:pStyle w:val="17"/>
        <w:keepNext w:val="0"/>
        <w:keepLines w:val="0"/>
        <w:pageBreakBefore w:val="0"/>
        <w:pBdr>
          <w:bottom w:val="none" w:color="auto" w:sz="0" w:space="0"/>
        </w:pBdr>
        <w:kinsoku/>
        <w:wordWrap/>
        <w:bidi w:val="0"/>
        <w:snapToGrid/>
        <w:spacing w:line="312" w:lineRule="auto"/>
        <w:rPr>
          <w:rFonts w:ascii="Times New Roman" w:hAnsi="Times New Roman" w:eastAsia="宋体" w:cs="Times New Roman"/>
          <w:b/>
          <w:sz w:val="52"/>
          <w:szCs w:val="52"/>
        </w:rPr>
      </w:pPr>
    </w:p>
    <w:p>
      <w:pPr>
        <w:pStyle w:val="17"/>
        <w:keepNext w:val="0"/>
        <w:keepLines w:val="0"/>
        <w:pageBreakBefore w:val="0"/>
        <w:pBdr>
          <w:bottom w:val="none" w:color="auto" w:sz="0" w:space="0"/>
        </w:pBdr>
        <w:kinsoku/>
        <w:wordWrap/>
        <w:bidi w:val="0"/>
        <w:snapToGrid/>
        <w:rPr>
          <w:rFonts w:hint="eastAsia" w:ascii="华文新魏" w:hAnsi="华文新魏" w:eastAsia="华文新魏" w:cs="华文新魏"/>
          <w:b/>
          <w:sz w:val="52"/>
          <w:szCs w:val="52"/>
        </w:rPr>
      </w:pPr>
      <w:r>
        <w:rPr>
          <w:rFonts w:hint="eastAsia" w:ascii="华文新魏" w:hAnsi="华文新魏" w:eastAsia="华文新魏" w:cs="华文新魏"/>
          <w:b/>
          <w:sz w:val="52"/>
          <w:szCs w:val="52"/>
        </w:rPr>
        <w:t>芜湖新兴铸管有限责任公司搬迁技术改造项目环境影响后评价报告</w:t>
      </w:r>
    </w:p>
    <w:p>
      <w:pPr>
        <w:pStyle w:val="17"/>
        <w:keepNext w:val="0"/>
        <w:keepLines w:val="0"/>
        <w:pageBreakBefore w:val="0"/>
        <w:pBdr>
          <w:bottom w:val="none" w:color="auto" w:sz="0" w:space="0"/>
        </w:pBdr>
        <w:kinsoku/>
        <w:wordWrap/>
        <w:bidi w:val="0"/>
        <w:snapToGrid/>
        <w:spacing w:line="312" w:lineRule="auto"/>
        <w:rPr>
          <w:rFonts w:ascii="Times New Roman" w:hAnsi="Times New Roman" w:eastAsia="宋体" w:cs="Times New Roman"/>
          <w:b/>
          <w:sz w:val="32"/>
          <w:szCs w:val="52"/>
        </w:rPr>
      </w:pPr>
    </w:p>
    <w:p>
      <w:pPr>
        <w:pStyle w:val="17"/>
        <w:keepNext w:val="0"/>
        <w:keepLines w:val="0"/>
        <w:pageBreakBefore w:val="0"/>
        <w:pBdr>
          <w:bottom w:val="none" w:color="auto" w:sz="0" w:space="0"/>
        </w:pBdr>
        <w:kinsoku/>
        <w:wordWrap/>
        <w:bidi w:val="0"/>
        <w:snapToGrid/>
        <w:spacing w:line="312" w:lineRule="auto"/>
        <w:rPr>
          <w:rFonts w:ascii="Times New Roman" w:hAnsi="Times New Roman" w:eastAsia="宋体" w:cs="Times New Roman"/>
          <w:b/>
          <w:sz w:val="32"/>
          <w:szCs w:val="52"/>
        </w:rPr>
      </w:pPr>
    </w:p>
    <w:p>
      <w:pPr>
        <w:pStyle w:val="17"/>
        <w:keepNext w:val="0"/>
        <w:keepLines w:val="0"/>
        <w:pageBreakBefore w:val="0"/>
        <w:pBdr>
          <w:bottom w:val="none" w:color="auto" w:sz="0" w:space="0"/>
        </w:pBdr>
        <w:kinsoku/>
        <w:wordWrap/>
        <w:bidi w:val="0"/>
        <w:snapToGrid/>
        <w:spacing w:line="312" w:lineRule="auto"/>
        <w:rPr>
          <w:rFonts w:ascii="Times New Roman" w:hAnsi="Times New Roman" w:eastAsia="宋体" w:cs="Times New Roman"/>
          <w:b/>
          <w:sz w:val="32"/>
          <w:szCs w:val="52"/>
        </w:rPr>
      </w:pPr>
    </w:p>
    <w:p>
      <w:pPr>
        <w:pStyle w:val="17"/>
        <w:keepNext w:val="0"/>
        <w:keepLines w:val="0"/>
        <w:pageBreakBefore w:val="0"/>
        <w:pBdr>
          <w:bottom w:val="none" w:color="auto" w:sz="0" w:space="0"/>
        </w:pBdr>
        <w:kinsoku/>
        <w:wordWrap/>
        <w:bidi w:val="0"/>
        <w:snapToGrid/>
        <w:spacing w:line="312" w:lineRule="auto"/>
        <w:rPr>
          <w:rFonts w:ascii="Times New Roman" w:hAnsi="Times New Roman" w:eastAsia="宋体" w:cs="Times New Roman"/>
          <w:b/>
          <w:sz w:val="32"/>
          <w:szCs w:val="52"/>
        </w:rPr>
      </w:pPr>
    </w:p>
    <w:p>
      <w:pPr>
        <w:pStyle w:val="17"/>
        <w:keepNext w:val="0"/>
        <w:keepLines w:val="0"/>
        <w:pageBreakBefore w:val="0"/>
        <w:pBdr>
          <w:bottom w:val="none" w:color="auto" w:sz="0" w:space="0"/>
        </w:pBdr>
        <w:kinsoku/>
        <w:wordWrap/>
        <w:bidi w:val="0"/>
        <w:snapToGrid/>
        <w:spacing w:line="312" w:lineRule="auto"/>
        <w:rPr>
          <w:rFonts w:ascii="Times New Roman" w:hAnsi="Times New Roman" w:eastAsia="宋体" w:cs="Times New Roman"/>
          <w:b/>
          <w:sz w:val="32"/>
          <w:szCs w:val="52"/>
        </w:rPr>
      </w:pPr>
    </w:p>
    <w:p>
      <w:pPr>
        <w:pStyle w:val="17"/>
        <w:keepNext w:val="0"/>
        <w:keepLines w:val="0"/>
        <w:pageBreakBefore w:val="0"/>
        <w:pBdr>
          <w:bottom w:val="none" w:color="auto" w:sz="0" w:space="0"/>
        </w:pBdr>
        <w:kinsoku/>
        <w:wordWrap/>
        <w:bidi w:val="0"/>
        <w:snapToGrid/>
        <w:spacing w:line="312" w:lineRule="auto"/>
        <w:rPr>
          <w:rFonts w:ascii="Times New Roman" w:hAnsi="Times New Roman" w:eastAsia="宋体" w:cs="Times New Roman"/>
          <w:b/>
          <w:sz w:val="32"/>
          <w:szCs w:val="52"/>
        </w:rPr>
      </w:pPr>
    </w:p>
    <w:p>
      <w:pPr>
        <w:pStyle w:val="17"/>
        <w:keepNext w:val="0"/>
        <w:keepLines w:val="0"/>
        <w:pageBreakBefore w:val="0"/>
        <w:pBdr>
          <w:bottom w:val="none" w:color="auto" w:sz="0" w:space="0"/>
        </w:pBdr>
        <w:kinsoku/>
        <w:wordWrap/>
        <w:bidi w:val="0"/>
        <w:snapToGrid/>
        <w:spacing w:line="312" w:lineRule="auto"/>
        <w:rPr>
          <w:rFonts w:ascii="Times New Roman" w:hAnsi="Times New Roman" w:eastAsia="楷体" w:cs="Times New Roman"/>
          <w:b/>
          <w:sz w:val="32"/>
          <w:szCs w:val="52"/>
        </w:rPr>
      </w:pPr>
      <w:r>
        <w:rPr>
          <w:rFonts w:ascii="Times New Roman" w:hAnsi="Times New Roman" w:eastAsia="楷体" w:cs="Times New Roman"/>
          <w:b/>
          <w:sz w:val="32"/>
          <w:szCs w:val="52"/>
        </w:rPr>
        <w:t>建设单位：芜湖新兴铸管有限责任公司</w:t>
      </w:r>
    </w:p>
    <w:p>
      <w:pPr>
        <w:pStyle w:val="17"/>
        <w:keepNext w:val="0"/>
        <w:keepLines w:val="0"/>
        <w:pageBreakBefore w:val="0"/>
        <w:pBdr>
          <w:bottom w:val="none" w:color="auto" w:sz="0" w:space="0"/>
        </w:pBdr>
        <w:kinsoku/>
        <w:wordWrap/>
        <w:bidi w:val="0"/>
        <w:snapToGrid/>
        <w:spacing w:line="312" w:lineRule="auto"/>
        <w:rPr>
          <w:rFonts w:ascii="Times New Roman" w:hAnsi="Times New Roman" w:eastAsia="楷体" w:cs="Times New Roman"/>
          <w:b/>
          <w:sz w:val="32"/>
          <w:szCs w:val="52"/>
        </w:rPr>
      </w:pPr>
      <w:r>
        <w:rPr>
          <w:rFonts w:ascii="Times New Roman" w:hAnsi="Times New Roman" w:eastAsia="楷体" w:cs="Times New Roman"/>
          <w:b/>
          <w:sz w:val="32"/>
          <w:szCs w:val="52"/>
        </w:rPr>
        <w:t>编制单位：南京国环科技股份有限公司</w:t>
      </w:r>
    </w:p>
    <w:p>
      <w:pPr>
        <w:pStyle w:val="17"/>
        <w:keepNext w:val="0"/>
        <w:keepLines w:val="0"/>
        <w:pageBreakBefore w:val="0"/>
        <w:pBdr>
          <w:bottom w:val="none" w:color="auto" w:sz="0" w:space="0"/>
        </w:pBdr>
        <w:kinsoku/>
        <w:wordWrap/>
        <w:bidi w:val="0"/>
        <w:snapToGrid/>
        <w:spacing w:line="312" w:lineRule="auto"/>
        <w:rPr>
          <w:rFonts w:ascii="Times New Roman" w:hAnsi="Times New Roman" w:eastAsia="楷体" w:cs="Times New Roman"/>
          <w:b/>
          <w:sz w:val="32"/>
          <w:szCs w:val="52"/>
        </w:rPr>
      </w:pPr>
      <w:r>
        <w:rPr>
          <w:rFonts w:ascii="Times New Roman" w:hAnsi="Times New Roman" w:eastAsia="楷体" w:cs="Times New Roman"/>
          <w:b/>
          <w:sz w:val="32"/>
          <w:szCs w:val="52"/>
        </w:rPr>
        <w:t>（国环评证甲字第1901号）</w:t>
      </w:r>
    </w:p>
    <w:p>
      <w:pPr>
        <w:pStyle w:val="17"/>
        <w:keepNext w:val="0"/>
        <w:keepLines w:val="0"/>
        <w:pageBreakBefore w:val="0"/>
        <w:pBdr>
          <w:bottom w:val="none" w:color="auto" w:sz="0" w:space="0"/>
        </w:pBdr>
        <w:kinsoku/>
        <w:wordWrap/>
        <w:bidi w:val="0"/>
        <w:snapToGrid/>
        <w:spacing w:line="312" w:lineRule="auto"/>
        <w:rPr>
          <w:rFonts w:ascii="Times New Roman" w:hAnsi="Times New Roman" w:eastAsia="楷体" w:cs="Times New Roman"/>
          <w:b/>
          <w:sz w:val="32"/>
          <w:szCs w:val="52"/>
        </w:rPr>
      </w:pPr>
      <w:r>
        <w:rPr>
          <w:rFonts w:ascii="Times New Roman" w:hAnsi="Times New Roman" w:eastAsia="楷体" w:cs="Times New Roman"/>
          <w:b/>
          <w:sz w:val="32"/>
          <w:szCs w:val="52"/>
        </w:rPr>
        <w:t>2019年</w:t>
      </w:r>
      <w:r>
        <w:rPr>
          <w:rFonts w:hint="eastAsia" w:ascii="Times New Roman" w:hAnsi="Times New Roman" w:eastAsia="楷体" w:cs="Times New Roman"/>
          <w:b/>
          <w:sz w:val="32"/>
          <w:szCs w:val="52"/>
          <w:lang w:val="en-US" w:eastAsia="zh-CN"/>
        </w:rPr>
        <w:t>8</w:t>
      </w:r>
      <w:r>
        <w:rPr>
          <w:rFonts w:ascii="Times New Roman" w:hAnsi="Times New Roman" w:eastAsia="楷体" w:cs="Times New Roman"/>
          <w:b/>
          <w:sz w:val="32"/>
          <w:szCs w:val="52"/>
        </w:rPr>
        <w:t>月  南京</w:t>
      </w:r>
    </w:p>
    <w:p>
      <w:pPr>
        <w:pStyle w:val="17"/>
        <w:keepNext w:val="0"/>
        <w:keepLines w:val="0"/>
        <w:pageBreakBefore w:val="0"/>
        <w:pBdr>
          <w:bottom w:val="none" w:color="auto" w:sz="0" w:space="0"/>
        </w:pBdr>
        <w:kinsoku/>
        <w:wordWrap/>
        <w:bidi w:val="0"/>
        <w:snapToGrid/>
        <w:spacing w:line="312" w:lineRule="auto"/>
        <w:jc w:val="both"/>
        <w:rPr>
          <w:rFonts w:ascii="Times New Roman" w:hAnsi="Times New Roman" w:eastAsia="宋体" w:cs="Times New Roman"/>
          <w:b/>
          <w:sz w:val="32"/>
          <w:szCs w:val="52"/>
        </w:rPr>
        <w:sectPr>
          <w:footerReference r:id="rId3" w:type="default"/>
          <w:pgSz w:w="11906" w:h="16838"/>
          <w:pgMar w:top="1440" w:right="1080" w:bottom="1440" w:left="108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autoSpaceDE w:val="0"/>
        <w:autoSpaceDN w:val="0"/>
        <w:bidi w:val="0"/>
        <w:adjustRightInd w:val="0"/>
        <w:snapToGrid/>
        <w:spacing w:line="360" w:lineRule="auto"/>
        <w:ind w:firstLine="562" w:firstLineChars="200"/>
        <w:rPr>
          <w:rFonts w:hint="eastAsia" w:ascii="Times New Roman" w:hAnsi="Times New Roman" w:eastAsia="宋体" w:cs="Times New Roman"/>
          <w:b/>
          <w:bCs w:val="0"/>
          <w:sz w:val="28"/>
          <w:szCs w:val="28"/>
          <w:lang w:eastAsia="zh-CN"/>
        </w:rPr>
      </w:pPr>
      <w:r>
        <w:rPr>
          <w:rFonts w:hint="eastAsia" w:ascii="Times New Roman" w:hAnsi="Times New Roman" w:eastAsia="宋体" w:cs="Times New Roman"/>
          <w:b/>
          <w:bCs w:val="0"/>
          <w:sz w:val="28"/>
          <w:szCs w:val="28"/>
          <w:lang w:eastAsia="zh-CN"/>
        </w:rPr>
        <w:t>附件</w:t>
      </w:r>
    </w:p>
    <w:p>
      <w:pPr>
        <w:keepNext w:val="0"/>
        <w:keepLines w:val="0"/>
        <w:pageBreakBefore w:val="0"/>
        <w:numPr>
          <w:ilvl w:val="0"/>
          <w:numId w:val="3"/>
        </w:numPr>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芜湖新兴铸管有限责任公司搬迁技术改造项目</w:t>
      </w:r>
      <w:r>
        <w:rPr>
          <w:rFonts w:hint="eastAsia" w:ascii="Times New Roman" w:hAnsi="Times New Roman" w:eastAsia="宋体" w:cs="Times New Roman"/>
          <w:bCs/>
          <w:sz w:val="24"/>
          <w:szCs w:val="24"/>
          <w:lang w:eastAsia="zh-CN"/>
        </w:rPr>
        <w:t>环评批复；</w:t>
      </w:r>
    </w:p>
    <w:p>
      <w:pPr>
        <w:keepNext w:val="0"/>
        <w:keepLines w:val="0"/>
        <w:pageBreakBefore w:val="0"/>
        <w:numPr>
          <w:ilvl w:val="0"/>
          <w:numId w:val="3"/>
        </w:numPr>
        <w:kinsoku/>
        <w:wordWrap/>
        <w:autoSpaceDE w:val="0"/>
        <w:autoSpaceDN w:val="0"/>
        <w:bidi w:val="0"/>
        <w:adjustRightInd w:val="0"/>
        <w:snapToGrid/>
        <w:spacing w:line="360" w:lineRule="auto"/>
        <w:ind w:firstLine="480" w:firstLineChars="200"/>
        <w:rPr>
          <w:rFonts w:hint="default" w:ascii="Times New Roman" w:hAnsi="Times New Roman" w:eastAsia="宋体" w:cs="Times New Roman"/>
          <w:bCs/>
          <w:color w:val="FF0000"/>
          <w:sz w:val="24"/>
          <w:szCs w:val="24"/>
          <w:lang w:val="en-US" w:eastAsia="zh-CN"/>
        </w:rPr>
      </w:pPr>
      <w:r>
        <w:rPr>
          <w:rFonts w:ascii="Times New Roman" w:hAnsi="Times New Roman" w:eastAsia="宋体" w:cs="Times New Roman"/>
          <w:bCs/>
          <w:color w:val="FF0000"/>
          <w:sz w:val="24"/>
          <w:szCs w:val="24"/>
        </w:rPr>
        <w:t>芜湖新兴铸管有限责任公司搬迁技术改造项目</w:t>
      </w:r>
      <w:r>
        <w:rPr>
          <w:rFonts w:hint="eastAsia" w:ascii="Times New Roman" w:hAnsi="Times New Roman" w:eastAsia="宋体" w:cs="Times New Roman"/>
          <w:bCs/>
          <w:color w:val="FF0000"/>
          <w:sz w:val="24"/>
          <w:szCs w:val="24"/>
          <w:lang w:eastAsia="zh-CN"/>
        </w:rPr>
        <w:t>（现状评价）批复；</w:t>
      </w:r>
    </w:p>
    <w:p>
      <w:pPr>
        <w:keepNext w:val="0"/>
        <w:keepLines w:val="0"/>
        <w:pageBreakBefore w:val="0"/>
        <w:numPr>
          <w:ilvl w:val="0"/>
          <w:numId w:val="3"/>
        </w:numPr>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r>
        <w:rPr>
          <w:rFonts w:ascii="Times New Roman" w:hAnsi="Times New Roman" w:eastAsia="宋体" w:cs="Times New Roman"/>
          <w:bCs/>
          <w:sz w:val="24"/>
          <w:szCs w:val="24"/>
        </w:rPr>
        <w:t>国家发展改革委工业和信息化部关于印发对钢铁、电解铝、船舶行业违规项目清理意见的通知</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4、</w:t>
      </w:r>
      <w:r>
        <w:rPr>
          <w:rFonts w:ascii="Times New Roman" w:hAnsi="Times New Roman" w:eastAsia="宋体" w:cs="Times New Roman"/>
          <w:bCs/>
          <w:sz w:val="24"/>
          <w:szCs w:val="24"/>
        </w:rPr>
        <w:t>安徽省发展改革委安徽省经济和信息化委转发国家发展改革委工业和信息化部关于印发对钢铁电解铝船舶行业违规项目清理意见的通知</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5、</w:t>
      </w:r>
      <w:r>
        <w:rPr>
          <w:rFonts w:ascii="Times New Roman" w:hAnsi="Times New Roman" w:eastAsia="宋体" w:cs="Times New Roman"/>
          <w:bCs/>
          <w:sz w:val="24"/>
          <w:szCs w:val="24"/>
        </w:rPr>
        <w:t>芜湖新兴铸管有限责任公司搬迁技术改造项目</w:t>
      </w:r>
      <w:r>
        <w:rPr>
          <w:rFonts w:hint="eastAsia" w:ascii="Times New Roman" w:hAnsi="Times New Roman" w:eastAsia="宋体" w:cs="Times New Roman"/>
          <w:bCs/>
          <w:sz w:val="24"/>
          <w:szCs w:val="24"/>
          <w:lang w:eastAsia="zh-CN"/>
        </w:rPr>
        <w:t>备案文件；</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6、</w:t>
      </w:r>
      <w:r>
        <w:rPr>
          <w:rFonts w:ascii="Times New Roman" w:hAnsi="Times New Roman" w:eastAsia="宋体" w:cs="Times New Roman"/>
          <w:bCs/>
          <w:sz w:val="24"/>
          <w:szCs w:val="24"/>
        </w:rPr>
        <w:t>芜湖市突出环境问题整改方案</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7、安徽省环保厅2018年建设项目环境影响评价文件技术复核初核意见表；</w:t>
      </w:r>
    </w:p>
    <w:p>
      <w:pPr>
        <w:keepNext w:val="0"/>
        <w:keepLines w:val="0"/>
        <w:pageBreakBefore w:val="0"/>
        <w:kinsoku/>
        <w:wordWrap/>
        <w:autoSpaceDE w:val="0"/>
        <w:autoSpaceDN w:val="0"/>
        <w:bidi w:val="0"/>
        <w:adjustRightInd w:val="0"/>
        <w:snapToGrid/>
        <w:spacing w:line="360" w:lineRule="auto"/>
        <w:ind w:firstLine="480" w:firstLineChars="200"/>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8、关于立即开展</w:t>
      </w:r>
      <w:r>
        <w:rPr>
          <w:rFonts w:ascii="Times New Roman" w:hAnsi="Times New Roman" w:eastAsia="宋体" w:cs="Times New Roman"/>
          <w:bCs/>
          <w:sz w:val="24"/>
          <w:szCs w:val="24"/>
        </w:rPr>
        <w:t>芜湖新兴铸管有限责任公司</w:t>
      </w:r>
      <w:r>
        <w:rPr>
          <w:rFonts w:hint="eastAsia" w:ascii="Times New Roman" w:hAnsi="Times New Roman" w:eastAsia="宋体" w:cs="Times New Roman"/>
          <w:bCs/>
          <w:sz w:val="24"/>
          <w:szCs w:val="24"/>
          <w:lang w:val="en-US" w:eastAsia="zh-CN"/>
        </w:rPr>
        <w:t>环境影响后评价工作的通知；</w:t>
      </w:r>
    </w:p>
    <w:p>
      <w:pPr>
        <w:keepNext w:val="0"/>
        <w:keepLines w:val="0"/>
        <w:pageBreakBefore w:val="0"/>
        <w:kinsoku/>
        <w:wordWrap/>
        <w:autoSpaceDE w:val="0"/>
        <w:autoSpaceDN w:val="0"/>
        <w:bidi w:val="0"/>
        <w:adjustRightInd w:val="0"/>
        <w:snapToGrid/>
        <w:spacing w:line="360" w:lineRule="auto"/>
        <w:ind w:firstLine="480" w:firstLineChars="200"/>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9、</w:t>
      </w:r>
      <w:r>
        <w:rPr>
          <w:rFonts w:ascii="Times New Roman" w:hAnsi="Times New Roman" w:eastAsia="宋体" w:cs="Times New Roman"/>
          <w:bCs/>
          <w:sz w:val="24"/>
          <w:szCs w:val="24"/>
        </w:rPr>
        <w:t>芜湖新兴铸管有限责任公司</w:t>
      </w:r>
      <w:bookmarkStart w:id="27" w:name="_GoBack"/>
      <w:bookmarkEnd w:id="27"/>
      <w:r>
        <w:rPr>
          <w:rFonts w:hint="eastAsia" w:ascii="Times New Roman" w:hAnsi="Times New Roman" w:eastAsia="宋体" w:cs="Times New Roman"/>
          <w:bCs/>
          <w:sz w:val="24"/>
          <w:szCs w:val="24"/>
          <w:lang w:val="en-US" w:eastAsia="zh-CN"/>
        </w:rPr>
        <w:t>委托南京国环科技股份有限公司承担环境影响后评价工作的委托函；</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10、</w:t>
      </w:r>
      <w:r>
        <w:rPr>
          <w:rFonts w:ascii="Times New Roman" w:hAnsi="Times New Roman" w:eastAsia="宋体" w:cs="Times New Roman"/>
          <w:bCs/>
          <w:sz w:val="24"/>
          <w:szCs w:val="24"/>
        </w:rPr>
        <w:t>芜湖新兴铸管有限责任公司搬迁技术改造项目</w:t>
      </w:r>
      <w:r>
        <w:rPr>
          <w:rFonts w:hint="eastAsia" w:ascii="Times New Roman" w:hAnsi="Times New Roman" w:eastAsia="宋体" w:cs="Times New Roman"/>
          <w:bCs/>
          <w:sz w:val="24"/>
          <w:szCs w:val="24"/>
          <w:lang w:eastAsia="zh-CN"/>
        </w:rPr>
        <w:t>安全设施竣工验收意见；</w:t>
      </w:r>
    </w:p>
    <w:p>
      <w:pPr>
        <w:keepNext w:val="0"/>
        <w:keepLines w:val="0"/>
        <w:pageBreakBefore w:val="0"/>
        <w:kinsoku/>
        <w:wordWrap/>
        <w:autoSpaceDE w:val="0"/>
        <w:autoSpaceDN w:val="0"/>
        <w:bidi w:val="0"/>
        <w:adjustRightInd w:val="0"/>
        <w:snapToGrid/>
        <w:spacing w:line="360" w:lineRule="auto"/>
        <w:ind w:firstLine="480" w:firstLineChars="200"/>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11、取水证；</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hint="eastAsia" w:ascii="Times New Roman" w:hAnsi="Times New Roman" w:eastAsia="宋体" w:cs="Times New Roman"/>
          <w:bCs/>
          <w:sz w:val="24"/>
          <w:szCs w:val="24"/>
          <w:lang w:val="en-US" w:eastAsia="zh-CN"/>
        </w:rPr>
        <w:t>12、</w:t>
      </w:r>
      <w:r>
        <w:rPr>
          <w:rFonts w:ascii="Times New Roman" w:hAnsi="Times New Roman" w:eastAsia="宋体" w:cs="Times New Roman"/>
          <w:bCs/>
          <w:sz w:val="24"/>
          <w:szCs w:val="24"/>
        </w:rPr>
        <w:t>芜湖新兴铸管有限责任公司</w:t>
      </w:r>
      <w:r>
        <w:rPr>
          <w:rFonts w:hint="eastAsia" w:ascii="Times New Roman" w:hAnsi="Times New Roman" w:eastAsia="宋体" w:cs="Times New Roman"/>
          <w:bCs/>
          <w:sz w:val="24"/>
          <w:szCs w:val="24"/>
          <w:lang w:eastAsia="zh-CN"/>
        </w:rPr>
        <w:t>总量核定表；</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13、</w:t>
      </w:r>
      <w:r>
        <w:rPr>
          <w:rFonts w:ascii="Times New Roman" w:hAnsi="Times New Roman" w:eastAsia="宋体" w:cs="Times New Roman"/>
          <w:bCs/>
          <w:sz w:val="24"/>
          <w:szCs w:val="24"/>
        </w:rPr>
        <w:t>芜湖新兴铸管有限责任公司</w:t>
      </w:r>
      <w:r>
        <w:rPr>
          <w:rFonts w:hint="eastAsia" w:ascii="Times New Roman" w:hAnsi="Times New Roman" w:eastAsia="宋体" w:cs="Times New Roman"/>
          <w:bCs/>
          <w:sz w:val="24"/>
          <w:szCs w:val="24"/>
          <w:lang w:eastAsia="zh-CN"/>
        </w:rPr>
        <w:t>突发环境事件应急预案备案表；</w:t>
      </w:r>
    </w:p>
    <w:p>
      <w:pPr>
        <w:keepNext w:val="0"/>
        <w:keepLines w:val="0"/>
        <w:pageBreakBefore w:val="0"/>
        <w:kinsoku/>
        <w:wordWrap/>
        <w:autoSpaceDE w:val="0"/>
        <w:autoSpaceDN w:val="0"/>
        <w:bidi w:val="0"/>
        <w:adjustRightInd w:val="0"/>
        <w:snapToGrid/>
        <w:spacing w:line="360" w:lineRule="auto"/>
        <w:ind w:firstLine="480" w:firstLineChars="200"/>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14、监测报告。</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1906" w:h="16838"/>
          <w:pgMar w:top="1440" w:right="1080" w:bottom="1440" w:left="108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ascii="Times New Roman" w:hAnsi="Times New Roman" w:eastAsia="黑体" w:cs="Times New Roman"/>
          <w:sz w:val="44"/>
          <w:szCs w:val="44"/>
        </w:rPr>
        <w:t>前言</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以下简称“芜湖新兴铸管”）于2003年4月27日正式挂牌，由新兴铸管股份有限公司（出资60%）和新兴铸管集团有限公司（出资40%）共同出资，重组原芜湖钢铁厂和芜湖焦化制气有限公司后成立的。芜湖新兴铸管经营范围为离心球墨铸铁管、钢铁冶炼及压延加工等，是一家集烧结、焦化、炼铁、铸管、炼钢和轧钢为一体的钢铁联合企业，企业产品主要为球墨铸铁管、优质棒材、线材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原位于芜湖市城市中心区域弋江区，在芜湖城市功能定位转型升级及国家“优化钢铁产业布局、推进城市钢厂搬迁”的大背景下，企业发展与《芜湖市城市总体规划（2012-2030年）》城市区功能定位要求已不相符，按照国家、地方相关文件要求，芜湖新兴铸管决定搬迁至三山经济开发区建设，该搬迁项目符合《三山经济开发区控制性详细规划（调整）》功能定位及用地要求，亦符合该规划环评审查意见（环审[2013]56号）的相关要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芜湖新兴铸管组织编制申报的搬迁项目现状环境影响评价（报告书）于2017年7月12日通过芜湖市环境保护局审批（</w:t>
      </w:r>
      <w:r>
        <w:rPr>
          <w:rFonts w:ascii="Times New Roman" w:hAnsi="Times New Roman" w:eastAsia="宋体" w:cs="Times New Roman"/>
          <w:bCs/>
          <w:color w:val="FF0000"/>
          <w:sz w:val="24"/>
          <w:szCs w:val="24"/>
        </w:rPr>
        <w:t>环行审[2017</w:t>
      </w:r>
      <w:r>
        <w:rPr>
          <w:rFonts w:ascii="Times New Roman" w:hAnsi="Times New Roman" w:eastAsia="宋体" w:cs="Times New Roman"/>
          <w:bCs/>
          <w:color w:val="FF0000"/>
          <w:sz w:val="24"/>
          <w:szCs w:val="24"/>
          <w:highlight w:val="none"/>
        </w:rPr>
        <w:t>]37号</w:t>
      </w:r>
      <w:r>
        <w:rPr>
          <w:rFonts w:hint="eastAsia" w:ascii="Times New Roman" w:hAnsi="Times New Roman" w:eastAsia="宋体" w:cs="Times New Roman"/>
          <w:bCs/>
          <w:color w:val="FF0000"/>
          <w:sz w:val="24"/>
          <w:szCs w:val="24"/>
          <w:highlight w:val="none"/>
          <w:lang w:eastAsia="zh-CN"/>
        </w:rPr>
        <w:t>，见附件</w:t>
      </w:r>
      <w:r>
        <w:rPr>
          <w:rFonts w:hint="eastAsia" w:ascii="Times New Roman" w:hAnsi="Times New Roman" w:eastAsia="宋体" w:cs="Times New Roman"/>
          <w:bCs/>
          <w:color w:val="FF0000"/>
          <w:sz w:val="24"/>
          <w:szCs w:val="24"/>
          <w:highlight w:val="none"/>
          <w:lang w:val="en-US" w:eastAsia="zh-CN"/>
        </w:rPr>
        <w:t>2</w:t>
      </w:r>
      <w:r>
        <w:rPr>
          <w:rFonts w:ascii="Times New Roman" w:hAnsi="Times New Roman" w:eastAsia="宋体" w:cs="Times New Roman"/>
          <w:bCs/>
          <w:sz w:val="24"/>
          <w:szCs w:val="24"/>
          <w:highlight w:val="none"/>
        </w:rPr>
        <w:t>），</w:t>
      </w:r>
      <w:r>
        <w:rPr>
          <w:rFonts w:ascii="Times New Roman" w:hAnsi="Times New Roman" w:eastAsia="宋体" w:cs="Times New Roman"/>
          <w:bCs/>
          <w:sz w:val="24"/>
          <w:szCs w:val="24"/>
        </w:rPr>
        <w:t>在2018年安徽省环保厅组织的第二批环境影响评价技术复核中由复核单位提出了一些问题</w:t>
      </w:r>
      <w:r>
        <w:rPr>
          <w:rFonts w:hint="eastAsia" w:ascii="Times New Roman" w:hAnsi="Times New Roman" w:eastAsia="宋体" w:cs="Times New Roman"/>
          <w:bCs/>
          <w:sz w:val="24"/>
          <w:szCs w:val="24"/>
          <w:lang w:eastAsia="zh-CN"/>
        </w:rPr>
        <w:t>（见附件</w:t>
      </w:r>
      <w:r>
        <w:rPr>
          <w:rFonts w:hint="eastAsia" w:ascii="Times New Roman" w:hAnsi="Times New Roman" w:eastAsia="宋体" w:cs="Times New Roman"/>
          <w:bCs/>
          <w:sz w:val="24"/>
          <w:szCs w:val="24"/>
          <w:lang w:val="en-US" w:eastAsia="zh-CN"/>
        </w:rPr>
        <w:t>7</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，对照《中共芜湖市委 芜湖市人民政府关于全面打造水清岸绿产业优美丽长江（芜湖）经济带的实施意见》（芜市发[2018]18号）文要求，根据《建设项目环境影响后评价管理办法（试行）》相关条款，经芜湖市环境保护局研究，责成芜湖新兴铸管按照相关环保管理要求，对已建项目立即组织实施环境影响后评价工作。</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南京国环科技股份有限公司在接受委托后，对国家和地方产业政策、建设项目环境影响后评价管理办法要求以及企业有关资料等进行了认真的分析研究，开展了现场踏勘、资料收集等工作。</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芜湖新兴铸管有限责任公司现有项目采用的环境保护措施切实有效</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根据2016年芜湖市环境监测中心站验收监测报告、2017年至2018年安徽基越环境监测公司监测报告以及2019年安徽世标检测技术有限公司监测报告，污染物排放能够满足国家、行业污染物排放限值要求；</w:t>
      </w:r>
      <w:r>
        <w:rPr>
          <w:rFonts w:hint="eastAsia" w:ascii="Times New Roman" w:hAnsi="Times New Roman" w:eastAsia="宋体" w:cs="Times New Roman"/>
          <w:bCs/>
          <w:sz w:val="24"/>
          <w:szCs w:val="24"/>
          <w:lang w:eastAsia="zh-CN"/>
        </w:rPr>
        <w:t>厂区</w:t>
      </w:r>
      <w:r>
        <w:rPr>
          <w:rFonts w:hint="eastAsia" w:ascii="Times New Roman" w:hAnsi="Times New Roman" w:eastAsia="宋体" w:cs="Times New Roman"/>
          <w:bCs/>
          <w:sz w:val="24"/>
          <w:szCs w:val="24"/>
          <w:lang w:val="en-US" w:eastAsia="zh-CN"/>
        </w:rPr>
        <w:t>2018年炼铁产能196.2万t、炼钢产能143.85万t，均未突破核定产能（炼铁198万t/年、炼钢150万t/年）；厂区目前严格按照已经批复项目的“三同时”执行；</w:t>
      </w:r>
      <w:r>
        <w:rPr>
          <w:rFonts w:ascii="Times New Roman" w:hAnsi="Times New Roman" w:eastAsia="宋体" w:cs="Times New Roman"/>
          <w:bCs/>
          <w:sz w:val="24"/>
          <w:szCs w:val="24"/>
        </w:rPr>
        <w:t>根据测绘图，全厂防护距离包络线范围内不涉及居民区；公司按要求制定了应急预案并完成备案；建立了较完善的环境管理体系，制定了环境监测计划；周边公众对现有厂区废气、废水、噪声、固体废物采取的控制效果以及环保工作表示满意或较满意。在确保各项环保措施落实并稳定运行的情况下，现有厂区的建设项目满足国家、地方各项环境管理要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ascii="Times New Roman" w:hAnsi="Times New Roman" w:eastAsia="黑体" w:cs="Times New Roman"/>
          <w:sz w:val="44"/>
          <w:szCs w:val="44"/>
        </w:rPr>
        <w:t>1总则</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1.1编制依据</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1.1.1国家法律法规及政策</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（1）《中华人民共和国环境保护法》（2015年1月1日）；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（2）《中华人民共和国环境影响评价法》（2018年12月29日）；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3</w:t>
      </w:r>
      <w:r>
        <w:rPr>
          <w:rFonts w:ascii="Times New Roman" w:hAnsi="Times New Roman" w:eastAsia="宋体" w:cs="Times New Roman"/>
          <w:bCs/>
          <w:sz w:val="24"/>
          <w:szCs w:val="24"/>
        </w:rPr>
        <w:t>）《中华人民共和国大气污染防治法》（2016年1月1日）；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4</w:t>
      </w:r>
      <w:r>
        <w:rPr>
          <w:rFonts w:ascii="Times New Roman" w:hAnsi="Times New Roman" w:eastAsia="宋体" w:cs="Times New Roman"/>
          <w:bCs/>
          <w:sz w:val="24"/>
          <w:szCs w:val="24"/>
        </w:rPr>
        <w:t>）《中华人民共和国水污染防治法》（2017年6月7日）；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5</w:t>
      </w:r>
      <w:r>
        <w:rPr>
          <w:rFonts w:ascii="Times New Roman" w:hAnsi="Times New Roman" w:eastAsia="宋体" w:cs="Times New Roman"/>
          <w:bCs/>
          <w:sz w:val="24"/>
          <w:szCs w:val="24"/>
        </w:rPr>
        <w:t>）《中华人民共和国环境噪声污染防治法》（2018年12月29日）；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6</w:t>
      </w:r>
      <w:r>
        <w:rPr>
          <w:rFonts w:ascii="Times New Roman" w:hAnsi="Times New Roman" w:eastAsia="宋体" w:cs="Times New Roman"/>
          <w:bCs/>
          <w:sz w:val="24"/>
          <w:szCs w:val="24"/>
        </w:rPr>
        <w:t>）《中华人民共和国固体废物污染环境防治法》（2016年11月7日）；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7</w:t>
      </w:r>
      <w:r>
        <w:rPr>
          <w:rFonts w:ascii="Times New Roman" w:hAnsi="Times New Roman" w:eastAsia="宋体" w:cs="Times New Roman"/>
          <w:bCs/>
          <w:sz w:val="24"/>
          <w:szCs w:val="24"/>
        </w:rPr>
        <w:t>）《建设项目环境保护管理条例》（国务院令第682号，2017年10月1日）；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8</w:t>
      </w:r>
      <w:r>
        <w:rPr>
          <w:rFonts w:ascii="Times New Roman" w:hAnsi="Times New Roman" w:eastAsia="宋体" w:cs="Times New Roman"/>
          <w:bCs/>
          <w:sz w:val="24"/>
          <w:szCs w:val="24"/>
        </w:rPr>
        <w:t>）《国务院关于印发大气污染防治行动计划的通知》（国发[2013]37号，2013年9月10日）；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9</w:t>
      </w:r>
      <w:r>
        <w:rPr>
          <w:rFonts w:ascii="Times New Roman" w:hAnsi="Times New Roman" w:eastAsia="宋体" w:cs="Times New Roman"/>
          <w:bCs/>
          <w:sz w:val="24"/>
          <w:szCs w:val="24"/>
        </w:rPr>
        <w:t>）《国务院关于印发土壤污染防治行动计划的通知》（国发[2016]31号，2016年5月28日）；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10</w:t>
      </w:r>
      <w:r>
        <w:rPr>
          <w:rFonts w:ascii="Times New Roman" w:hAnsi="Times New Roman" w:eastAsia="宋体" w:cs="Times New Roman"/>
          <w:bCs/>
          <w:sz w:val="24"/>
          <w:szCs w:val="24"/>
        </w:rPr>
        <w:t>）《国务院关于印发水污染防治行动计划的通知》（国发[2015]17号，2015年4月2日）；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w:t>
      </w:r>
      <w:r>
        <w:rPr>
          <w:rFonts w:hint="eastAsia" w:ascii="Times New Roman" w:hAnsi="Times New Roman" w:eastAsia="宋体" w:cs="Times New Roman"/>
          <w:bCs/>
          <w:sz w:val="24"/>
          <w:szCs w:val="24"/>
          <w:lang w:val="en-US" w:eastAsia="zh-CN"/>
        </w:rPr>
        <w:t>1</w:t>
      </w:r>
      <w:r>
        <w:rPr>
          <w:rFonts w:ascii="Times New Roman" w:hAnsi="Times New Roman" w:eastAsia="宋体" w:cs="Times New Roman"/>
          <w:bCs/>
          <w:sz w:val="24"/>
          <w:szCs w:val="24"/>
        </w:rPr>
        <w:t>）《关于印发地下水污染防治实施方案的通知》（环土壤[2019]25号，2019年3月28日）；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w:t>
      </w:r>
      <w:r>
        <w:rPr>
          <w:rFonts w:hint="eastAsia" w:ascii="Times New Roman" w:hAnsi="Times New Roman" w:eastAsia="宋体" w:cs="Times New Roman"/>
          <w:bCs/>
          <w:sz w:val="24"/>
          <w:szCs w:val="24"/>
          <w:lang w:val="en-US" w:eastAsia="zh-CN"/>
        </w:rPr>
        <w:t>2</w:t>
      </w:r>
      <w:r>
        <w:rPr>
          <w:rFonts w:ascii="Times New Roman" w:hAnsi="Times New Roman" w:eastAsia="宋体" w:cs="Times New Roman"/>
          <w:bCs/>
          <w:sz w:val="24"/>
          <w:szCs w:val="24"/>
        </w:rPr>
        <w:t>）《大气污染防治十条措施》（国发[2013]37号，2013年6月14日）；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w:t>
      </w:r>
      <w:r>
        <w:rPr>
          <w:rFonts w:hint="eastAsia" w:ascii="Times New Roman" w:hAnsi="Times New Roman" w:eastAsia="宋体" w:cs="Times New Roman"/>
          <w:bCs/>
          <w:sz w:val="24"/>
          <w:szCs w:val="24"/>
          <w:lang w:val="en-US" w:eastAsia="zh-CN"/>
        </w:rPr>
        <w:t>3</w:t>
      </w:r>
      <w:r>
        <w:rPr>
          <w:rFonts w:ascii="Times New Roman" w:hAnsi="Times New Roman" w:eastAsia="宋体" w:cs="Times New Roman"/>
          <w:bCs/>
          <w:sz w:val="24"/>
          <w:szCs w:val="24"/>
        </w:rPr>
        <w:t>）《水污染防治行动计划》（国发[2015]17号，2015年4月16日）；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w:t>
      </w:r>
      <w:r>
        <w:rPr>
          <w:rFonts w:hint="eastAsia" w:ascii="Times New Roman" w:hAnsi="Times New Roman" w:eastAsia="宋体" w:cs="Times New Roman"/>
          <w:bCs/>
          <w:sz w:val="24"/>
          <w:szCs w:val="24"/>
          <w:lang w:val="en-US" w:eastAsia="zh-CN"/>
        </w:rPr>
        <w:t>4</w:t>
      </w:r>
      <w:r>
        <w:rPr>
          <w:rFonts w:ascii="Times New Roman" w:hAnsi="Times New Roman" w:eastAsia="宋体" w:cs="Times New Roman"/>
          <w:bCs/>
          <w:sz w:val="24"/>
          <w:szCs w:val="24"/>
        </w:rPr>
        <w:t>）《土壤污染防治行动计划》（国发[2016]31号，2016年5月28日）；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w:t>
      </w:r>
      <w:r>
        <w:rPr>
          <w:rFonts w:hint="eastAsia" w:ascii="Times New Roman" w:hAnsi="Times New Roman" w:eastAsia="宋体" w:cs="Times New Roman"/>
          <w:bCs/>
          <w:sz w:val="24"/>
          <w:szCs w:val="24"/>
          <w:lang w:val="en-US" w:eastAsia="zh-CN"/>
        </w:rPr>
        <w:t>5</w:t>
      </w:r>
      <w:r>
        <w:rPr>
          <w:rFonts w:ascii="Times New Roman" w:hAnsi="Times New Roman" w:eastAsia="宋体" w:cs="Times New Roman"/>
          <w:bCs/>
          <w:sz w:val="24"/>
          <w:szCs w:val="24"/>
        </w:rPr>
        <w:t>）《国务院关于化解产能严重过剩矛盾的指导意见》（国发[2013]41号，2013年10月6日）；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w:t>
      </w:r>
      <w:r>
        <w:rPr>
          <w:rFonts w:hint="eastAsia" w:ascii="Times New Roman" w:hAnsi="Times New Roman" w:eastAsia="宋体" w:cs="Times New Roman"/>
          <w:bCs/>
          <w:sz w:val="24"/>
          <w:szCs w:val="24"/>
          <w:lang w:val="en-US" w:eastAsia="zh-CN"/>
        </w:rPr>
        <w:t>6</w:t>
      </w:r>
      <w:r>
        <w:rPr>
          <w:rFonts w:ascii="Times New Roman" w:hAnsi="Times New Roman" w:eastAsia="宋体" w:cs="Times New Roman"/>
          <w:bCs/>
          <w:sz w:val="24"/>
          <w:szCs w:val="24"/>
        </w:rPr>
        <w:t>）《国务院办公厅关于加强环境监管执法的通知》（国办发[2014]56号，2014年11月12日）；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w:t>
      </w:r>
      <w:r>
        <w:rPr>
          <w:rFonts w:hint="eastAsia" w:ascii="Times New Roman" w:hAnsi="Times New Roman" w:eastAsia="宋体" w:cs="Times New Roman"/>
          <w:bCs/>
          <w:sz w:val="24"/>
          <w:szCs w:val="24"/>
          <w:lang w:val="en-US" w:eastAsia="zh-CN"/>
        </w:rPr>
        <w:t>7</w:t>
      </w:r>
      <w:r>
        <w:rPr>
          <w:rFonts w:ascii="Times New Roman" w:hAnsi="Times New Roman" w:eastAsia="宋体" w:cs="Times New Roman"/>
          <w:bCs/>
          <w:sz w:val="24"/>
          <w:szCs w:val="24"/>
        </w:rPr>
        <w:t>）《关于在化解产能严重过剩矛盾过程中加强环保管理的通知》（环发[2014]55号，2014年4月18日）；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w:t>
      </w:r>
      <w:r>
        <w:rPr>
          <w:rFonts w:hint="eastAsia" w:ascii="Times New Roman" w:hAnsi="Times New Roman" w:eastAsia="宋体" w:cs="Times New Roman"/>
          <w:bCs/>
          <w:sz w:val="24"/>
          <w:szCs w:val="24"/>
          <w:lang w:val="en-US" w:eastAsia="zh-CN"/>
        </w:rPr>
        <w:t>8</w:t>
      </w:r>
      <w:r>
        <w:rPr>
          <w:rFonts w:ascii="Times New Roman" w:hAnsi="Times New Roman" w:eastAsia="宋体" w:cs="Times New Roman"/>
          <w:bCs/>
          <w:sz w:val="24"/>
          <w:szCs w:val="24"/>
        </w:rPr>
        <w:t>）《国务院关于钢铁行业化解过剩产能实现脱困发展的意见》（国发[2016]6号，2016年2月1日）；</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19</w:t>
      </w:r>
      <w:r>
        <w:rPr>
          <w:rFonts w:ascii="Times New Roman" w:hAnsi="Times New Roman" w:eastAsia="宋体" w:cs="Times New Roman"/>
          <w:bCs/>
          <w:sz w:val="24"/>
          <w:szCs w:val="24"/>
        </w:rPr>
        <w:t>）《关于印发钢铁水泥玻璃行业产能置换实施办法的通知》（工信部原[2017]337号，2017年12月31日）</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w:t>
      </w:r>
      <w:r>
        <w:rPr>
          <w:rFonts w:hint="eastAsia" w:ascii="Times New Roman" w:hAnsi="Times New Roman" w:eastAsia="宋体" w:cs="Times New Roman"/>
          <w:bCs/>
          <w:sz w:val="24"/>
          <w:szCs w:val="24"/>
          <w:lang w:val="en-US" w:eastAsia="zh-CN"/>
        </w:rPr>
        <w:t>0</w:t>
      </w:r>
      <w:r>
        <w:rPr>
          <w:rFonts w:ascii="Times New Roman" w:hAnsi="Times New Roman" w:eastAsia="宋体" w:cs="Times New Roman"/>
          <w:bCs/>
          <w:sz w:val="24"/>
          <w:szCs w:val="24"/>
        </w:rPr>
        <w:t>）《关于进一步加强环境影响评价违法项目责任追究的通知》（环办函[2015]389号，2015年3月18日）；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w:t>
      </w:r>
      <w:r>
        <w:rPr>
          <w:rFonts w:hint="eastAsia" w:ascii="Times New Roman" w:hAnsi="Times New Roman" w:eastAsia="宋体" w:cs="Times New Roman"/>
          <w:bCs/>
          <w:sz w:val="24"/>
          <w:szCs w:val="24"/>
          <w:lang w:val="en-US" w:eastAsia="zh-CN"/>
        </w:rPr>
        <w:t>1</w:t>
      </w:r>
      <w:r>
        <w:rPr>
          <w:rFonts w:ascii="Times New Roman" w:hAnsi="Times New Roman" w:eastAsia="宋体" w:cs="Times New Roman"/>
          <w:bCs/>
          <w:sz w:val="24"/>
          <w:szCs w:val="24"/>
        </w:rPr>
        <w:t>）《产业结构调整指导目录（2011年本）》及“关于《产业结构调整指导目录（2011年本》有关条款的决定”（国家发改委2013年第21号令，2013年5月1日）；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w:t>
      </w:r>
      <w:r>
        <w:rPr>
          <w:rFonts w:hint="eastAsia" w:ascii="Times New Roman" w:hAnsi="Times New Roman" w:eastAsia="宋体" w:cs="Times New Roman"/>
          <w:bCs/>
          <w:sz w:val="24"/>
          <w:szCs w:val="24"/>
          <w:lang w:val="en-US" w:eastAsia="zh-CN"/>
        </w:rPr>
        <w:t>2</w:t>
      </w:r>
      <w:r>
        <w:rPr>
          <w:rFonts w:ascii="Times New Roman" w:hAnsi="Times New Roman" w:eastAsia="宋体" w:cs="Times New Roman"/>
          <w:bCs/>
          <w:sz w:val="24"/>
          <w:szCs w:val="24"/>
        </w:rPr>
        <w:t>）《部分工业行业淘汰落后生产工艺装备和产品指导目录（2010年本）》（工产业[2010]第122号，2010年12月6日）；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w:t>
      </w:r>
      <w:r>
        <w:rPr>
          <w:rFonts w:hint="eastAsia" w:ascii="Times New Roman" w:hAnsi="Times New Roman" w:eastAsia="宋体" w:cs="Times New Roman"/>
          <w:bCs/>
          <w:sz w:val="24"/>
          <w:szCs w:val="24"/>
          <w:lang w:val="en-US" w:eastAsia="zh-CN"/>
        </w:rPr>
        <w:t>3</w:t>
      </w:r>
      <w:r>
        <w:rPr>
          <w:rFonts w:ascii="Times New Roman" w:hAnsi="Times New Roman" w:eastAsia="宋体" w:cs="Times New Roman"/>
          <w:bCs/>
          <w:sz w:val="24"/>
          <w:szCs w:val="24"/>
        </w:rPr>
        <w:t>）《关于切实加强风险防范严格环境影响评价管理的通知》（环发[2012]98号，2012年8月8日）；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w:t>
      </w:r>
      <w:r>
        <w:rPr>
          <w:rFonts w:hint="eastAsia" w:ascii="Times New Roman" w:hAnsi="Times New Roman" w:eastAsia="宋体" w:cs="Times New Roman"/>
          <w:bCs/>
          <w:sz w:val="24"/>
          <w:szCs w:val="24"/>
          <w:lang w:val="en-US" w:eastAsia="zh-CN"/>
        </w:rPr>
        <w:t>4</w:t>
      </w:r>
      <w:r>
        <w:rPr>
          <w:rFonts w:ascii="Times New Roman" w:hAnsi="Times New Roman" w:eastAsia="宋体" w:cs="Times New Roman"/>
          <w:bCs/>
          <w:sz w:val="24"/>
          <w:szCs w:val="24"/>
        </w:rPr>
        <w:t>）《关于进一步加强环境影响评价管理防范环境风险的通知》（环发[2012]77号，2012年7月3号）；</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w:t>
      </w:r>
      <w:r>
        <w:rPr>
          <w:rFonts w:hint="eastAsia" w:ascii="Times New Roman" w:hAnsi="Times New Roman" w:eastAsia="宋体" w:cs="Times New Roman"/>
          <w:bCs/>
          <w:sz w:val="24"/>
          <w:szCs w:val="24"/>
          <w:lang w:val="en-US" w:eastAsia="zh-CN"/>
        </w:rPr>
        <w:t>5</w:t>
      </w:r>
      <w:r>
        <w:rPr>
          <w:rFonts w:ascii="Times New Roman" w:hAnsi="Times New Roman" w:eastAsia="宋体" w:cs="Times New Roman"/>
          <w:bCs/>
          <w:sz w:val="24"/>
          <w:szCs w:val="24"/>
        </w:rPr>
        <w:t>）《关于进一步加强工业节水工作的意见》（工信部节[2010]218号，2010年5月4日）；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w:t>
      </w:r>
      <w:r>
        <w:rPr>
          <w:rFonts w:hint="eastAsia" w:ascii="Times New Roman" w:hAnsi="Times New Roman" w:eastAsia="宋体" w:cs="Times New Roman"/>
          <w:bCs/>
          <w:sz w:val="24"/>
          <w:szCs w:val="24"/>
          <w:lang w:val="en-US" w:eastAsia="zh-CN"/>
        </w:rPr>
        <w:t>6</w:t>
      </w:r>
      <w:r>
        <w:rPr>
          <w:rFonts w:ascii="Times New Roman" w:hAnsi="Times New Roman" w:eastAsia="宋体" w:cs="Times New Roman"/>
          <w:bCs/>
          <w:sz w:val="24"/>
          <w:szCs w:val="24"/>
        </w:rPr>
        <w:t>）《关于抑制部分行业产能过剩和重复建设引导产业健康发展若干意见的通知》（国发[2009]38号，2009年9月26日）；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w:t>
      </w:r>
      <w:r>
        <w:rPr>
          <w:rFonts w:hint="eastAsia" w:ascii="Times New Roman" w:hAnsi="Times New Roman" w:eastAsia="宋体" w:cs="Times New Roman"/>
          <w:bCs/>
          <w:sz w:val="24"/>
          <w:szCs w:val="24"/>
          <w:lang w:val="en-US" w:eastAsia="zh-CN"/>
        </w:rPr>
        <w:t>7</w:t>
      </w:r>
      <w:r>
        <w:rPr>
          <w:rFonts w:ascii="Times New Roman" w:hAnsi="Times New Roman" w:eastAsia="宋体" w:cs="Times New Roman"/>
          <w:bCs/>
          <w:sz w:val="24"/>
          <w:szCs w:val="24"/>
        </w:rPr>
        <w:t>）《关于贯彻落实抑制部分行业产能过剩和重复建设引导产业健康发展的通知》（环发[2009]127号，2009年10月31日）；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w:t>
      </w:r>
      <w:r>
        <w:rPr>
          <w:rFonts w:hint="eastAsia" w:ascii="Times New Roman" w:hAnsi="Times New Roman" w:eastAsia="宋体" w:cs="Times New Roman"/>
          <w:bCs/>
          <w:sz w:val="24"/>
          <w:szCs w:val="24"/>
          <w:lang w:val="en-US" w:eastAsia="zh-CN"/>
        </w:rPr>
        <w:t>8</w:t>
      </w:r>
      <w:r>
        <w:rPr>
          <w:rFonts w:ascii="Times New Roman" w:hAnsi="Times New Roman" w:eastAsia="宋体" w:cs="Times New Roman"/>
          <w:bCs/>
          <w:sz w:val="24"/>
          <w:szCs w:val="24"/>
        </w:rPr>
        <w:t>）《国务院关于印发节能减排综合性工作方案的通知》(国发[2007]15号，2007年6月3日)；</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29</w:t>
      </w:r>
      <w:r>
        <w:rPr>
          <w:rFonts w:ascii="Times New Roman" w:hAnsi="Times New Roman" w:eastAsia="宋体" w:cs="Times New Roman"/>
          <w:bCs/>
          <w:sz w:val="24"/>
          <w:szCs w:val="24"/>
        </w:rPr>
        <w:t>）《关于钢铁工业节能减排的指导意见》（工信部节[2010]176号，2010年4月13日）</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w:t>
      </w:r>
      <w:r>
        <w:rPr>
          <w:rFonts w:hint="eastAsia" w:ascii="Times New Roman" w:hAnsi="Times New Roman" w:eastAsia="宋体" w:cs="Times New Roman"/>
          <w:bCs/>
          <w:sz w:val="24"/>
          <w:szCs w:val="24"/>
          <w:lang w:val="en-US" w:eastAsia="zh-CN"/>
        </w:rPr>
        <w:t>0</w:t>
      </w:r>
      <w:r>
        <w:rPr>
          <w:rFonts w:ascii="Times New Roman" w:hAnsi="Times New Roman" w:eastAsia="宋体" w:cs="Times New Roman"/>
          <w:bCs/>
          <w:sz w:val="24"/>
          <w:szCs w:val="24"/>
        </w:rPr>
        <w:t>）《国务院办公厅关于进一步加大节能减排力度加快钢铁工业结构调整的若干意见》（国发办[2010]34号，2010年6月4日）；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w:t>
      </w:r>
      <w:r>
        <w:rPr>
          <w:rFonts w:hint="eastAsia" w:ascii="Times New Roman" w:hAnsi="Times New Roman" w:eastAsia="宋体" w:cs="Times New Roman"/>
          <w:bCs/>
          <w:sz w:val="24"/>
          <w:szCs w:val="24"/>
          <w:lang w:val="en-US" w:eastAsia="zh-CN"/>
        </w:rPr>
        <w:t>1</w:t>
      </w:r>
      <w:r>
        <w:rPr>
          <w:rFonts w:ascii="Times New Roman" w:hAnsi="Times New Roman" w:eastAsia="宋体" w:cs="Times New Roman"/>
          <w:bCs/>
          <w:sz w:val="24"/>
          <w:szCs w:val="24"/>
        </w:rPr>
        <w:t>）《国家发展改革委、工业和信息化部关于进一步加强高耗能高排放和产能过剩行业固定资产投资项目管理坚决制止违规建设行为的通知》（特急发改产业[2010]1635号，2010年8月4日）；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32</w:t>
      </w:r>
      <w:r>
        <w:rPr>
          <w:rFonts w:ascii="Times New Roman" w:hAnsi="Times New Roman" w:eastAsia="宋体" w:cs="Times New Roman"/>
          <w:bCs/>
          <w:sz w:val="24"/>
          <w:szCs w:val="24"/>
        </w:rPr>
        <w:t>）《贯彻落实&lt;国务院办公厅关于进一步加大节能减排力度加快钢铁工业结构调整的若干意见&gt;有关工作的通知》（工信部原[2010]381号，2010年8月9日）；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w:t>
      </w:r>
      <w:r>
        <w:rPr>
          <w:rFonts w:hint="eastAsia" w:ascii="Times New Roman" w:hAnsi="Times New Roman" w:eastAsia="宋体" w:cs="Times New Roman"/>
          <w:bCs/>
          <w:sz w:val="24"/>
          <w:szCs w:val="24"/>
          <w:lang w:val="en-US" w:eastAsia="zh-CN"/>
        </w:rPr>
        <w:t>3</w:t>
      </w:r>
      <w:r>
        <w:rPr>
          <w:rFonts w:ascii="Times New Roman" w:hAnsi="Times New Roman" w:eastAsia="宋体" w:cs="Times New Roman"/>
          <w:bCs/>
          <w:sz w:val="24"/>
          <w:szCs w:val="24"/>
        </w:rPr>
        <w:t>）《钢铁产业发展政策》（国家发展和改革委员会令第35号，2005年7月8日）；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w:t>
      </w:r>
      <w:r>
        <w:rPr>
          <w:rFonts w:hint="eastAsia" w:ascii="Times New Roman" w:hAnsi="Times New Roman" w:eastAsia="宋体" w:cs="Times New Roman"/>
          <w:bCs/>
          <w:sz w:val="24"/>
          <w:szCs w:val="24"/>
          <w:lang w:val="en-US" w:eastAsia="zh-CN"/>
        </w:rPr>
        <w:t>4</w:t>
      </w:r>
      <w:r>
        <w:rPr>
          <w:rFonts w:ascii="Times New Roman" w:hAnsi="Times New Roman" w:eastAsia="宋体" w:cs="Times New Roman"/>
          <w:bCs/>
          <w:sz w:val="24"/>
          <w:szCs w:val="24"/>
        </w:rPr>
        <w:t>）《钢铁行业规范条件（2015年修订）》（工产业[2015]第35号，2015年5月19日）；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w:t>
      </w:r>
      <w:r>
        <w:rPr>
          <w:rFonts w:hint="eastAsia" w:ascii="Times New Roman" w:hAnsi="Times New Roman" w:eastAsia="宋体" w:cs="Times New Roman"/>
          <w:bCs/>
          <w:sz w:val="24"/>
          <w:szCs w:val="24"/>
          <w:lang w:val="en-US" w:eastAsia="zh-CN"/>
        </w:rPr>
        <w:t>5</w:t>
      </w:r>
      <w:r>
        <w:rPr>
          <w:rFonts w:ascii="Times New Roman" w:hAnsi="Times New Roman" w:eastAsia="宋体" w:cs="Times New Roman"/>
          <w:bCs/>
          <w:sz w:val="24"/>
          <w:szCs w:val="24"/>
        </w:rPr>
        <w:t>）《国务院关于落实科学发展观加强环境保护的决定》（国发[2005]39号，2005年12月3日）；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w:t>
      </w:r>
      <w:r>
        <w:rPr>
          <w:rFonts w:hint="eastAsia" w:ascii="Times New Roman" w:hAnsi="Times New Roman" w:eastAsia="宋体" w:cs="Times New Roman"/>
          <w:bCs/>
          <w:sz w:val="24"/>
          <w:szCs w:val="24"/>
          <w:lang w:val="en-US" w:eastAsia="zh-CN"/>
        </w:rPr>
        <w:t>6</w:t>
      </w:r>
      <w:r>
        <w:rPr>
          <w:rFonts w:ascii="Times New Roman" w:hAnsi="Times New Roman" w:eastAsia="宋体" w:cs="Times New Roman"/>
          <w:bCs/>
          <w:sz w:val="24"/>
          <w:szCs w:val="24"/>
        </w:rPr>
        <w:t>）《国家危险废物名录》（环境保护部令第39号，2016年6月14日）；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w:t>
      </w:r>
      <w:r>
        <w:rPr>
          <w:rFonts w:hint="eastAsia" w:ascii="Times New Roman" w:hAnsi="Times New Roman" w:eastAsia="宋体" w:cs="Times New Roman"/>
          <w:bCs/>
          <w:sz w:val="24"/>
          <w:szCs w:val="24"/>
          <w:lang w:val="en-US" w:eastAsia="zh-CN"/>
        </w:rPr>
        <w:t>7</w:t>
      </w:r>
      <w:r>
        <w:rPr>
          <w:rFonts w:ascii="Times New Roman" w:hAnsi="Times New Roman" w:eastAsia="宋体" w:cs="Times New Roman"/>
          <w:bCs/>
          <w:sz w:val="24"/>
          <w:szCs w:val="24"/>
        </w:rPr>
        <w:t>）《关于发布《建设项目危险废物环境影响评价指南》的公告》（环境保护部公告2017年第43号，2017年9月1日）；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w:t>
      </w:r>
      <w:r>
        <w:rPr>
          <w:rFonts w:hint="eastAsia" w:ascii="Times New Roman" w:hAnsi="Times New Roman" w:eastAsia="宋体" w:cs="Times New Roman"/>
          <w:bCs/>
          <w:sz w:val="24"/>
          <w:szCs w:val="24"/>
          <w:lang w:val="en-US" w:eastAsia="zh-CN"/>
        </w:rPr>
        <w:t>8</w:t>
      </w:r>
      <w:r>
        <w:rPr>
          <w:rFonts w:ascii="Times New Roman" w:hAnsi="Times New Roman" w:eastAsia="宋体" w:cs="Times New Roman"/>
          <w:bCs/>
          <w:sz w:val="24"/>
          <w:szCs w:val="24"/>
        </w:rPr>
        <w:t>）《国务院办公厅关于印发国家突发环境事件应急预案的通知》（国办函[2014]119号，2014年12月29日）；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39</w:t>
      </w:r>
      <w:r>
        <w:rPr>
          <w:rFonts w:ascii="Times New Roman" w:hAnsi="Times New Roman" w:eastAsia="宋体" w:cs="Times New Roman"/>
          <w:bCs/>
          <w:sz w:val="24"/>
          <w:szCs w:val="24"/>
        </w:rPr>
        <w:t>）《环境保护部办公厅关于进一步做好环保违法违规建设项目清理工作的通知》（环办环监[2016]46号，2016年）；</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（4</w:t>
      </w:r>
      <w:r>
        <w:rPr>
          <w:rFonts w:hint="eastAsia" w:ascii="Times New Roman" w:hAnsi="Times New Roman" w:eastAsia="宋体" w:cs="Times New Roman"/>
          <w:bCs/>
          <w:sz w:val="24"/>
          <w:szCs w:val="24"/>
          <w:lang w:val="en-US" w:eastAsia="zh-CN"/>
        </w:rPr>
        <w:t>0</w:t>
      </w:r>
      <w:r>
        <w:rPr>
          <w:rFonts w:ascii="Times New Roman" w:hAnsi="Times New Roman" w:eastAsia="宋体" w:cs="Times New Roman"/>
          <w:bCs/>
          <w:sz w:val="24"/>
          <w:szCs w:val="24"/>
        </w:rPr>
        <w:t>）《国家发展改革委工业和信息化部关于印发对钢铁、电解铝、船舶行业违规项目清理意见的通知》（发改产业[2015]1494号，2015年6月29日）</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rPr>
        <w:t>4</w:t>
      </w:r>
      <w:r>
        <w:rPr>
          <w:rFonts w:hint="eastAsia" w:ascii="Times New Roman" w:hAnsi="Times New Roman" w:eastAsia="宋体" w:cs="Times New Roman"/>
          <w:bCs/>
          <w:sz w:val="24"/>
          <w:szCs w:val="24"/>
          <w:lang w:val="en-US" w:eastAsia="zh-CN"/>
        </w:rPr>
        <w:t>1</w:t>
      </w:r>
      <w:r>
        <w:rPr>
          <w:rFonts w:ascii="Times New Roman" w:hAnsi="Times New Roman" w:eastAsia="宋体" w:cs="Times New Roman"/>
          <w:bCs/>
          <w:sz w:val="24"/>
          <w:szCs w:val="24"/>
        </w:rPr>
        <w:t>）《关于做好钢铁、水泥行业排污许可证管理工作的通知》（环办规财[2017]68号，2017年8月16日）；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w:t>
      </w:r>
      <w:r>
        <w:rPr>
          <w:rFonts w:hint="eastAsia" w:ascii="Times New Roman" w:hAnsi="Times New Roman" w:eastAsia="宋体" w:cs="Times New Roman"/>
          <w:bCs/>
          <w:sz w:val="24"/>
          <w:szCs w:val="24"/>
          <w:lang w:val="en-US" w:eastAsia="zh-CN"/>
        </w:rPr>
        <w:t>2</w:t>
      </w:r>
      <w:r>
        <w:rPr>
          <w:rFonts w:ascii="Times New Roman" w:hAnsi="Times New Roman" w:eastAsia="宋体" w:cs="Times New Roman"/>
          <w:bCs/>
          <w:sz w:val="24"/>
          <w:szCs w:val="24"/>
        </w:rPr>
        <w:t>）《环境影响评价公众参与办法》（生态环境部 部令 第4号，2019年1月1日施行）；</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w:t>
      </w:r>
      <w:r>
        <w:rPr>
          <w:rFonts w:hint="eastAsia" w:ascii="Times New Roman" w:hAnsi="Times New Roman" w:eastAsia="宋体" w:cs="Times New Roman"/>
          <w:bCs/>
          <w:sz w:val="24"/>
          <w:szCs w:val="24"/>
          <w:lang w:val="en-US" w:eastAsia="zh-CN"/>
        </w:rPr>
        <w:t>3</w:t>
      </w:r>
      <w:r>
        <w:rPr>
          <w:rFonts w:ascii="Times New Roman" w:hAnsi="Times New Roman" w:eastAsia="宋体" w:cs="Times New Roman"/>
          <w:bCs/>
          <w:sz w:val="24"/>
          <w:szCs w:val="24"/>
        </w:rPr>
        <w:t>）《关于加强二噁英污染防治的指导意见》（环境保护部 环发[2010]123号，2010年10月19日）；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w:t>
      </w:r>
      <w:r>
        <w:rPr>
          <w:rFonts w:hint="eastAsia" w:ascii="Times New Roman" w:hAnsi="Times New Roman" w:eastAsia="宋体" w:cs="Times New Roman"/>
          <w:bCs/>
          <w:sz w:val="24"/>
          <w:szCs w:val="24"/>
          <w:lang w:val="en-US" w:eastAsia="zh-CN"/>
        </w:rPr>
        <w:t>4</w:t>
      </w:r>
      <w:r>
        <w:rPr>
          <w:rFonts w:ascii="Times New Roman" w:hAnsi="Times New Roman" w:eastAsia="宋体" w:cs="Times New Roman"/>
          <w:bCs/>
          <w:sz w:val="24"/>
          <w:szCs w:val="24"/>
        </w:rPr>
        <w:t>）《《重点行业二噁英污染防治技术政策》等5份指导性文件的公告》（环境保护部公告2015年第90号，2015年12月24日）；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w:t>
      </w:r>
      <w:r>
        <w:rPr>
          <w:rFonts w:hint="eastAsia" w:ascii="Times New Roman" w:hAnsi="Times New Roman" w:eastAsia="宋体" w:cs="Times New Roman"/>
          <w:bCs/>
          <w:sz w:val="24"/>
          <w:szCs w:val="24"/>
          <w:lang w:val="en-US" w:eastAsia="zh-CN"/>
        </w:rPr>
        <w:t>5</w:t>
      </w:r>
      <w:r>
        <w:rPr>
          <w:rFonts w:ascii="Times New Roman" w:hAnsi="Times New Roman" w:eastAsia="宋体" w:cs="Times New Roman"/>
          <w:bCs/>
          <w:sz w:val="24"/>
          <w:szCs w:val="24"/>
        </w:rPr>
        <w:t>）《关于落实大气污染防治行动计划严格环境影响评价准入的通知》（环境保护部 环发[2014]30号，2014年3月）；</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w:t>
      </w:r>
      <w:r>
        <w:rPr>
          <w:rFonts w:hint="eastAsia" w:ascii="Times New Roman" w:hAnsi="Times New Roman" w:eastAsia="宋体" w:cs="Times New Roman"/>
          <w:bCs/>
          <w:sz w:val="24"/>
          <w:szCs w:val="24"/>
          <w:lang w:val="en-US" w:eastAsia="zh-CN"/>
        </w:rPr>
        <w:t>6</w:t>
      </w:r>
      <w:r>
        <w:rPr>
          <w:rFonts w:ascii="Times New Roman" w:hAnsi="Times New Roman" w:eastAsia="宋体" w:cs="Times New Roman"/>
          <w:bCs/>
          <w:sz w:val="24"/>
          <w:szCs w:val="24"/>
        </w:rPr>
        <w:t>）《国务院关于印发打赢蓝天保卫战三年行动计划的通知》（中华人民共和国国务院 国发[2018]22号，2018年6月27日）；</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rPr>
        <w:t>4</w:t>
      </w:r>
      <w:r>
        <w:rPr>
          <w:rFonts w:hint="eastAsia" w:ascii="Times New Roman" w:hAnsi="Times New Roman" w:eastAsia="宋体" w:cs="Times New Roman"/>
          <w:bCs/>
          <w:sz w:val="24"/>
          <w:szCs w:val="24"/>
          <w:lang w:val="en-US" w:eastAsia="zh-CN"/>
        </w:rPr>
        <w:t>7</w:t>
      </w:r>
      <w:r>
        <w:rPr>
          <w:rFonts w:ascii="Times New Roman" w:hAnsi="Times New Roman" w:eastAsia="宋体" w:cs="Times New Roman"/>
          <w:bCs/>
          <w:sz w:val="24"/>
          <w:szCs w:val="24"/>
        </w:rPr>
        <w:t>）《关于推进实施钢铁行业超低排放的意见》（生态环境部、国家发展和改革委员会、工业和信息化部、财政部、交通运输部 环大气[2019]35号，2019年4月28日）</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lang w:eastAsia="zh-CN"/>
        </w:rPr>
      </w:pPr>
      <w:r>
        <w:rPr>
          <w:rFonts w:hint="eastAsia" w:ascii="Times New Roman" w:hAnsi="Times New Roman" w:eastAsia="宋体" w:cs="Times New Roman"/>
          <w:bCs/>
          <w:color w:val="FF0000"/>
          <w:sz w:val="24"/>
          <w:szCs w:val="24"/>
          <w:lang w:eastAsia="zh-CN"/>
        </w:rPr>
        <w:t>（</w:t>
      </w:r>
      <w:r>
        <w:rPr>
          <w:rFonts w:hint="eastAsia" w:ascii="Times New Roman" w:hAnsi="Times New Roman" w:eastAsia="宋体" w:cs="Times New Roman"/>
          <w:bCs/>
          <w:color w:val="FF0000"/>
          <w:sz w:val="24"/>
          <w:szCs w:val="24"/>
          <w:lang w:val="en-US" w:eastAsia="zh-CN"/>
        </w:rPr>
        <w:t>48</w:t>
      </w:r>
      <w:r>
        <w:rPr>
          <w:rFonts w:hint="eastAsia" w:ascii="Times New Roman" w:hAnsi="Times New Roman" w:eastAsia="宋体" w:cs="Times New Roman"/>
          <w:bCs/>
          <w:color w:val="FF0000"/>
          <w:sz w:val="24"/>
          <w:szCs w:val="24"/>
          <w:lang w:eastAsia="zh-CN"/>
        </w:rPr>
        <w:t>）关于印发《工业炉窑大气污染综合治理方案》的通知（生态环境部、发展改革委、工业和信息化部、财政部</w:t>
      </w:r>
      <w:r>
        <w:rPr>
          <w:rFonts w:hint="eastAsia" w:ascii="Times New Roman" w:hAnsi="Times New Roman" w:eastAsia="宋体" w:cs="Times New Roman"/>
          <w:bCs/>
          <w:color w:val="FF0000"/>
          <w:sz w:val="24"/>
          <w:szCs w:val="24"/>
          <w:lang w:val="en-US" w:eastAsia="zh-CN"/>
        </w:rPr>
        <w:t xml:space="preserve"> 环大气[2019]56号，2019年7月1日</w:t>
      </w:r>
      <w:r>
        <w:rPr>
          <w:rFonts w:hint="eastAsia" w:ascii="Times New Roman" w:hAnsi="Times New Roman" w:eastAsia="宋体" w:cs="Times New Roman"/>
          <w:bCs/>
          <w:color w:val="FF0000"/>
          <w:sz w:val="24"/>
          <w:szCs w:val="24"/>
          <w:lang w:eastAsia="zh-CN"/>
        </w:rPr>
        <w:t>）。</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1.1.2地方法规规章及政策规划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（1）《安徽省环境保护条例》（安徽省第十二届人民代表大会常务委员会第四十一次会议修订，2018年1月1日施行）；</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（2）《安徽省大气污染防治条例》（安徽省第十三届人民代表大会常务委员会第五次会议修正，2018年9月29日）；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w:t>
      </w:r>
      <w:r>
        <w:rPr>
          <w:rFonts w:ascii="Times New Roman" w:hAnsi="Times New Roman" w:eastAsia="宋体" w:cs="Times New Roman"/>
          <w:color w:val="333333"/>
          <w:sz w:val="24"/>
          <w:szCs w:val="24"/>
          <w:shd w:val="clear" w:color="auto" w:fill="F7F7F7"/>
        </w:rPr>
        <w:t>安徽省水污染防治工作方案</w:t>
      </w:r>
      <w:r>
        <w:rPr>
          <w:rFonts w:ascii="Times New Roman" w:hAnsi="Times New Roman" w:eastAsia="宋体" w:cs="Times New Roman"/>
          <w:bCs/>
          <w:sz w:val="24"/>
          <w:szCs w:val="24"/>
        </w:rPr>
        <w:t>》（皖政[2015]131号，2015年12月29日）；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（4）《安徽省土壤污染防治工作方案》（皖政[2016]116号，2016年12月29日）；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（5）安徽省环保厅《关于切实加强环境影响评价监督管理工作的通知和关于印发建设项目环境影响评价政府信息公开指南（试行）的通知》（皖环函[2013]1533号）；</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（6）安徽省环保厅《关于进一步加强建设项目影响评价管理防范环境风险的通知》（环评函[2012]852号，2012年8月6日）；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（7）《安徽省钢铁产业调整和振兴规划》（安徽省发改委，2010年4月27日）；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（8）《安徽省发展改革委安徽省经济和信息化委转发国家发展改革委工业和信息化部关于印发对钢铁电解铝船舶行业违规项目清理意见的通知》（皖发改产业[2015]373号，2015年7月22日）；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（9）安徽省人民政府办公厅《关于钢铁行业化解过剩产能实现脱困发展的实施意见》（2016年12月12日）；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（10）《安徽省人民政府关于钢铁行业化解过剩产能实现脱困发展的实施意见》（皖政[2016]77号，2016年12月14日）；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（11）《关于全面打造水清岸绿产业优美丽长江（安徽）经济带的实施意见》（中共安徽省委文件 皖发[2018]21号），2018年6月27日；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（12）《长江经济带生态环境保护规划》（原环境保护部、发展改革委、水利部 环规财[2017]88号，2017年7月21日）；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（13）《2019年安徽省大气污染防治重点工作任务》（安徽省大气办 皖大气办2019[5]号，2019年2月28日）；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（14）《芜湖市城市总体规划（2012~2030）》（芜湖市人民政府，2012年5月）；</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（15）《三山经济开发区控制性详细规划（调整）》（中铁芜湖规划设计研究院有限公司  三山经济开发区管委会，2010年12月）；</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（16）芜湖市环境保护委员会关于《芜湖市突出环境问题整改方案》的通知（芜环委办[2017]17号，2017年6月14日）；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（17）《芜湖市2017年蓝天行动实施方案》（芜湖市人民政府办公室，2017年8月16日）；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（18）《芜湖市水污染防治工作方案》（芜湖市人民政府办公室 芜政[2016]8号，2016年1月27日）；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（19）《芜湖市土壤污染防治工作方案》（芜湖市人民政府办公室 芜政〔2016〕119号，2016年12月26日）；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（20）《芜湖市发展改革委（物价局）芜湖市经济和信息化委关于芜湖新兴铸管有限责任公司搬迁技术改造项目备案的通知》（芜发改产业[2015]328号，2015年7月30日）。</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1.1.3环境保护技术导则及规范</w:t>
      </w:r>
    </w:p>
    <w:p>
      <w:pPr>
        <w:keepNext w:val="0"/>
        <w:keepLines w:val="0"/>
        <w:pageBreakBefore w:val="0"/>
        <w:numPr>
          <w:ilvl w:val="0"/>
          <w:numId w:val="4"/>
        </w:numPr>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rPr>
      </w:pPr>
      <w:r>
        <w:rPr>
          <w:rFonts w:hint="eastAsia" w:ascii="Times New Roman" w:hAnsi="Times New Roman" w:eastAsia="宋体" w:cs="Times New Roman"/>
          <w:bCs/>
          <w:color w:val="FF0000"/>
          <w:sz w:val="24"/>
          <w:szCs w:val="24"/>
        </w:rPr>
        <w:t>《建设项目环境影响后评价管理办法》（环保部令第37号，2016年1月1日）</w:t>
      </w:r>
      <w:r>
        <w:rPr>
          <w:rFonts w:hint="eastAsia" w:ascii="Times New Roman" w:hAnsi="Times New Roman" w:eastAsia="宋体" w:cs="Times New Roman"/>
          <w:bCs/>
          <w:color w:val="FF0000"/>
          <w:sz w:val="24"/>
          <w:szCs w:val="24"/>
          <w:lang w:eastAsia="zh-CN"/>
        </w:rPr>
        <w:t>；</w:t>
      </w:r>
    </w:p>
    <w:p>
      <w:pPr>
        <w:keepNext w:val="0"/>
        <w:keepLines w:val="0"/>
        <w:pageBreakBefore w:val="0"/>
        <w:numPr>
          <w:ilvl w:val="0"/>
          <w:numId w:val="4"/>
        </w:numPr>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《建设项目环境影响评价技术导则 总纲》（HJ2.1-2016）；</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3</w:t>
      </w:r>
      <w:r>
        <w:rPr>
          <w:rFonts w:ascii="Times New Roman" w:hAnsi="Times New Roman" w:eastAsia="宋体" w:cs="Times New Roman"/>
          <w:bCs/>
          <w:sz w:val="24"/>
          <w:szCs w:val="24"/>
        </w:rPr>
        <w:t>）《环境影响评价技术导则 大气环境》（HJ2.2-20</w:t>
      </w:r>
      <w:r>
        <w:rPr>
          <w:rFonts w:hint="eastAsia" w:ascii="Times New Roman" w:hAnsi="Times New Roman" w:eastAsia="宋体" w:cs="Times New Roman"/>
          <w:bCs/>
          <w:sz w:val="24"/>
          <w:szCs w:val="24"/>
          <w:lang w:val="en-US" w:eastAsia="zh-CN"/>
        </w:rPr>
        <w:t>1</w:t>
      </w:r>
      <w:r>
        <w:rPr>
          <w:rFonts w:ascii="Times New Roman" w:hAnsi="Times New Roman" w:eastAsia="宋体" w:cs="Times New Roman"/>
          <w:bCs/>
          <w:sz w:val="24"/>
          <w:szCs w:val="24"/>
        </w:rPr>
        <w:t>8）；</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4</w:t>
      </w:r>
      <w:r>
        <w:rPr>
          <w:rFonts w:ascii="Times New Roman" w:hAnsi="Times New Roman" w:eastAsia="宋体" w:cs="Times New Roman"/>
          <w:bCs/>
          <w:sz w:val="24"/>
          <w:szCs w:val="24"/>
        </w:rPr>
        <w:t>）《环境影响评价技术导则 地面水环境》（HJ2.3-2018）；</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5</w:t>
      </w:r>
      <w:r>
        <w:rPr>
          <w:rFonts w:ascii="Times New Roman" w:hAnsi="Times New Roman" w:eastAsia="宋体" w:cs="Times New Roman"/>
          <w:bCs/>
          <w:sz w:val="24"/>
          <w:szCs w:val="24"/>
        </w:rPr>
        <w:t>）《环境影响评价技术导则 地下水环境》（HJ610-2016）；</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6</w:t>
      </w:r>
      <w:r>
        <w:rPr>
          <w:rFonts w:ascii="Times New Roman" w:hAnsi="Times New Roman" w:eastAsia="宋体" w:cs="Times New Roman"/>
          <w:bCs/>
          <w:sz w:val="24"/>
          <w:szCs w:val="24"/>
        </w:rPr>
        <w:t>）《环境影响评价技术导则 声环境》（HJ/T2.4-2009）；</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7</w:t>
      </w:r>
      <w:r>
        <w:rPr>
          <w:rFonts w:ascii="Times New Roman" w:hAnsi="Times New Roman" w:eastAsia="宋体" w:cs="Times New Roman"/>
          <w:bCs/>
          <w:sz w:val="24"/>
          <w:szCs w:val="24"/>
        </w:rPr>
        <w:t>）《环境影响评价技术导则 生态影响》（HJ19-2011）；</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（8）《建设项目环境风险评价技术导则》（HJ169-2018）；</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（9）《环境影响评价技术导则 钢铁建设项目》（HJ708-2014）</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（10）《大气污染治理工程技术导则》（HJ2000-2010）；</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（11）《钢铁工业环境保护设计规范》（GB50406-2017）</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（12）《排污许可证申请与核发技术规范》（HJ942-2018）</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（13）《排污许可证申请与核发技术法规  钢铁工业》（HJ846-2017）；</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（14）《排污单位自行监测技术指南  钢铁工业及炼焦化学工业》（HJ878-2017）；</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（15）《污染源源强核算技术指南  钢铁工业》（HJ855-2018）</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（16）《危险废物收集、贮存、运输技术规范》（HJ2025-2012）；</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（17）《危险废物贮存污染控制标准》（GB18597-2001）；</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（18）《一般工业固体废物贮存、处置场污染控制标准（GB18599-2001）等3项国家污染物控制标准修改单》环境保护部公告2013年第36号。</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1.1.4建设项目有关文件</w:t>
      </w:r>
    </w:p>
    <w:p>
      <w:pPr>
        <w:keepNext w:val="0"/>
        <w:keepLines w:val="0"/>
        <w:pageBreakBefore w:val="0"/>
        <w:numPr>
          <w:ilvl w:val="0"/>
          <w:numId w:val="5"/>
        </w:numPr>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《关于立即组织开展环境影响后评价工作的通知》（原芜湖市环境保护局 芜环评函[2019]7号）；</w:t>
      </w:r>
    </w:p>
    <w:p>
      <w:pPr>
        <w:keepNext w:val="0"/>
        <w:keepLines w:val="0"/>
        <w:pageBreakBefore w:val="0"/>
        <w:numPr>
          <w:ilvl w:val="0"/>
          <w:numId w:val="5"/>
        </w:numPr>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芜湖新兴铸管有限责任公司厂区现有项目环评文件、环评批复、验收报告及验收意见等；</w:t>
      </w:r>
    </w:p>
    <w:p>
      <w:pPr>
        <w:keepNext w:val="0"/>
        <w:keepLines w:val="0"/>
        <w:pageBreakBefore w:val="0"/>
        <w:numPr>
          <w:ilvl w:val="0"/>
          <w:numId w:val="5"/>
        </w:numPr>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芜湖新兴铸管有限责任公司环境应急预案及备案文件；</w:t>
      </w:r>
    </w:p>
    <w:p>
      <w:pPr>
        <w:keepNext w:val="0"/>
        <w:keepLines w:val="0"/>
        <w:pageBreakBefore w:val="0"/>
        <w:numPr>
          <w:ilvl w:val="0"/>
          <w:numId w:val="5"/>
        </w:numPr>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危险废物处置协议及运输协议，危险废物转移联单；</w:t>
      </w:r>
    </w:p>
    <w:p>
      <w:pPr>
        <w:keepNext w:val="0"/>
        <w:keepLines w:val="0"/>
        <w:pageBreakBefore w:val="0"/>
        <w:numPr>
          <w:ilvl w:val="0"/>
          <w:numId w:val="5"/>
        </w:numPr>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芜湖新兴铸管有限责任公司提供其他资料。</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1.2</w:t>
      </w:r>
      <w:bookmarkStart w:id="0" w:name="_Toc418499321"/>
      <w:bookmarkStart w:id="1" w:name="_Toc486611121"/>
      <w:r>
        <w:rPr>
          <w:rFonts w:ascii="Times New Roman"/>
          <w:b w:val="0"/>
        </w:rPr>
        <w:t>环境影响因素识别和评价因子筛选</w:t>
      </w:r>
      <w:bookmarkEnd w:id="0"/>
      <w:bookmarkEnd w:id="1"/>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1.2.1环境影响因素识别</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芜湖新兴铸管有限责任公司现有项目生产工艺和污染物排放特征，分析现有项目对周边自然环境、生态环境、社会经济以及生活质量等诸因素产生的影响，采用矩阵法对受项目影响的环境要素进行识别筛选，其结果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_Ref444510309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表1.2-1</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w:t>
      </w:r>
    </w:p>
    <w:p>
      <w:pPr>
        <w:pStyle w:val="31"/>
        <w:keepNext w:val="0"/>
        <w:keepLines w:val="0"/>
        <w:pageBreakBefore w:val="0"/>
        <w:kinsoku/>
        <w:wordWrap/>
        <w:bidi w:val="0"/>
        <w:snapToGrid/>
        <w:spacing w:line="360" w:lineRule="auto"/>
        <w:rPr>
          <w:rFonts w:cs="Times New Roman"/>
        </w:rPr>
      </w:pPr>
      <w:r>
        <w:rPr>
          <w:rFonts w:cs="Times New Roman"/>
        </w:rPr>
        <w:t>表1.2-1  环境影响因素识别表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23"/>
        <w:gridCol w:w="1824"/>
        <w:gridCol w:w="532"/>
        <w:gridCol w:w="532"/>
        <w:gridCol w:w="532"/>
        <w:gridCol w:w="532"/>
        <w:gridCol w:w="532"/>
        <w:gridCol w:w="532"/>
        <w:gridCol w:w="532"/>
        <w:gridCol w:w="531"/>
        <w:gridCol w:w="532"/>
        <w:gridCol w:w="547"/>
        <w:gridCol w:w="532"/>
        <w:gridCol w:w="532"/>
        <w:gridCol w:w="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20" w:hRule="atLeast"/>
          <w:jc w:val="center"/>
        </w:trPr>
        <w:tc>
          <w:tcPr>
            <w:tcW w:w="2147" w:type="dxa"/>
            <w:gridSpan w:val="2"/>
            <w:vMerge w:val="restart"/>
            <w:tcBorders>
              <w:tl2br w:val="nil"/>
              <w:tr2bl w:val="nil"/>
            </w:tcBorders>
            <w:vAlign w:val="center"/>
          </w:tcPr>
          <w:p>
            <w:pPr>
              <w:pStyle w:val="41"/>
              <w:keepNext w:val="0"/>
              <w:keepLines w:val="0"/>
              <w:pageBreakBefore w:val="0"/>
              <w:kinsoku/>
              <w:wordWrap/>
              <w:bidi w:val="0"/>
              <w:snapToGrid/>
              <w:spacing w:line="240" w:lineRule="auto"/>
              <w:jc w:val="right"/>
              <w:rPr>
                <w:b/>
                <w:bCs/>
                <w:szCs w:val="21"/>
              </w:rPr>
            </w:pPr>
            <w:r>
              <w:rPr>
                <w:b/>
                <w:bCs/>
                <w:szCs w:val="21"/>
              </w:rPr>
              <w:pict>
                <v:line id="直接连接符 2" o:spid="_x0000_s1026" o:spt="20" style="position:absolute;left:0pt;margin-left:46.3pt;margin-top:-0.05pt;height:47pt;width:57.45pt;z-index:251673600;mso-width-relative:page;mso-height-relative:page;" coordsize="21600,21600">
                  <v:path arrowok="t"/>
                  <v:fill focussize="0,0"/>
                  <v:stroke weight="0.5pt"/>
                  <v:imagedata o:title=""/>
                  <o:lock v:ext="edit"/>
                </v:line>
              </w:pict>
            </w:r>
            <w:r>
              <w:rPr>
                <w:b/>
                <w:bCs/>
                <w:szCs w:val="21"/>
              </w:rPr>
              <w:t>环境资源</w:t>
            </w:r>
          </w:p>
          <w:p>
            <w:pPr>
              <w:pStyle w:val="41"/>
              <w:keepNext w:val="0"/>
              <w:keepLines w:val="0"/>
              <w:pageBreakBefore w:val="0"/>
              <w:kinsoku/>
              <w:wordWrap/>
              <w:bidi w:val="0"/>
              <w:snapToGrid/>
              <w:spacing w:line="240" w:lineRule="auto"/>
              <w:rPr>
                <w:b/>
                <w:bCs/>
                <w:szCs w:val="21"/>
              </w:rPr>
            </w:pPr>
            <w:r>
              <w:rPr>
                <w:b/>
                <w:bCs/>
                <w:szCs w:val="21"/>
              </w:rPr>
              <w:pict>
                <v:line id="直接连接符 1" o:spid="_x0000_s1027" o:spt="20" style="position:absolute;left:0pt;flip:x y;margin-left:-0.6pt;margin-top:2.5pt;height:28.9pt;width:101.7pt;z-index:251674624;mso-width-relative:page;mso-height-relative:page;" coordsize="21600,21600">
                  <v:path arrowok="t"/>
                  <v:fill focussize="0,0"/>
                  <v:stroke weight="0.5pt"/>
                  <v:imagedata o:title=""/>
                  <o:lock v:ext="edit"/>
                </v:line>
              </w:pict>
            </w:r>
            <w:r>
              <w:rPr>
                <w:b/>
                <w:bCs/>
                <w:szCs w:val="21"/>
              </w:rPr>
              <w:t>影响程度</w:t>
            </w:r>
          </w:p>
          <w:p>
            <w:pPr>
              <w:pStyle w:val="41"/>
              <w:keepNext w:val="0"/>
              <w:keepLines w:val="0"/>
              <w:pageBreakBefore w:val="0"/>
              <w:kinsoku/>
              <w:wordWrap/>
              <w:bidi w:val="0"/>
              <w:snapToGrid/>
              <w:spacing w:line="240" w:lineRule="auto"/>
              <w:jc w:val="left"/>
              <w:rPr>
                <w:b/>
                <w:bCs/>
                <w:szCs w:val="21"/>
              </w:rPr>
            </w:pPr>
            <w:r>
              <w:rPr>
                <w:b/>
                <w:bCs/>
                <w:szCs w:val="21"/>
              </w:rPr>
              <w:t>开发活动</w:t>
            </w:r>
          </w:p>
        </w:tc>
        <w:tc>
          <w:tcPr>
            <w:tcW w:w="2128" w:type="dxa"/>
            <w:gridSpan w:val="4"/>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自然环境</w:t>
            </w:r>
          </w:p>
        </w:tc>
        <w:tc>
          <w:tcPr>
            <w:tcW w:w="1064" w:type="dxa"/>
            <w:gridSpan w:val="2"/>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生态环境</w:t>
            </w:r>
          </w:p>
        </w:tc>
        <w:tc>
          <w:tcPr>
            <w:tcW w:w="2142" w:type="dxa"/>
            <w:gridSpan w:val="4"/>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社会经济</w:t>
            </w:r>
          </w:p>
        </w:tc>
        <w:tc>
          <w:tcPr>
            <w:tcW w:w="1590" w:type="dxa"/>
            <w:gridSpan w:val="3"/>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生活质量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20" w:hRule="atLeast"/>
          <w:jc w:val="center"/>
        </w:trPr>
        <w:tc>
          <w:tcPr>
            <w:tcW w:w="2147" w:type="dxa"/>
            <w:gridSpan w:val="2"/>
            <w:vMerge w:val="continue"/>
            <w:tcBorders>
              <w:tl2br w:val="nil"/>
              <w:tr2bl w:val="nil"/>
            </w:tcBorders>
            <w:vAlign w:val="center"/>
          </w:tcPr>
          <w:p>
            <w:pPr>
              <w:pStyle w:val="41"/>
              <w:keepNext w:val="0"/>
              <w:keepLines w:val="0"/>
              <w:pageBreakBefore w:val="0"/>
              <w:kinsoku/>
              <w:wordWrap/>
              <w:bidi w:val="0"/>
              <w:snapToGrid/>
              <w:spacing w:line="240" w:lineRule="auto"/>
              <w:rPr>
                <w:b/>
                <w:bCs/>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环境空气</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地表水体</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地下水体</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声环境</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陆域生物</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水生生物</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农业生产</w:t>
            </w:r>
          </w:p>
        </w:tc>
        <w:tc>
          <w:tcPr>
            <w:tcW w:w="531"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工业发展</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能源利用</w:t>
            </w:r>
          </w:p>
        </w:tc>
        <w:tc>
          <w:tcPr>
            <w:tcW w:w="547"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交通运输</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生活水平</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人群健康</w:t>
            </w:r>
          </w:p>
        </w:tc>
        <w:tc>
          <w:tcPr>
            <w:tcW w:w="526"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人口就业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20" w:hRule="atLeast"/>
          <w:jc w:val="center"/>
        </w:trPr>
        <w:tc>
          <w:tcPr>
            <w:tcW w:w="323"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运营期</w:t>
            </w:r>
          </w:p>
        </w:tc>
        <w:tc>
          <w:tcPr>
            <w:tcW w:w="182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原燃料、产品运输</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1"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4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2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20" w:hRule="atLeast"/>
          <w:jc w:val="center"/>
        </w:trPr>
        <w:tc>
          <w:tcPr>
            <w:tcW w:w="323"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82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产品生产</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4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2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20" w:hRule="atLeast"/>
          <w:jc w:val="center"/>
        </w:trPr>
        <w:tc>
          <w:tcPr>
            <w:tcW w:w="323"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82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生产废气</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1"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47"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26"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20" w:hRule="atLeast"/>
          <w:jc w:val="center"/>
        </w:trPr>
        <w:tc>
          <w:tcPr>
            <w:tcW w:w="323"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82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生产废水</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1"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47"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26"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20" w:hRule="atLeast"/>
          <w:jc w:val="center"/>
        </w:trPr>
        <w:tc>
          <w:tcPr>
            <w:tcW w:w="323"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82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生产噪声</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1"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47"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26"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20" w:hRule="atLeast"/>
          <w:jc w:val="center"/>
        </w:trPr>
        <w:tc>
          <w:tcPr>
            <w:tcW w:w="323"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82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固体废物</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1"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47"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53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-1C</w:t>
            </w:r>
          </w:p>
        </w:tc>
        <w:tc>
          <w:tcPr>
            <w:tcW w:w="526"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bl>
    <w:p>
      <w:pPr>
        <w:keepNext w:val="0"/>
        <w:keepLines w:val="0"/>
        <w:pageBreakBefore w:val="0"/>
        <w:widowControl w:val="0"/>
        <w:kinsoku/>
        <w:wordWrap/>
        <w:overflowPunct/>
        <w:topLinePunct w:val="0"/>
        <w:autoSpaceDE w:val="0"/>
        <w:autoSpaceDN w:val="0"/>
        <w:bidi w:val="0"/>
        <w:adjustRightInd w:val="0"/>
        <w:snapToGrid/>
        <w:textAlignment w:val="auto"/>
        <w:rPr>
          <w:rFonts w:ascii="Times New Roman" w:hAnsi="Times New Roman" w:eastAsia="宋体" w:cs="Times New Roman"/>
          <w:bCs/>
          <w:sz w:val="18"/>
          <w:szCs w:val="18"/>
        </w:rPr>
      </w:pPr>
      <w:r>
        <w:rPr>
          <w:rFonts w:ascii="Times New Roman" w:hAnsi="Times New Roman" w:eastAsia="宋体" w:cs="Times New Roman"/>
          <w:bCs/>
          <w:sz w:val="18"/>
          <w:szCs w:val="18"/>
        </w:rPr>
        <w:t>注：1.表中“＋”表示正效益，“－”表示负效益；</w:t>
      </w:r>
    </w:p>
    <w:p>
      <w:pPr>
        <w:keepNext w:val="0"/>
        <w:keepLines w:val="0"/>
        <w:pageBreakBefore w:val="0"/>
        <w:widowControl w:val="0"/>
        <w:kinsoku/>
        <w:wordWrap/>
        <w:overflowPunct/>
        <w:topLinePunct w:val="0"/>
        <w:autoSpaceDE w:val="0"/>
        <w:autoSpaceDN w:val="0"/>
        <w:bidi w:val="0"/>
        <w:adjustRightInd w:val="0"/>
        <w:snapToGrid/>
        <w:textAlignment w:val="auto"/>
        <w:rPr>
          <w:rFonts w:ascii="Times New Roman" w:hAnsi="Times New Roman" w:eastAsia="宋体" w:cs="Times New Roman"/>
          <w:bCs/>
          <w:sz w:val="18"/>
          <w:szCs w:val="18"/>
        </w:rPr>
      </w:pPr>
      <w:r>
        <w:rPr>
          <w:rFonts w:ascii="Times New Roman" w:hAnsi="Times New Roman" w:eastAsia="宋体" w:cs="Times New Roman"/>
          <w:bCs/>
          <w:sz w:val="18"/>
          <w:szCs w:val="18"/>
        </w:rPr>
        <w:t>2.表中数字表示影响的相对程度，“1”表示影响较小，“2”表示影响中等，“3”表示影响较大；</w:t>
      </w:r>
    </w:p>
    <w:p>
      <w:pPr>
        <w:keepNext w:val="0"/>
        <w:keepLines w:val="0"/>
        <w:pageBreakBefore w:val="0"/>
        <w:widowControl w:val="0"/>
        <w:kinsoku/>
        <w:wordWrap/>
        <w:overflowPunct/>
        <w:topLinePunct w:val="0"/>
        <w:autoSpaceDE w:val="0"/>
        <w:autoSpaceDN w:val="0"/>
        <w:bidi w:val="0"/>
        <w:adjustRightInd w:val="0"/>
        <w:snapToGrid/>
        <w:textAlignment w:val="auto"/>
        <w:rPr>
          <w:rFonts w:ascii="Times New Roman" w:hAnsi="Times New Roman" w:eastAsia="宋体" w:cs="Times New Roman"/>
          <w:bCs/>
          <w:sz w:val="18"/>
          <w:szCs w:val="18"/>
        </w:rPr>
      </w:pPr>
      <w:r>
        <w:rPr>
          <w:rFonts w:ascii="Times New Roman" w:hAnsi="Times New Roman" w:eastAsia="宋体" w:cs="Times New Roman"/>
          <w:bCs/>
          <w:sz w:val="18"/>
          <w:szCs w:val="18"/>
        </w:rPr>
        <w:t>3.表中“D”表示短期影响，“C”表示长期影响。</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从表中分析可知，厂区现有项目对环境的影响是多方面的，最主要的是对自然环境中的环境空气、地下水及厂界附近声环境产生不同程度的负影响；对环境的正影响则主要表现在社会经济方面，如工业发展和扩大人口就业、提高生活水平等。</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1.2.2评价因子筛选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根据芜湖新兴铸管有限责任公司现有项目污染源排污特点，在结合环境影响因素识别的基础上，筛选出以下评价因子，具体见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_Ref444510318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表1.2</w:t>
      </w:r>
      <w:r>
        <w:rPr>
          <w:rFonts w:ascii="Times New Roman" w:hAnsi="Times New Roman" w:eastAsia="宋体" w:cs="Times New Roman"/>
          <w:bCs/>
          <w:sz w:val="24"/>
          <w:szCs w:val="24"/>
        </w:rPr>
        <w:noBreakHyphen/>
      </w:r>
      <w:r>
        <w:rPr>
          <w:rFonts w:ascii="Times New Roman" w:hAnsi="Times New Roman" w:eastAsia="宋体" w:cs="Times New Roman"/>
          <w:bCs/>
          <w:sz w:val="24"/>
          <w:szCs w:val="24"/>
        </w:rPr>
        <w:t>2</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w:t>
      </w:r>
    </w:p>
    <w:p>
      <w:pPr>
        <w:pStyle w:val="31"/>
        <w:keepNext w:val="0"/>
        <w:keepLines w:val="0"/>
        <w:pageBreakBefore w:val="0"/>
        <w:kinsoku/>
        <w:wordWrap/>
        <w:bidi w:val="0"/>
        <w:snapToGrid/>
        <w:spacing w:line="360" w:lineRule="auto"/>
        <w:rPr>
          <w:rFonts w:cs="Times New Roman"/>
        </w:rPr>
      </w:pPr>
      <w:r>
        <w:rPr>
          <w:rFonts w:cs="Times New Roman"/>
        </w:rPr>
        <w:t>表1.2-2  评价因子一览表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510"/>
        <w:gridCol w:w="1526"/>
        <w:gridCol w:w="6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tblHeader/>
          <w:jc w:val="center"/>
        </w:trPr>
        <w:tc>
          <w:tcPr>
            <w:tcW w:w="151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类别</w:t>
            </w:r>
          </w:p>
        </w:tc>
        <w:tc>
          <w:tcPr>
            <w:tcW w:w="1526"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项目</w:t>
            </w:r>
          </w:p>
        </w:tc>
        <w:tc>
          <w:tcPr>
            <w:tcW w:w="603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评价因子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jc w:val="center"/>
        </w:trPr>
        <w:tc>
          <w:tcPr>
            <w:tcW w:w="1510" w:type="dxa"/>
            <w:vMerge w:val="restart"/>
            <w:tcBorders>
              <w:tl2br w:val="nil"/>
              <w:tr2bl w:val="nil"/>
            </w:tcBorders>
            <w:vAlign w:val="center"/>
          </w:tcPr>
          <w:p>
            <w:pPr>
              <w:pStyle w:val="41"/>
              <w:keepNext w:val="0"/>
              <w:keepLines w:val="0"/>
              <w:pageBreakBefore w:val="0"/>
              <w:kinsoku/>
              <w:wordWrap/>
              <w:bidi w:val="0"/>
              <w:snapToGrid/>
              <w:spacing w:line="240" w:lineRule="auto"/>
            </w:pPr>
            <w:r>
              <w:t>大气环境</w:t>
            </w:r>
          </w:p>
        </w:tc>
        <w:tc>
          <w:tcPr>
            <w:tcW w:w="1526" w:type="dxa"/>
            <w:tcBorders>
              <w:tl2br w:val="nil"/>
              <w:tr2bl w:val="nil"/>
            </w:tcBorders>
            <w:vAlign w:val="center"/>
          </w:tcPr>
          <w:p>
            <w:pPr>
              <w:pStyle w:val="41"/>
              <w:keepNext w:val="0"/>
              <w:keepLines w:val="0"/>
              <w:pageBreakBefore w:val="0"/>
              <w:kinsoku/>
              <w:wordWrap/>
              <w:bidi w:val="0"/>
              <w:snapToGrid/>
              <w:spacing w:line="240" w:lineRule="auto"/>
            </w:pPr>
            <w:r>
              <w:t>污染源评价</w:t>
            </w:r>
          </w:p>
        </w:tc>
        <w:tc>
          <w:tcPr>
            <w:tcW w:w="6035" w:type="dxa"/>
            <w:tcBorders>
              <w:tl2br w:val="nil"/>
              <w:tr2bl w:val="nil"/>
            </w:tcBorders>
            <w:vAlign w:val="center"/>
          </w:tcPr>
          <w:p>
            <w:pPr>
              <w:pStyle w:val="41"/>
              <w:keepNext w:val="0"/>
              <w:keepLines w:val="0"/>
              <w:pageBreakBefore w:val="0"/>
              <w:kinsoku/>
              <w:wordWrap/>
              <w:bidi w:val="0"/>
              <w:snapToGrid/>
              <w:spacing w:line="240" w:lineRule="auto"/>
              <w:rPr>
                <w:highlight w:val="yellow"/>
              </w:rPr>
            </w:pPr>
            <w:r>
              <w:rPr>
                <w:highlight w:val="none"/>
              </w:rPr>
              <w:t>颗粒物、SO</w:t>
            </w:r>
            <w:r>
              <w:rPr>
                <w:highlight w:val="none"/>
                <w:vertAlign w:val="subscript"/>
              </w:rPr>
              <w:t>2</w:t>
            </w:r>
            <w:r>
              <w:rPr>
                <w:highlight w:val="none"/>
              </w:rPr>
              <w:t>、NO</w:t>
            </w:r>
            <w:r>
              <w:rPr>
                <w:highlight w:val="none"/>
                <w:vertAlign w:val="subscript"/>
              </w:rPr>
              <w:t>x</w:t>
            </w:r>
            <w:r>
              <w:rPr>
                <w:highlight w:val="none"/>
              </w:rPr>
              <w:t>、二噁英、氟化物、BaP、H</w:t>
            </w:r>
            <w:r>
              <w:rPr>
                <w:highlight w:val="none"/>
                <w:vertAlign w:val="subscript"/>
              </w:rPr>
              <w:t>2</w:t>
            </w:r>
            <w:r>
              <w:rPr>
                <w:highlight w:val="none"/>
              </w:rPr>
              <w:t>S、NH</w:t>
            </w:r>
            <w:r>
              <w:rPr>
                <w:highlight w:val="none"/>
                <w:vertAlign w:val="subscript"/>
              </w:rPr>
              <w:t>3</w:t>
            </w:r>
            <w:r>
              <w:rPr>
                <w:rFonts w:hint="eastAsia"/>
                <w:highlight w:val="none"/>
                <w:lang w:eastAsia="zh-CN"/>
              </w:rPr>
              <w:t>、</w:t>
            </w:r>
            <w:r>
              <w:rPr>
                <w:highlight w:val="none"/>
              </w:rPr>
              <w:t>苯、酚、HCN、沥青烟、甲苯、二甲苯、三乙胺，共15项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jc w:val="center"/>
        </w:trPr>
        <w:tc>
          <w:tcPr>
            <w:tcW w:w="151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1526" w:type="dxa"/>
            <w:tcBorders>
              <w:tl2br w:val="nil"/>
              <w:tr2bl w:val="nil"/>
            </w:tcBorders>
            <w:vAlign w:val="center"/>
          </w:tcPr>
          <w:p>
            <w:pPr>
              <w:pStyle w:val="41"/>
              <w:keepNext w:val="0"/>
              <w:keepLines w:val="0"/>
              <w:pageBreakBefore w:val="0"/>
              <w:kinsoku/>
              <w:wordWrap/>
              <w:bidi w:val="0"/>
              <w:snapToGrid/>
              <w:spacing w:line="240" w:lineRule="auto"/>
            </w:pPr>
            <w:r>
              <w:t>现状评价</w:t>
            </w:r>
          </w:p>
        </w:tc>
        <w:tc>
          <w:tcPr>
            <w:tcW w:w="6035" w:type="dxa"/>
            <w:tcBorders>
              <w:tl2br w:val="nil"/>
              <w:tr2bl w:val="nil"/>
            </w:tcBorders>
            <w:vAlign w:val="center"/>
          </w:tcPr>
          <w:p>
            <w:pPr>
              <w:pStyle w:val="41"/>
              <w:keepNext w:val="0"/>
              <w:keepLines w:val="0"/>
              <w:pageBreakBefore w:val="0"/>
              <w:kinsoku/>
              <w:wordWrap/>
              <w:bidi w:val="0"/>
              <w:snapToGrid/>
              <w:spacing w:line="240" w:lineRule="auto"/>
              <w:rPr>
                <w:highlight w:val="yellow"/>
              </w:rPr>
            </w:pPr>
            <w:r>
              <w:t>TSP、PM</w:t>
            </w:r>
            <w:r>
              <w:rPr>
                <w:vertAlign w:val="subscript"/>
              </w:rPr>
              <w:t>10</w:t>
            </w:r>
            <w:r>
              <w:t>、PM</w:t>
            </w:r>
            <w:r>
              <w:rPr>
                <w:vertAlign w:val="subscript"/>
              </w:rPr>
              <w:t>2.5</w:t>
            </w:r>
            <w:r>
              <w:t>、SO</w:t>
            </w:r>
            <w:r>
              <w:rPr>
                <w:vertAlign w:val="subscript"/>
              </w:rPr>
              <w:t>2</w:t>
            </w:r>
            <w:r>
              <w:t>、NO</w:t>
            </w:r>
            <w:r>
              <w:rPr>
                <w:vertAlign w:val="subscript"/>
              </w:rPr>
              <w:t>2</w:t>
            </w:r>
            <w:r>
              <w:t>、CO、O</w:t>
            </w:r>
            <w:r>
              <w:rPr>
                <w:vertAlign w:val="subscript"/>
              </w:rPr>
              <w:t>3</w:t>
            </w:r>
            <w:r>
              <w:t>、二噁英、氟化物、BaP、H</w:t>
            </w:r>
            <w:r>
              <w:rPr>
                <w:vertAlign w:val="subscript"/>
              </w:rPr>
              <w:t>2</w:t>
            </w:r>
            <w:r>
              <w:t>S、NH</w:t>
            </w:r>
            <w:r>
              <w:rPr>
                <w:vertAlign w:val="subscript"/>
              </w:rPr>
              <w:t>3</w:t>
            </w:r>
            <w:r>
              <w:t>、苯、二甲苯、酚、非甲烷总烃，共16项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jc w:val="center"/>
        </w:trPr>
        <w:tc>
          <w:tcPr>
            <w:tcW w:w="1510" w:type="dxa"/>
            <w:tcBorders>
              <w:tl2br w:val="nil"/>
              <w:tr2bl w:val="nil"/>
            </w:tcBorders>
            <w:vAlign w:val="center"/>
          </w:tcPr>
          <w:p>
            <w:pPr>
              <w:pStyle w:val="41"/>
              <w:keepNext w:val="0"/>
              <w:keepLines w:val="0"/>
              <w:pageBreakBefore w:val="0"/>
              <w:kinsoku/>
              <w:wordWrap/>
              <w:bidi w:val="0"/>
              <w:snapToGrid/>
              <w:spacing w:line="240" w:lineRule="auto"/>
            </w:pPr>
            <w:r>
              <w:t>地表水</w:t>
            </w:r>
          </w:p>
        </w:tc>
        <w:tc>
          <w:tcPr>
            <w:tcW w:w="1526" w:type="dxa"/>
            <w:tcBorders>
              <w:tl2br w:val="nil"/>
              <w:tr2bl w:val="nil"/>
            </w:tcBorders>
            <w:vAlign w:val="center"/>
          </w:tcPr>
          <w:p>
            <w:pPr>
              <w:pStyle w:val="41"/>
              <w:keepNext w:val="0"/>
              <w:keepLines w:val="0"/>
              <w:pageBreakBefore w:val="0"/>
              <w:kinsoku/>
              <w:wordWrap/>
              <w:bidi w:val="0"/>
              <w:snapToGrid/>
              <w:spacing w:line="240" w:lineRule="auto"/>
            </w:pPr>
            <w:r>
              <w:t>现状评价</w:t>
            </w:r>
          </w:p>
        </w:tc>
        <w:tc>
          <w:tcPr>
            <w:tcW w:w="6035" w:type="dxa"/>
            <w:tcBorders>
              <w:tl2br w:val="nil"/>
              <w:tr2bl w:val="nil"/>
            </w:tcBorders>
            <w:vAlign w:val="center"/>
          </w:tcPr>
          <w:p>
            <w:pPr>
              <w:pStyle w:val="41"/>
              <w:keepNext w:val="0"/>
              <w:keepLines w:val="0"/>
              <w:pageBreakBefore w:val="0"/>
              <w:kinsoku/>
              <w:wordWrap/>
              <w:bidi w:val="0"/>
              <w:snapToGrid/>
              <w:spacing w:line="240" w:lineRule="auto"/>
            </w:pPr>
            <w:r>
              <w:t>水温、pH值、COD、BOD</w:t>
            </w:r>
            <w:r>
              <w:rPr>
                <w:vertAlign w:val="subscript"/>
              </w:rPr>
              <w:t>5</w:t>
            </w:r>
            <w:r>
              <w:t>、DO、SS、NH</w:t>
            </w:r>
            <w:r>
              <w:rPr>
                <w:vertAlign w:val="subscript"/>
              </w:rPr>
              <w:t>3</w:t>
            </w:r>
            <w:r>
              <w:t>-N、石油类、挥发酚、硫化物、氰化物、总磷、粪大肠菌群，共计13项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jc w:val="center"/>
        </w:trPr>
        <w:tc>
          <w:tcPr>
            <w:tcW w:w="1510" w:type="dxa"/>
            <w:tcBorders>
              <w:tl2br w:val="nil"/>
              <w:tr2bl w:val="nil"/>
            </w:tcBorders>
            <w:vAlign w:val="center"/>
          </w:tcPr>
          <w:p>
            <w:pPr>
              <w:pStyle w:val="41"/>
              <w:keepNext w:val="0"/>
              <w:keepLines w:val="0"/>
              <w:pageBreakBefore w:val="0"/>
              <w:kinsoku/>
              <w:wordWrap/>
              <w:bidi w:val="0"/>
              <w:snapToGrid/>
              <w:spacing w:line="240" w:lineRule="auto"/>
            </w:pPr>
            <w:r>
              <w:t>地下水</w:t>
            </w:r>
          </w:p>
        </w:tc>
        <w:tc>
          <w:tcPr>
            <w:tcW w:w="1526" w:type="dxa"/>
            <w:tcBorders>
              <w:tl2br w:val="nil"/>
              <w:tr2bl w:val="nil"/>
            </w:tcBorders>
            <w:vAlign w:val="center"/>
          </w:tcPr>
          <w:p>
            <w:pPr>
              <w:pStyle w:val="41"/>
              <w:keepNext w:val="0"/>
              <w:keepLines w:val="0"/>
              <w:pageBreakBefore w:val="0"/>
              <w:kinsoku/>
              <w:wordWrap/>
              <w:bidi w:val="0"/>
              <w:snapToGrid/>
              <w:spacing w:line="240" w:lineRule="auto"/>
            </w:pPr>
            <w:r>
              <w:t>现状评价</w:t>
            </w:r>
          </w:p>
        </w:tc>
        <w:tc>
          <w:tcPr>
            <w:tcW w:w="6035" w:type="dxa"/>
            <w:tcBorders>
              <w:tl2br w:val="nil"/>
              <w:tr2bl w:val="nil"/>
            </w:tcBorders>
            <w:vAlign w:val="center"/>
          </w:tcPr>
          <w:p>
            <w:pPr>
              <w:pStyle w:val="41"/>
              <w:keepNext w:val="0"/>
              <w:keepLines w:val="0"/>
              <w:pageBreakBefore w:val="0"/>
              <w:kinsoku/>
              <w:wordWrap/>
              <w:bidi w:val="0"/>
              <w:snapToGrid/>
              <w:spacing w:line="240" w:lineRule="auto"/>
            </w:pPr>
            <w:r>
              <w:t>pH、色度、嗅和味、浑浊度、肉眼可见物、氨氮、挥发酚、氰化物、氟化物、六价铬、总硬度、溶解性总固体、耗氧量、硫酸盐、氯化物、硝酸盐、亚硝酸盐、硫化物、砷、汞、硒、铝、镉、钠、铅、铁、锰、铜、锌、苯、甲苯、菌落总数、总大肠菌数、四氯化碳、苯并芘，共35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jc w:val="center"/>
        </w:trPr>
        <w:tc>
          <w:tcPr>
            <w:tcW w:w="1510" w:type="dxa"/>
            <w:vMerge w:val="restart"/>
            <w:tcBorders>
              <w:tl2br w:val="nil"/>
              <w:tr2bl w:val="nil"/>
            </w:tcBorders>
            <w:vAlign w:val="center"/>
          </w:tcPr>
          <w:p>
            <w:pPr>
              <w:pStyle w:val="41"/>
              <w:keepNext w:val="0"/>
              <w:keepLines w:val="0"/>
              <w:pageBreakBefore w:val="0"/>
              <w:kinsoku/>
              <w:wordWrap/>
              <w:bidi w:val="0"/>
              <w:snapToGrid/>
              <w:spacing w:line="240" w:lineRule="auto"/>
            </w:pPr>
            <w:r>
              <w:t>声环境</w:t>
            </w:r>
          </w:p>
        </w:tc>
        <w:tc>
          <w:tcPr>
            <w:tcW w:w="1526" w:type="dxa"/>
            <w:tcBorders>
              <w:tl2br w:val="nil"/>
              <w:tr2bl w:val="nil"/>
            </w:tcBorders>
            <w:vAlign w:val="center"/>
          </w:tcPr>
          <w:p>
            <w:pPr>
              <w:pStyle w:val="41"/>
              <w:keepNext w:val="0"/>
              <w:keepLines w:val="0"/>
              <w:pageBreakBefore w:val="0"/>
              <w:kinsoku/>
              <w:wordWrap/>
              <w:bidi w:val="0"/>
              <w:snapToGrid/>
              <w:spacing w:line="240" w:lineRule="auto"/>
            </w:pPr>
            <w:r>
              <w:t>污染源评价</w:t>
            </w:r>
          </w:p>
        </w:tc>
        <w:tc>
          <w:tcPr>
            <w:tcW w:w="6035" w:type="dxa"/>
            <w:tcBorders>
              <w:tl2br w:val="nil"/>
              <w:tr2bl w:val="nil"/>
            </w:tcBorders>
            <w:vAlign w:val="center"/>
          </w:tcPr>
          <w:p>
            <w:pPr>
              <w:pStyle w:val="41"/>
              <w:keepNext w:val="0"/>
              <w:keepLines w:val="0"/>
              <w:pageBreakBefore w:val="0"/>
              <w:kinsoku/>
              <w:wordWrap/>
              <w:bidi w:val="0"/>
              <w:snapToGrid/>
              <w:spacing w:line="240" w:lineRule="auto"/>
            </w:pPr>
            <w:r>
              <w:t>设备噪声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jc w:val="center"/>
        </w:trPr>
        <w:tc>
          <w:tcPr>
            <w:tcW w:w="151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1526" w:type="dxa"/>
            <w:tcBorders>
              <w:tl2br w:val="nil"/>
              <w:tr2bl w:val="nil"/>
            </w:tcBorders>
            <w:vAlign w:val="center"/>
          </w:tcPr>
          <w:p>
            <w:pPr>
              <w:pStyle w:val="41"/>
              <w:keepNext w:val="0"/>
              <w:keepLines w:val="0"/>
              <w:pageBreakBefore w:val="0"/>
              <w:kinsoku/>
              <w:wordWrap/>
              <w:bidi w:val="0"/>
              <w:snapToGrid/>
              <w:spacing w:line="240" w:lineRule="auto"/>
            </w:pPr>
            <w:r>
              <w:t>现状评价</w:t>
            </w:r>
          </w:p>
        </w:tc>
        <w:tc>
          <w:tcPr>
            <w:tcW w:w="6035" w:type="dxa"/>
            <w:tcBorders>
              <w:tl2br w:val="nil"/>
              <w:tr2bl w:val="nil"/>
            </w:tcBorders>
            <w:vAlign w:val="center"/>
          </w:tcPr>
          <w:p>
            <w:pPr>
              <w:pStyle w:val="41"/>
              <w:keepNext w:val="0"/>
              <w:keepLines w:val="0"/>
              <w:pageBreakBefore w:val="0"/>
              <w:kinsoku/>
              <w:wordWrap/>
              <w:bidi w:val="0"/>
              <w:snapToGrid/>
              <w:spacing w:line="240" w:lineRule="auto"/>
            </w:pPr>
            <w:r>
              <w:t>等效连续A声级L</w:t>
            </w:r>
            <w:r>
              <w:rPr>
                <w:vertAlign w:val="subscript"/>
              </w:rPr>
              <w:t>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jc w:val="center"/>
        </w:trPr>
        <w:tc>
          <w:tcPr>
            <w:tcW w:w="1510" w:type="dxa"/>
            <w:tcBorders>
              <w:tl2br w:val="nil"/>
              <w:tr2bl w:val="nil"/>
            </w:tcBorders>
            <w:vAlign w:val="center"/>
          </w:tcPr>
          <w:p>
            <w:pPr>
              <w:pStyle w:val="41"/>
              <w:keepNext w:val="0"/>
              <w:keepLines w:val="0"/>
              <w:pageBreakBefore w:val="0"/>
              <w:kinsoku/>
              <w:wordWrap/>
              <w:bidi w:val="0"/>
              <w:snapToGrid/>
              <w:spacing w:line="240" w:lineRule="auto"/>
            </w:pPr>
            <w:r>
              <w:t>固体废物</w:t>
            </w:r>
          </w:p>
        </w:tc>
        <w:tc>
          <w:tcPr>
            <w:tcW w:w="1526" w:type="dxa"/>
            <w:tcBorders>
              <w:tl2br w:val="nil"/>
              <w:tr2bl w:val="nil"/>
            </w:tcBorders>
            <w:vAlign w:val="center"/>
          </w:tcPr>
          <w:p>
            <w:pPr>
              <w:pStyle w:val="41"/>
              <w:keepNext w:val="0"/>
              <w:keepLines w:val="0"/>
              <w:pageBreakBefore w:val="0"/>
              <w:kinsoku/>
              <w:wordWrap/>
              <w:bidi w:val="0"/>
              <w:snapToGrid/>
              <w:spacing w:line="240" w:lineRule="auto"/>
            </w:pPr>
            <w:r>
              <w:t>污染源评价</w:t>
            </w:r>
          </w:p>
        </w:tc>
        <w:tc>
          <w:tcPr>
            <w:tcW w:w="6035" w:type="dxa"/>
            <w:tcBorders>
              <w:tl2br w:val="nil"/>
              <w:tr2bl w:val="nil"/>
            </w:tcBorders>
            <w:vAlign w:val="center"/>
          </w:tcPr>
          <w:p>
            <w:pPr>
              <w:pStyle w:val="41"/>
              <w:keepNext w:val="0"/>
              <w:keepLines w:val="0"/>
              <w:pageBreakBefore w:val="0"/>
              <w:kinsoku/>
              <w:wordWrap/>
              <w:bidi w:val="0"/>
              <w:snapToGrid/>
              <w:spacing w:line="240" w:lineRule="auto"/>
              <w:rPr>
                <w:szCs w:val="22"/>
              </w:rPr>
            </w:pPr>
            <w:r>
              <w:t>一般固废：高炉渣、除尘灰、氧化铁皮、废轧钢、球化渣、废轧辊、水</w:t>
            </w:r>
            <w:r>
              <w:rPr>
                <w:szCs w:val="22"/>
              </w:rPr>
              <w:t>泥砂浆、溜槽铁、焦粉、煤尘、废耐火材料等工业垃圾、钢渣、烧结脱硫渣、生活垃圾；</w:t>
            </w:r>
          </w:p>
          <w:p>
            <w:pPr>
              <w:pStyle w:val="41"/>
              <w:keepNext w:val="0"/>
              <w:keepLines w:val="0"/>
              <w:pageBreakBefore w:val="0"/>
              <w:kinsoku/>
              <w:wordWrap/>
              <w:bidi w:val="0"/>
              <w:snapToGrid/>
              <w:spacing w:line="240" w:lineRule="auto"/>
            </w:pPr>
            <w:r>
              <w:rPr>
                <w:szCs w:val="22"/>
              </w:rPr>
              <w:t>危险废物：焦油渣、再生器残渣、沥青渣、生化污泥、废油、废催化剂、废活性炭、锌粉/泥、含树脂废砂芯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jc w:val="center"/>
        </w:trPr>
        <w:tc>
          <w:tcPr>
            <w:tcW w:w="1510" w:type="dxa"/>
            <w:tcBorders>
              <w:tl2br w:val="nil"/>
              <w:tr2bl w:val="nil"/>
            </w:tcBorders>
            <w:vAlign w:val="center"/>
          </w:tcPr>
          <w:p>
            <w:pPr>
              <w:pStyle w:val="41"/>
              <w:keepNext w:val="0"/>
              <w:keepLines w:val="0"/>
              <w:pageBreakBefore w:val="0"/>
              <w:kinsoku/>
              <w:wordWrap/>
              <w:bidi w:val="0"/>
              <w:snapToGrid/>
              <w:spacing w:line="240" w:lineRule="auto"/>
            </w:pPr>
            <w:r>
              <w:t>土壤</w:t>
            </w:r>
          </w:p>
        </w:tc>
        <w:tc>
          <w:tcPr>
            <w:tcW w:w="1526" w:type="dxa"/>
            <w:tcBorders>
              <w:tl2br w:val="nil"/>
              <w:tr2bl w:val="nil"/>
            </w:tcBorders>
            <w:vAlign w:val="center"/>
          </w:tcPr>
          <w:p>
            <w:pPr>
              <w:pStyle w:val="41"/>
              <w:keepNext w:val="0"/>
              <w:keepLines w:val="0"/>
              <w:pageBreakBefore w:val="0"/>
              <w:kinsoku/>
              <w:wordWrap/>
              <w:bidi w:val="0"/>
              <w:snapToGrid/>
              <w:spacing w:line="240" w:lineRule="auto"/>
            </w:pPr>
            <w:r>
              <w:t>现状评价</w:t>
            </w:r>
          </w:p>
        </w:tc>
        <w:tc>
          <w:tcPr>
            <w:tcW w:w="6035" w:type="dxa"/>
            <w:tcBorders>
              <w:tl2br w:val="nil"/>
              <w:tr2bl w:val="nil"/>
            </w:tcBorders>
            <w:vAlign w:val="center"/>
          </w:tcPr>
          <w:p>
            <w:pPr>
              <w:pStyle w:val="41"/>
              <w:keepNext w:val="0"/>
              <w:keepLines w:val="0"/>
              <w:pageBreakBefore w:val="0"/>
              <w:kinsoku/>
              <w:wordWrap/>
              <w:bidi w:val="0"/>
              <w:snapToGrid/>
              <w:spacing w:line="240" w:lineRule="auto"/>
            </w:pPr>
            <w:r>
              <w:t>铅、镉、汞、砷、镍、铬（六价）、铜、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二氯酚、苯并[a]蒽、苯并[a]芘、苯并[b]荧蒽、苯并[k]荧蒽、䓛、二苯并[a，h]蒽、茚并[1，2，3-c，d]芘、萘，共4</w:t>
            </w:r>
            <w:r>
              <w:rPr>
                <w:rFonts w:hint="eastAsia"/>
                <w:lang w:val="en-US" w:eastAsia="zh-CN"/>
              </w:rPr>
              <w:t>5</w:t>
            </w:r>
            <w:r>
              <w:t>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0" w:hRule="atLeast"/>
          <w:jc w:val="center"/>
        </w:trPr>
        <w:tc>
          <w:tcPr>
            <w:tcW w:w="1510" w:type="dxa"/>
            <w:tcBorders>
              <w:tl2br w:val="nil"/>
              <w:tr2bl w:val="nil"/>
            </w:tcBorders>
            <w:vAlign w:val="center"/>
          </w:tcPr>
          <w:p>
            <w:pPr>
              <w:pStyle w:val="41"/>
              <w:keepNext w:val="0"/>
              <w:keepLines w:val="0"/>
              <w:pageBreakBefore w:val="0"/>
              <w:kinsoku/>
              <w:wordWrap/>
              <w:bidi w:val="0"/>
              <w:snapToGrid/>
              <w:spacing w:line="240" w:lineRule="auto"/>
            </w:pPr>
            <w:r>
              <w:t>生态</w:t>
            </w:r>
          </w:p>
        </w:tc>
        <w:tc>
          <w:tcPr>
            <w:tcW w:w="1526" w:type="dxa"/>
            <w:tcBorders>
              <w:tl2br w:val="nil"/>
              <w:tr2bl w:val="nil"/>
            </w:tcBorders>
            <w:vAlign w:val="center"/>
          </w:tcPr>
          <w:p>
            <w:pPr>
              <w:pStyle w:val="41"/>
              <w:keepNext w:val="0"/>
              <w:keepLines w:val="0"/>
              <w:pageBreakBefore w:val="0"/>
              <w:kinsoku/>
              <w:wordWrap/>
              <w:bidi w:val="0"/>
              <w:snapToGrid/>
              <w:spacing w:line="240" w:lineRule="auto"/>
            </w:pPr>
            <w:r>
              <w:t>现状评价</w:t>
            </w:r>
          </w:p>
        </w:tc>
        <w:tc>
          <w:tcPr>
            <w:tcW w:w="6035" w:type="dxa"/>
            <w:tcBorders>
              <w:tl2br w:val="nil"/>
              <w:tr2bl w:val="nil"/>
            </w:tcBorders>
            <w:vAlign w:val="center"/>
          </w:tcPr>
          <w:p>
            <w:pPr>
              <w:pStyle w:val="41"/>
              <w:keepNext w:val="0"/>
              <w:keepLines w:val="0"/>
              <w:pageBreakBefore w:val="0"/>
              <w:kinsoku/>
              <w:wordWrap/>
              <w:bidi w:val="0"/>
              <w:snapToGrid/>
              <w:spacing w:line="240" w:lineRule="auto"/>
            </w:pPr>
            <w:r>
              <w:t>植被、景观</w:t>
            </w:r>
          </w:p>
        </w:tc>
      </w:tr>
    </w:tbl>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1.3</w:t>
      </w:r>
      <w:bookmarkStart w:id="2" w:name="_Toc418499322"/>
      <w:bookmarkStart w:id="3" w:name="_Toc486611122"/>
      <w:r>
        <w:rPr>
          <w:rFonts w:ascii="Times New Roman"/>
          <w:b w:val="0"/>
        </w:rPr>
        <w:t>环境功能区划及评价标准</w:t>
      </w:r>
      <w:bookmarkEnd w:id="2"/>
      <w:bookmarkEnd w:id="3"/>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1.3.1环境功能区划</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1.3.1.1环境空气功能区划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芜湖市环境空气功能区划见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_Ref459102180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图1.3-1</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。由图可见，芜湖新兴铸管有限责任公司现有厂区所在地位于环境空气质量二类功能区。</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5264785" cy="5269230"/>
            <wp:effectExtent l="0" t="0" r="12065" b="7620"/>
            <wp:docPr id="2" name="图片 2" descr="环境空气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环境空气功能区划图"/>
                    <pic:cNvPicPr>
                      <a:picLocks noChangeAspect="1"/>
                    </pic:cNvPicPr>
                  </pic:nvPicPr>
                  <pic:blipFill>
                    <a:blip r:embed="rId10"/>
                    <a:stretch>
                      <a:fillRect/>
                    </a:stretch>
                  </pic:blipFill>
                  <pic:spPr>
                    <a:xfrm>
                      <a:off x="0" y="0"/>
                      <a:ext cx="5264785" cy="5269230"/>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图1.3-1  芜湖市环境空气功能区划图</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1.3.1.2地表水功能区划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芜湖市地表水环境功能区划见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_Ref459102188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图1.3-2</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。芜湖新兴铸管有限责任公司现有厂区附近主要地表水体为长江</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芜湖段</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，根据《芜湖市水功能区划》，属于长江右岸三山工业用水区，水体功能为工业用水，目前已有芜湖海螺水泥、华电芜湖电厂等工业取水口，为水环境质量III类功能区。</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5264150" cy="6701155"/>
            <wp:effectExtent l="0" t="0" r="12700" b="4445"/>
            <wp:docPr id="3" name="图片 3" descr="水环境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水环境功能区划图"/>
                    <pic:cNvPicPr>
                      <a:picLocks noChangeAspect="1"/>
                    </pic:cNvPicPr>
                  </pic:nvPicPr>
                  <pic:blipFill>
                    <a:blip r:embed="rId11"/>
                    <a:stretch>
                      <a:fillRect/>
                    </a:stretch>
                  </pic:blipFill>
                  <pic:spPr>
                    <a:xfrm>
                      <a:off x="0" y="0"/>
                      <a:ext cx="5264150" cy="6701155"/>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图1.3-2  芜湖市水环境功能区划图</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1.3.1.3声功能区划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芜湖市声环境功能区划见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_Ref459102195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图1.3-3</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。芜湖新兴铸管有限责任公司现有厂区位于芜湖市三山经济开发区，属于声环境3类功能区。</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5274310" cy="5338445"/>
            <wp:effectExtent l="0" t="0" r="2540" b="14605"/>
            <wp:docPr id="4" name="图片 4" descr="声环境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声环境功能区划"/>
                    <pic:cNvPicPr>
                      <a:picLocks noChangeAspect="1"/>
                    </pic:cNvPicPr>
                  </pic:nvPicPr>
                  <pic:blipFill>
                    <a:blip r:embed="rId12"/>
                    <a:stretch>
                      <a:fillRect/>
                    </a:stretch>
                  </pic:blipFill>
                  <pic:spPr>
                    <a:xfrm>
                      <a:off x="0" y="0"/>
                      <a:ext cx="5274310" cy="5338445"/>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图1.3-3  芜湖市声环境功能区划图</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1.3.2环境质量标准</w:t>
      </w:r>
    </w:p>
    <w:p>
      <w:pPr>
        <w:keepNext w:val="0"/>
        <w:keepLines w:val="0"/>
        <w:pageBreakBefore w:val="0"/>
        <w:kinsoku/>
        <w:wordWrap/>
        <w:autoSpaceDE w:val="0"/>
        <w:autoSpaceDN w:val="0"/>
        <w:bidi w:val="0"/>
        <w:adjustRightInd w:val="0"/>
        <w:snapToGrid/>
        <w:spacing w:line="360" w:lineRule="auto"/>
        <w:ind w:firstLine="480" w:firstLineChars="200"/>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eastAsia="zh-CN"/>
        </w:rPr>
        <w:t>环境质量标准内容分为现状评价阶段执行的环境质量标准和后评价阶段执行的环境质量标准，具体见表</w:t>
      </w:r>
      <w:r>
        <w:rPr>
          <w:rFonts w:hint="eastAsia" w:ascii="Times New Roman" w:hAnsi="Times New Roman" w:eastAsia="宋体" w:cs="Times New Roman"/>
          <w:bCs/>
          <w:sz w:val="24"/>
          <w:szCs w:val="24"/>
          <w:lang w:val="en-US" w:eastAsia="zh-CN"/>
        </w:rPr>
        <w:t>1.3-1所示。</w:t>
      </w:r>
    </w:p>
    <w:p>
      <w:pPr>
        <w:keepNext w:val="0"/>
        <w:keepLines w:val="0"/>
        <w:pageBreakBefore w:val="0"/>
        <w:kinsoku/>
        <w:wordWrap/>
        <w:autoSpaceDE w:val="0"/>
        <w:autoSpaceDN w:val="0"/>
        <w:bidi w:val="0"/>
        <w:adjustRightInd w:val="0"/>
        <w:snapToGrid/>
        <w:spacing w:line="360" w:lineRule="auto"/>
        <w:ind w:firstLine="480" w:firstLineChars="200"/>
      </w:pPr>
      <w:r>
        <w:rPr>
          <w:rFonts w:hint="eastAsia" w:ascii="Times New Roman" w:hAnsi="Times New Roman" w:eastAsia="宋体" w:cs="Times New Roman"/>
          <w:bCs/>
          <w:color w:val="FF0000"/>
          <w:sz w:val="24"/>
          <w:szCs w:val="24"/>
          <w:lang w:eastAsia="zh-CN"/>
        </w:rPr>
        <w:t>大气环境质量标准中评价因子氨原执行《室内空气质量标准》（</w:t>
      </w:r>
      <w:r>
        <w:rPr>
          <w:rFonts w:hint="eastAsia" w:ascii="Times New Roman" w:hAnsi="Times New Roman" w:eastAsia="宋体" w:cs="Times New Roman"/>
          <w:bCs/>
          <w:color w:val="FF0000"/>
          <w:sz w:val="24"/>
          <w:szCs w:val="24"/>
          <w:lang w:val="en-US" w:eastAsia="zh-CN"/>
        </w:rPr>
        <w:t>GB/T18883-2002</w:t>
      </w:r>
      <w:r>
        <w:rPr>
          <w:rFonts w:hint="eastAsia" w:ascii="Times New Roman" w:hAnsi="Times New Roman" w:eastAsia="宋体" w:cs="Times New Roman"/>
          <w:bCs/>
          <w:color w:val="FF0000"/>
          <w:sz w:val="24"/>
          <w:szCs w:val="24"/>
          <w:lang w:eastAsia="zh-CN"/>
        </w:rPr>
        <w:t>）、硫化氢原执行《室内空气质量标准》（GB/T18883-2002）、苯和二甲苯原执行《室内空气质量标准》（GB/T18883-2002），根据</w:t>
      </w:r>
      <w:r>
        <w:rPr>
          <w:rFonts w:hint="eastAsia" w:ascii="Times New Roman" w:hAnsi="Times New Roman" w:eastAsia="宋体" w:cs="Times New Roman"/>
          <w:bCs/>
          <w:color w:val="FF0000"/>
          <w:sz w:val="24"/>
          <w:szCs w:val="24"/>
          <w:lang w:val="en-US" w:eastAsia="zh-CN"/>
        </w:rPr>
        <w:t>2018年12月1日实施的《环境影响评价技术导则 大气环境》（HJ2.2-2018）中附录D表D.1环境质量标准要求，后评价阶段起氨、硫化氢、</w:t>
      </w:r>
      <w:r>
        <w:rPr>
          <w:rFonts w:hint="eastAsia" w:ascii="Times New Roman" w:hAnsi="Times New Roman" w:eastAsia="宋体" w:cs="Times New Roman"/>
          <w:bCs/>
          <w:color w:val="FF0000"/>
          <w:sz w:val="24"/>
          <w:szCs w:val="24"/>
          <w:lang w:eastAsia="zh-CN"/>
        </w:rPr>
        <w:t>苯和二甲均执行</w:t>
      </w:r>
      <w:r>
        <w:rPr>
          <w:rFonts w:hint="eastAsia" w:ascii="Times New Roman" w:hAnsi="Times New Roman" w:eastAsia="宋体" w:cs="Times New Roman"/>
          <w:bCs/>
          <w:color w:val="FF0000"/>
          <w:sz w:val="24"/>
          <w:szCs w:val="24"/>
          <w:lang w:val="en-US" w:eastAsia="zh-CN"/>
        </w:rPr>
        <w:t>附录D表D.1中标准限值。</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31"/>
        <w:keepNext w:val="0"/>
        <w:keepLines w:val="0"/>
        <w:pageBreakBefore w:val="0"/>
        <w:kinsoku/>
        <w:wordWrap/>
        <w:bidi w:val="0"/>
        <w:snapToGrid/>
        <w:spacing w:line="360" w:lineRule="auto"/>
        <w:rPr>
          <w:rFonts w:cs="Times New Roman"/>
          <w:color w:val="FF0000"/>
        </w:rPr>
      </w:pPr>
      <w:r>
        <w:rPr>
          <w:rFonts w:cs="Times New Roman"/>
          <w:color w:val="FF0000"/>
        </w:rPr>
        <w:t>表1.3-1  环境质量标准一览表</w:t>
      </w:r>
    </w:p>
    <w:tbl>
      <w:tblPr>
        <w:tblStyle w:val="22"/>
        <w:tblW w:w="141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1329"/>
        <w:gridCol w:w="907"/>
        <w:gridCol w:w="996"/>
        <w:gridCol w:w="1091"/>
        <w:gridCol w:w="1050"/>
        <w:gridCol w:w="1861"/>
        <w:gridCol w:w="988"/>
        <w:gridCol w:w="536"/>
        <w:gridCol w:w="351"/>
        <w:gridCol w:w="1173"/>
        <w:gridCol w:w="968"/>
        <w:gridCol w:w="1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restart"/>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lang w:eastAsia="zh-CN"/>
              </w:rPr>
            </w:pPr>
            <w:r>
              <w:rPr>
                <w:rFonts w:hint="eastAsia"/>
                <w:b/>
                <w:bCs/>
                <w:color w:val="FF0000"/>
                <w:szCs w:val="22"/>
                <w:lang w:eastAsia="zh-CN"/>
              </w:rPr>
              <w:t>质量标准类别</w:t>
            </w:r>
          </w:p>
        </w:tc>
        <w:tc>
          <w:tcPr>
            <w:tcW w:w="1329" w:type="dxa"/>
            <w:vMerge w:val="restart"/>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lang w:eastAsia="zh-CN"/>
              </w:rPr>
            </w:pPr>
            <w:r>
              <w:rPr>
                <w:rFonts w:hint="eastAsia"/>
                <w:b/>
                <w:bCs/>
                <w:color w:val="FF0000"/>
                <w:szCs w:val="22"/>
                <w:lang w:eastAsia="zh-CN"/>
              </w:rPr>
              <w:t>评价因子</w:t>
            </w:r>
          </w:p>
        </w:tc>
        <w:tc>
          <w:tcPr>
            <w:tcW w:w="5905" w:type="dxa"/>
            <w:gridSpan w:val="5"/>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lang w:eastAsia="zh-CN"/>
              </w:rPr>
            </w:pPr>
            <w:r>
              <w:rPr>
                <w:rFonts w:hint="eastAsia"/>
                <w:b/>
                <w:bCs/>
                <w:color w:val="FF0000"/>
                <w:szCs w:val="22"/>
                <w:lang w:eastAsia="zh-CN"/>
              </w:rPr>
              <w:t>现状评价阶段</w:t>
            </w:r>
          </w:p>
        </w:tc>
        <w:tc>
          <w:tcPr>
            <w:tcW w:w="5907" w:type="dxa"/>
            <w:gridSpan w:val="6"/>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lang w:eastAsia="zh-CN"/>
              </w:rPr>
            </w:pPr>
            <w:r>
              <w:rPr>
                <w:rFonts w:hint="eastAsia"/>
                <w:b/>
                <w:bCs/>
                <w:color w:val="FF0000"/>
                <w:szCs w:val="22"/>
                <w:lang w:eastAsia="zh-CN"/>
              </w:rPr>
              <w:t>后评价阶段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p>
        </w:tc>
        <w:tc>
          <w:tcPr>
            <w:tcW w:w="1329" w:type="dxa"/>
            <w:vMerge w:val="continue"/>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r>
              <w:rPr>
                <w:rFonts w:hint="eastAsia"/>
                <w:b/>
                <w:bCs/>
                <w:color w:val="FF0000"/>
                <w:szCs w:val="22"/>
                <w:lang w:eastAsia="zh-CN"/>
              </w:rPr>
              <w:t>标准限值</w:t>
            </w:r>
          </w:p>
        </w:tc>
        <w:tc>
          <w:tcPr>
            <w:tcW w:w="1050" w:type="dxa"/>
            <w:vMerge w:val="restart"/>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lang w:eastAsia="zh-CN"/>
              </w:rPr>
            </w:pPr>
            <w:r>
              <w:rPr>
                <w:rFonts w:hint="eastAsia"/>
                <w:b/>
                <w:bCs/>
                <w:color w:val="FF0000"/>
                <w:szCs w:val="22"/>
                <w:lang w:eastAsia="zh-CN"/>
              </w:rPr>
              <w:t>单位</w:t>
            </w:r>
          </w:p>
        </w:tc>
        <w:tc>
          <w:tcPr>
            <w:tcW w:w="1861" w:type="dxa"/>
            <w:vMerge w:val="restart"/>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r>
              <w:rPr>
                <w:rFonts w:hint="eastAsia"/>
                <w:b/>
                <w:bCs/>
                <w:color w:val="FF0000"/>
                <w:szCs w:val="22"/>
                <w:lang w:eastAsia="zh-CN"/>
              </w:rPr>
              <w:t>标准来源</w:t>
            </w: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r>
              <w:rPr>
                <w:rFonts w:hint="eastAsia"/>
                <w:b/>
                <w:bCs/>
                <w:color w:val="FF0000"/>
                <w:szCs w:val="22"/>
                <w:lang w:eastAsia="zh-CN"/>
              </w:rPr>
              <w:t>标准限值</w:t>
            </w:r>
          </w:p>
        </w:tc>
        <w:tc>
          <w:tcPr>
            <w:tcW w:w="968" w:type="dxa"/>
            <w:vMerge w:val="restart"/>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r>
              <w:rPr>
                <w:rFonts w:hint="eastAsia"/>
                <w:b/>
                <w:bCs/>
                <w:color w:val="FF0000"/>
                <w:szCs w:val="22"/>
                <w:lang w:eastAsia="zh-CN"/>
              </w:rPr>
              <w:t>单位</w:t>
            </w:r>
          </w:p>
        </w:tc>
        <w:tc>
          <w:tcPr>
            <w:tcW w:w="1891" w:type="dxa"/>
            <w:vMerge w:val="restart"/>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r>
              <w:rPr>
                <w:rFonts w:hint="eastAsia"/>
                <w:b/>
                <w:bCs/>
                <w:color w:val="FF0000"/>
                <w:szCs w:val="22"/>
                <w:lang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p>
        </w:tc>
        <w:tc>
          <w:tcPr>
            <w:tcW w:w="1329" w:type="dxa"/>
            <w:vMerge w:val="continue"/>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p>
        </w:tc>
        <w:tc>
          <w:tcPr>
            <w:tcW w:w="907"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lang w:eastAsia="zh-CN"/>
              </w:rPr>
            </w:pPr>
            <w:r>
              <w:rPr>
                <w:rFonts w:hint="eastAsia"/>
                <w:b/>
                <w:bCs/>
                <w:color w:val="FF0000"/>
                <w:szCs w:val="22"/>
                <w:lang w:eastAsia="zh-CN"/>
              </w:rPr>
              <w:t>年平均</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lang w:eastAsia="zh-CN"/>
              </w:rPr>
            </w:pPr>
            <w:r>
              <w:rPr>
                <w:rFonts w:hint="eastAsia"/>
                <w:b/>
                <w:bCs/>
                <w:color w:val="FF0000"/>
                <w:szCs w:val="22"/>
                <w:lang w:eastAsia="zh-CN"/>
              </w:rPr>
              <w:t>日平均</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lang w:eastAsia="zh-CN"/>
              </w:rPr>
            </w:pPr>
            <w:r>
              <w:rPr>
                <w:rFonts w:hint="eastAsia"/>
                <w:b/>
                <w:bCs/>
                <w:color w:val="FF0000"/>
                <w:szCs w:val="22"/>
                <w:lang w:eastAsia="zh-CN"/>
              </w:rPr>
              <w:t>小时平均</w:t>
            </w:r>
          </w:p>
        </w:tc>
        <w:tc>
          <w:tcPr>
            <w:tcW w:w="1050"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lang w:eastAsia="zh-CN"/>
              </w:rPr>
            </w:pP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r>
              <w:rPr>
                <w:rFonts w:hint="eastAsia"/>
                <w:b/>
                <w:bCs/>
                <w:color w:val="FF0000"/>
                <w:szCs w:val="22"/>
                <w:lang w:eastAsia="zh-CN"/>
              </w:rPr>
              <w:t>年平均</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r>
              <w:rPr>
                <w:rFonts w:hint="eastAsia"/>
                <w:b/>
                <w:bCs/>
                <w:color w:val="FF0000"/>
                <w:szCs w:val="22"/>
                <w:lang w:eastAsia="zh-CN"/>
              </w:rPr>
              <w:t>日平均</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b/>
                <w:bCs/>
                <w:color w:val="FF0000"/>
                <w:szCs w:val="22"/>
              </w:rPr>
            </w:pPr>
            <w:r>
              <w:rPr>
                <w:rFonts w:hint="eastAsia"/>
                <w:b/>
                <w:bCs/>
                <w:color w:val="FF0000"/>
                <w:szCs w:val="22"/>
                <w:lang w:eastAsia="zh-CN"/>
              </w:rPr>
              <w:t>小时平均</w:t>
            </w:r>
          </w:p>
        </w:tc>
        <w:tc>
          <w:tcPr>
            <w:tcW w:w="968"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restart"/>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szCs w:val="22"/>
                <w:lang w:eastAsia="zh-CN"/>
              </w:rPr>
            </w:pPr>
            <w:r>
              <w:rPr>
                <w:rFonts w:hint="eastAsia"/>
                <w:color w:val="FF0000"/>
                <w:szCs w:val="22"/>
                <w:lang w:eastAsia="zh-CN"/>
              </w:rPr>
              <w:t>环境空气质量标准</w:t>
            </w: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SO</w:t>
            </w:r>
            <w:r>
              <w:rPr>
                <w:color w:val="FF0000"/>
                <w:vertAlign w:val="subscript"/>
              </w:rPr>
              <w:t>2</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60</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150</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500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6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环境空气质量标准》（GB3095-2012）二级标准</w:t>
            </w: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60</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150</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500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NO</w:t>
            </w:r>
            <w:r>
              <w:rPr>
                <w:color w:val="FF0000"/>
                <w:vertAlign w:val="subscript"/>
              </w:rPr>
              <w:t>2</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40</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80</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40</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80</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CO</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4</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mg/m</w:t>
            </w:r>
            <w:r>
              <w:rPr>
                <w:color w:val="FF0000"/>
                <w:vertAlign w:val="superscript"/>
              </w:rPr>
              <w:t>3</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4</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mg/m</w:t>
            </w:r>
            <w:r>
              <w:rPr>
                <w:color w:val="FF000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O</w:t>
            </w:r>
            <w:r>
              <w:rPr>
                <w:color w:val="FF0000"/>
                <w:vertAlign w:val="subscript"/>
              </w:rPr>
              <w:t>3</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160（日最大8小时平均）</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160（日最大8小时平均）</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PM</w:t>
            </w:r>
            <w:r>
              <w:rPr>
                <w:color w:val="FF0000"/>
                <w:vertAlign w:val="subscript"/>
              </w:rPr>
              <w:t>10</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70</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150</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70</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150</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PM</w:t>
            </w:r>
            <w:r>
              <w:rPr>
                <w:color w:val="FF0000"/>
                <w:vertAlign w:val="subscript"/>
              </w:rPr>
              <w:t>2.5</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35</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75</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35</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75</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TSP</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200</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300</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200</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300</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苯并[a]芘</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0.001</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0.0025</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0.001</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0.0025</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氟化物</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7</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7</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氨</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szCs w:val="22"/>
                <w:highlight w:val="none"/>
                <w:lang w:val="en-US" w:eastAsia="zh-CN"/>
              </w:rPr>
            </w:pPr>
            <w:r>
              <w:rPr>
                <w:rFonts w:hint="eastAsia"/>
                <w:color w:val="FF0000"/>
                <w:szCs w:val="22"/>
                <w:highlight w:val="none"/>
                <w:lang w:val="en-US" w:eastAsia="zh-CN"/>
              </w:rPr>
              <w:t>/</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szCs w:val="22"/>
                <w:highlight w:val="none"/>
                <w:lang w:val="en-US" w:eastAsia="zh-CN"/>
              </w:rPr>
            </w:pPr>
            <w:r>
              <w:rPr>
                <w:rFonts w:hint="eastAsia"/>
                <w:color w:val="FF0000"/>
                <w:szCs w:val="22"/>
                <w:highlight w:val="none"/>
                <w:lang w:val="en-US" w:eastAsia="zh-CN"/>
              </w:rPr>
              <w:t>/</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color w:val="FF0000"/>
                <w:highlight w:val="none"/>
              </w:rPr>
              <w:t>200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cs="Times New Roman"/>
                <w:color w:val="FF0000"/>
                <w:kern w:val="0"/>
                <w:highlight w:val="none"/>
              </w:rPr>
              <w:sym w:font="Symbol" w:char="F06D"/>
            </w:r>
            <w:r>
              <w:rPr>
                <w:rFonts w:cs="Times New Roman"/>
                <w:color w:val="FF0000"/>
                <w:kern w:val="0"/>
                <w:highlight w:val="none"/>
              </w:rPr>
              <w:t>g/m</w:t>
            </w:r>
            <w:r>
              <w:rPr>
                <w:rFonts w:cs="Times New Roman"/>
                <w:color w:val="FF0000"/>
                <w:kern w:val="0"/>
                <w:highlight w:val="none"/>
                <w:vertAlign w:val="superscript"/>
              </w:rPr>
              <w:t>3</w:t>
            </w:r>
          </w:p>
        </w:tc>
        <w:tc>
          <w:tcPr>
            <w:tcW w:w="1861"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szCs w:val="22"/>
                <w:highlight w:val="none"/>
                <w:lang w:eastAsia="zh-CN"/>
              </w:rPr>
            </w:pPr>
            <w:r>
              <w:rPr>
                <w:rFonts w:hint="eastAsia"/>
                <w:color w:val="FF0000"/>
                <w:szCs w:val="22"/>
                <w:highlight w:val="none"/>
                <w:lang w:eastAsia="zh-CN"/>
              </w:rPr>
              <w:t>《室内空气质量标准》（</w:t>
            </w:r>
            <w:r>
              <w:rPr>
                <w:rFonts w:hint="eastAsia"/>
                <w:color w:val="FF0000"/>
                <w:szCs w:val="22"/>
                <w:highlight w:val="none"/>
                <w:lang w:val="en-US" w:eastAsia="zh-CN"/>
              </w:rPr>
              <w:t>GB/T18883-2002</w:t>
            </w:r>
            <w:r>
              <w:rPr>
                <w:rFonts w:hint="eastAsia"/>
                <w:color w:val="FF0000"/>
                <w:szCs w:val="22"/>
                <w:highlight w:val="none"/>
                <w:lang w:eastAsia="zh-CN"/>
              </w:rPr>
              <w:t>）</w:t>
            </w: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《环境影响评价技术导则 大气环境》（HJ2.2-2018）附录D表D.1中标准限值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硫化氢</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10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cs="Times New Roman"/>
                <w:color w:val="FF0000"/>
                <w:kern w:val="0"/>
                <w:highlight w:val="none"/>
              </w:rPr>
              <w:sym w:font="Symbol" w:char="F06D"/>
            </w:r>
            <w:r>
              <w:rPr>
                <w:rFonts w:cs="Times New Roman"/>
                <w:color w:val="FF0000"/>
                <w:kern w:val="0"/>
                <w:highlight w:val="none"/>
              </w:rPr>
              <w:t>g/m</w:t>
            </w:r>
            <w:r>
              <w:rPr>
                <w:rFonts w:cs="Times New Roman"/>
                <w:color w:val="FF0000"/>
                <w:kern w:val="0"/>
                <w:highlight w:val="none"/>
                <w:vertAlign w:val="superscript"/>
              </w:rPr>
              <w:t>3</w:t>
            </w:r>
          </w:p>
        </w:tc>
        <w:tc>
          <w:tcPr>
            <w:tcW w:w="1861"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color w:val="FF0000"/>
                <w:highlight w:val="none"/>
              </w:rPr>
              <w:t>《炼焦化学工业污染物排放标准》（GB16171-2012）企业边界大气污染物浓度限值</w:t>
            </w: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苯</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110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cs="Times New Roman"/>
                <w:color w:val="FF0000"/>
                <w:kern w:val="0"/>
                <w:highlight w:val="none"/>
              </w:rPr>
              <w:sym w:font="Symbol" w:char="F06D"/>
            </w:r>
            <w:r>
              <w:rPr>
                <w:rFonts w:cs="Times New Roman"/>
                <w:color w:val="FF0000"/>
                <w:kern w:val="0"/>
                <w:highlight w:val="none"/>
              </w:rPr>
              <w:t>g/m</w:t>
            </w:r>
            <w:r>
              <w:rPr>
                <w:rFonts w:cs="Times New Roman"/>
                <w:color w:val="FF0000"/>
                <w:kern w:val="0"/>
                <w:highlight w:val="none"/>
                <w:vertAlign w:val="superscript"/>
              </w:rPr>
              <w:t>3</w:t>
            </w:r>
          </w:p>
        </w:tc>
        <w:tc>
          <w:tcPr>
            <w:tcW w:w="186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《室内空气质量标准》（</w:t>
            </w:r>
            <w:r>
              <w:rPr>
                <w:rFonts w:hint="eastAsia"/>
                <w:color w:val="FF0000"/>
                <w:szCs w:val="22"/>
                <w:highlight w:val="none"/>
                <w:lang w:val="en-US" w:eastAsia="zh-CN"/>
              </w:rPr>
              <w:t>GB/T18883-2002</w:t>
            </w:r>
            <w:r>
              <w:rPr>
                <w:rFonts w:hint="eastAsia"/>
                <w:color w:val="FF0000"/>
                <w:szCs w:val="22"/>
                <w:highlight w:val="none"/>
                <w:lang w:eastAsia="zh-CN"/>
              </w:rPr>
              <w:t>）</w:t>
            </w: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110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二甲苯</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rFonts w:cs="Times New Roman"/>
                <w:color w:val="FF0000"/>
                <w:kern w:val="0"/>
              </w:rPr>
              <w:sym w:font="Symbol" w:char="F06D"/>
            </w:r>
            <w:r>
              <w:rPr>
                <w:rFonts w:cs="Times New Roman"/>
                <w:color w:val="FF0000"/>
                <w:kern w:val="0"/>
              </w:rPr>
              <w:t>g/m</w:t>
            </w:r>
            <w:r>
              <w:rPr>
                <w:rFonts w:cs="Times New Roman"/>
                <w:color w:val="FF0000"/>
                <w:kern w:val="0"/>
                <w:vertAlign w:val="superscript"/>
              </w:rPr>
              <w:t>3</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非甲烷总烃</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mg/m</w:t>
            </w:r>
            <w:r>
              <w:rPr>
                <w:color w:val="FF0000"/>
                <w:vertAlign w:val="superscript"/>
              </w:rPr>
              <w:t>3</w:t>
            </w:r>
          </w:p>
        </w:tc>
        <w:tc>
          <w:tcPr>
            <w:tcW w:w="186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《大气污染物排放标准》详解</w:t>
            </w: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2.0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mg/m</w:t>
            </w:r>
            <w:r>
              <w:rPr>
                <w:color w:val="FF0000"/>
                <w:vertAlign w:val="superscript"/>
              </w:rPr>
              <w:t>3</w:t>
            </w:r>
          </w:p>
        </w:tc>
        <w:tc>
          <w:tcPr>
            <w:tcW w:w="18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《大气污染物排放标准》详解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二噁英</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0.6</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pgTEQ/m</w:t>
            </w:r>
            <w:r>
              <w:rPr>
                <w:color w:val="FF0000"/>
                <w:vertAlign w:val="superscript"/>
              </w:rPr>
              <w:t>3</w:t>
            </w:r>
          </w:p>
        </w:tc>
        <w:tc>
          <w:tcPr>
            <w:tcW w:w="186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日本环境厅中央环境审议会制定的标准</w:t>
            </w: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0.6</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pgTEQ/m</w:t>
            </w:r>
            <w:r>
              <w:rPr>
                <w:color w:val="FF0000"/>
                <w:vertAlign w:val="superscript"/>
              </w:rPr>
              <w:t>3</w:t>
            </w:r>
          </w:p>
        </w:tc>
        <w:tc>
          <w:tcPr>
            <w:tcW w:w="18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日本环境厅中央环境审议会制定的标准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szCs w:val="22"/>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酚</w:t>
            </w:r>
          </w:p>
        </w:tc>
        <w:tc>
          <w:tcPr>
            <w:tcW w:w="907"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996"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0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0.02（一次）</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mg/m</w:t>
            </w:r>
            <w:r>
              <w:rPr>
                <w:color w:val="FF0000"/>
                <w:vertAlign w:val="superscript"/>
              </w:rPr>
              <w:t>3</w:t>
            </w:r>
          </w:p>
        </w:tc>
        <w:tc>
          <w:tcPr>
            <w:tcW w:w="186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《炼焦化学工业污染物排放标准》（GB16171-2012）企业边界大气污染物浓度限值</w:t>
            </w:r>
          </w:p>
        </w:tc>
        <w:tc>
          <w:tcPr>
            <w:tcW w:w="98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887" w:type="dxa"/>
            <w:gridSpan w:val="2"/>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w:t>
            </w:r>
          </w:p>
        </w:tc>
        <w:tc>
          <w:tcPr>
            <w:tcW w:w="1173"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0.02（一次）</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mg/m</w:t>
            </w:r>
            <w:r>
              <w:rPr>
                <w:color w:val="FF0000"/>
                <w:vertAlign w:val="superscript"/>
              </w:rPr>
              <w:t>3</w:t>
            </w:r>
          </w:p>
        </w:tc>
        <w:tc>
          <w:tcPr>
            <w:tcW w:w="1891" w:type="dxa"/>
            <w:tcBorders>
              <w:tl2br w:val="nil"/>
              <w:tr2bl w:val="nil"/>
            </w:tcBorders>
            <w:vAlign w:val="center"/>
          </w:tcPr>
          <w:p>
            <w:pPr>
              <w:pStyle w:val="41"/>
              <w:keepNext w:val="0"/>
              <w:keepLines w:val="0"/>
              <w:pageBreakBefore w:val="0"/>
              <w:kinsoku/>
              <w:wordWrap/>
              <w:bidi w:val="0"/>
              <w:snapToGrid/>
              <w:spacing w:line="240" w:lineRule="auto"/>
              <w:rPr>
                <w:color w:val="FF0000"/>
                <w:szCs w:val="22"/>
              </w:rPr>
            </w:pPr>
            <w:r>
              <w:rPr>
                <w:color w:val="FF0000"/>
              </w:rPr>
              <w:t>《炼焦化学工业污染物排放标准》（GB16171-2012）企业边界大气污染物浓度限值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restart"/>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r>
              <w:rPr>
                <w:rFonts w:hint="eastAsia"/>
                <w:color w:val="FF0000"/>
                <w:szCs w:val="22"/>
                <w:lang w:val="en-US" w:eastAsia="zh-CN"/>
              </w:rPr>
              <w:t>地表水质量标准</w:t>
            </w: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pH值</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6~9</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w:t>
            </w:r>
          </w:p>
        </w:tc>
        <w:tc>
          <w:tcPr>
            <w:tcW w:w="186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《地表水环境质量标准》（GB3838-2002）III类标准</w:t>
            </w: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6~9</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lang w:val="en-US" w:eastAsia="zh-CN"/>
              </w:rPr>
            </w:pPr>
            <w:r>
              <w:rPr>
                <w:rFonts w:hint="eastAsia"/>
                <w:color w:val="FF0000"/>
                <w:lang w:val="en-US" w:eastAsia="zh-CN"/>
              </w:rPr>
              <w:t>/</w:t>
            </w:r>
          </w:p>
        </w:tc>
        <w:tc>
          <w:tcPr>
            <w:tcW w:w="189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《地表水环境质量标准》（GB3838-2002）III类标准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COD</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≤20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≤20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lang w:val="en-US" w:eastAsia="zh-CN"/>
              </w:rPr>
            </w:pPr>
            <w:r>
              <w:rPr>
                <w:rFonts w:hint="eastAsia"/>
                <w:color w:val="FF0000"/>
                <w:lang w:val="en-US" w:eastAsia="zh-CN"/>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BOD</w:t>
            </w:r>
            <w:r>
              <w:rPr>
                <w:color w:val="FF0000"/>
                <w:vertAlign w:val="subscript"/>
              </w:rPr>
              <w:t>5</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≤4</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≤4</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DO</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≥5</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≥5</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NH</w:t>
            </w:r>
            <w:r>
              <w:rPr>
                <w:color w:val="FF0000"/>
                <w:vertAlign w:val="subscript"/>
              </w:rPr>
              <w:t>3</w:t>
            </w:r>
            <w:r>
              <w:rPr>
                <w:color w:val="FF0000"/>
              </w:rPr>
              <w:t>-N</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≤1.0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≤1.0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石油类</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≤0.05</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≤0.05</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硫化物</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≤0.2</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≤0.2</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氰化物</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≤0.2</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≤0.2</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总磷</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≤0.2</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≤0.2</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粪大肠菌群</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≤10000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个/L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≤10000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个/L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挥发酚</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≤0.005</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≤0.005</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SS</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≤100</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rFonts w:hint="eastAsia"/>
                <w:color w:val="FF0000"/>
                <w:lang w:val="en-US" w:eastAsia="zh-CN"/>
              </w:rPr>
            </w:pPr>
            <w:r>
              <w:rPr>
                <w:rFonts w:hint="eastAsia"/>
                <w:color w:val="FF0000"/>
                <w:lang w:val="en-US" w:eastAsia="zh-CN"/>
              </w:rPr>
              <w:t>mg/L</w:t>
            </w:r>
          </w:p>
        </w:tc>
        <w:tc>
          <w:tcPr>
            <w:tcW w:w="1861"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《农田灌溉水质标准》（GB5084-2005）表1“旱作”标准</w:t>
            </w: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≤100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hint="eastAsia"/>
                <w:color w:val="FF0000"/>
                <w:lang w:val="en-US" w:eastAsia="zh-CN"/>
              </w:rPr>
            </w:pPr>
            <w:r>
              <w:rPr>
                <w:rFonts w:hint="eastAsia"/>
                <w:color w:val="FF0000"/>
                <w:lang w:val="en-US" w:eastAsia="zh-CN"/>
              </w:rPr>
              <w:t>mg/L</w:t>
            </w:r>
          </w:p>
        </w:tc>
        <w:tc>
          <w:tcPr>
            <w:tcW w:w="1891" w:type="dxa"/>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《农田灌溉水质标准》（GB5084-2005）表1“旱作”标准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restart"/>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lang w:val="en-US" w:eastAsia="zh-CN"/>
              </w:rPr>
            </w:pPr>
            <w:r>
              <w:rPr>
                <w:rFonts w:hint="eastAsia"/>
                <w:color w:val="FF0000"/>
                <w:szCs w:val="22"/>
                <w:lang w:val="en-US" w:eastAsia="zh-CN"/>
              </w:rPr>
              <w:t>声环境质量标准</w:t>
            </w:r>
          </w:p>
        </w:tc>
        <w:tc>
          <w:tcPr>
            <w:tcW w:w="1329"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lang w:eastAsia="zh-CN"/>
              </w:rPr>
            </w:pPr>
            <w:r>
              <w:rPr>
                <w:rFonts w:hint="eastAsia"/>
                <w:color w:val="FF0000"/>
                <w:lang w:eastAsia="zh-CN"/>
              </w:rPr>
              <w:t>昼间</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lang w:val="en-US" w:eastAsia="zh-CN"/>
              </w:rPr>
            </w:pPr>
            <w:r>
              <w:rPr>
                <w:rFonts w:hint="eastAsia"/>
                <w:color w:val="FF0000"/>
                <w:lang w:val="en-US" w:eastAsia="zh-CN"/>
              </w:rPr>
              <w:t>65</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rFonts w:hint="default"/>
                <w:color w:val="FF0000"/>
                <w:lang w:val="en-US" w:eastAsia="zh-CN"/>
              </w:rPr>
            </w:pPr>
            <w:r>
              <w:rPr>
                <w:rFonts w:hint="default"/>
                <w:color w:val="FF0000"/>
                <w:lang w:val="en-US" w:eastAsia="zh-CN"/>
              </w:rPr>
              <w:t>dB(A)</w:t>
            </w:r>
          </w:p>
        </w:tc>
        <w:tc>
          <w:tcPr>
            <w:tcW w:w="186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《声环境质量标准》（GB3096-2008）中3类标准</w:t>
            </w: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65</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hint="eastAsia"/>
                <w:color w:val="FF0000"/>
                <w:lang w:val="en-US" w:eastAsia="zh-CN"/>
              </w:rPr>
            </w:pPr>
            <w:r>
              <w:rPr>
                <w:rFonts w:hint="default"/>
                <w:color w:val="FF0000"/>
                <w:lang w:val="en-US" w:eastAsia="zh-CN"/>
              </w:rPr>
              <w:t>dB(A)</w:t>
            </w:r>
          </w:p>
        </w:tc>
        <w:tc>
          <w:tcPr>
            <w:tcW w:w="189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《声环境质量标准》（GB3096-2008）中3类标准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pStyle w:val="41"/>
              <w:keepNext w:val="0"/>
              <w:keepLines w:val="0"/>
              <w:pageBreakBefore w:val="0"/>
              <w:kinsoku/>
              <w:wordWrap/>
              <w:bidi w:val="0"/>
              <w:snapToGrid/>
              <w:spacing w:line="240" w:lineRule="auto"/>
              <w:rPr>
                <w:rFonts w:hint="eastAsia"/>
                <w:color w:val="FF0000"/>
                <w:lang w:eastAsia="zh-CN"/>
              </w:rPr>
            </w:pPr>
            <w:r>
              <w:rPr>
                <w:rFonts w:hint="eastAsia"/>
                <w:color w:val="FF0000"/>
                <w:lang w:eastAsia="zh-CN"/>
              </w:rPr>
              <w:t>夜间</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lang w:val="en-US" w:eastAsia="zh-CN"/>
              </w:rPr>
            </w:pPr>
            <w:r>
              <w:rPr>
                <w:rFonts w:hint="eastAsia"/>
                <w:color w:val="FF0000"/>
                <w:lang w:val="en-US" w:eastAsia="zh-CN"/>
              </w:rPr>
              <w:t>55</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rFonts w:hint="eastAsia"/>
                <w:color w:val="FF0000"/>
                <w:lang w:val="en-US" w:eastAsia="zh-CN"/>
              </w:rPr>
            </w:pPr>
            <w:r>
              <w:rPr>
                <w:rFonts w:hint="default"/>
                <w:color w:val="FF0000"/>
                <w:lang w:val="en-US" w:eastAsia="zh-CN"/>
              </w:rPr>
              <w:t>dB(A)</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pStyle w:val="41"/>
              <w:keepNext w:val="0"/>
              <w:keepLines w:val="0"/>
              <w:pageBreakBefore w:val="0"/>
              <w:kinsoku/>
              <w:wordWrap/>
              <w:bidi w:val="0"/>
              <w:snapToGrid/>
              <w:spacing w:line="240" w:lineRule="auto"/>
              <w:rPr>
                <w:color w:val="FF0000"/>
              </w:rPr>
            </w:pPr>
            <w:r>
              <w:rPr>
                <w:rFonts w:hint="eastAsia"/>
                <w:color w:val="FF0000"/>
                <w:lang w:val="en-US" w:eastAsia="zh-CN"/>
              </w:rPr>
              <w:t>55</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hint="eastAsia"/>
                <w:color w:val="FF0000"/>
                <w:lang w:val="en-US" w:eastAsia="zh-CN"/>
              </w:rPr>
            </w:pPr>
            <w:r>
              <w:rPr>
                <w:rFonts w:hint="default"/>
                <w:color w:val="FF0000"/>
                <w:lang w:val="en-US" w:eastAsia="zh-CN"/>
              </w:rPr>
              <w:t>dB(A)</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restart"/>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r>
              <w:rPr>
                <w:rFonts w:hint="eastAsia"/>
                <w:color w:val="FF0000"/>
                <w:szCs w:val="22"/>
                <w:lang w:val="en-US" w:eastAsia="zh-CN"/>
              </w:rPr>
              <w:t>地下水质量标准</w:t>
            </w: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kern w:val="0"/>
                <w:szCs w:val="21"/>
              </w:rPr>
              <w:t>色度</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≤15</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铂钴色单位</w:t>
            </w:r>
          </w:p>
        </w:tc>
        <w:tc>
          <w:tcPr>
            <w:tcW w:w="186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《地下水质量标准》</w:t>
            </w:r>
            <w:r>
              <w:rPr>
                <w:rFonts w:hint="eastAsia"/>
                <w:color w:val="FF0000"/>
                <w:lang w:eastAsia="zh-CN"/>
              </w:rPr>
              <w:t>（</w:t>
            </w:r>
            <w:r>
              <w:rPr>
                <w:color w:val="FF0000"/>
              </w:rPr>
              <w:t>GB/T14848-93</w:t>
            </w:r>
            <w:r>
              <w:rPr>
                <w:rFonts w:hint="eastAsia"/>
                <w:color w:val="FF0000"/>
                <w:lang w:eastAsia="zh-CN"/>
              </w:rPr>
              <w:t>）</w:t>
            </w:r>
            <w:r>
              <w:rPr>
                <w:color w:val="FF0000"/>
              </w:rPr>
              <w:t>III类标准</w:t>
            </w: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≤15</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铂钴色单位</w:t>
            </w:r>
          </w:p>
        </w:tc>
        <w:tc>
          <w:tcPr>
            <w:tcW w:w="189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《地下水质量标准》（GB/T14848-2017）中III类标准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kern w:val="0"/>
                <w:szCs w:val="21"/>
              </w:rPr>
              <w:t>浑浊度</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≤3</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NTU</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≤3</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NTU</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kern w:val="0"/>
                <w:szCs w:val="21"/>
              </w:rPr>
              <w:t>pH</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6.5-8.5</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6.5-8.5</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kern w:val="0"/>
                <w:szCs w:val="21"/>
              </w:rPr>
              <w:t>总硬度（以CaCO</w:t>
            </w:r>
            <w:r>
              <w:rPr>
                <w:rFonts w:ascii="Times New Roman" w:hAnsi="Times New Roman" w:eastAsia="宋体" w:cs="Times New Roman"/>
                <w:color w:val="FF0000"/>
                <w:kern w:val="0"/>
                <w:szCs w:val="21"/>
                <w:vertAlign w:val="subscript"/>
              </w:rPr>
              <w:t>3</w:t>
            </w:r>
            <w:r>
              <w:rPr>
                <w:rFonts w:ascii="Times New Roman" w:hAnsi="Times New Roman" w:eastAsia="宋体" w:cs="Times New Roman"/>
                <w:color w:val="FF0000"/>
                <w:kern w:val="0"/>
                <w:szCs w:val="21"/>
              </w:rPr>
              <w:t>计）</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≤450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≤450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kern w:val="0"/>
                <w:szCs w:val="21"/>
              </w:rPr>
              <w:t>溶解性固体</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≤1000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≤1000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kern w:val="0"/>
                <w:szCs w:val="21"/>
              </w:rPr>
              <w:t>硫酸盐</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≤250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≤250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kern w:val="0"/>
                <w:szCs w:val="21"/>
              </w:rPr>
              <w:t>氯化物</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≤250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≤250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szCs w:val="21"/>
              </w:rPr>
              <w:t>铁</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≤0.3</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≤0.3</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szCs w:val="21"/>
              </w:rPr>
              <w:t>锰</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≤0.10</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≤0.10</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szCs w:val="21"/>
              </w:rPr>
              <w:t>铜</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≤1.00</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≤1.00</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szCs w:val="21"/>
              </w:rPr>
              <w:t>锌</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≤1.00</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≤1.00</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kern w:val="0"/>
                <w:szCs w:val="21"/>
              </w:rPr>
              <w:t>铝</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rFonts w:hint="default"/>
                <w:color w:val="FF0000"/>
                <w:lang w:val="en-US" w:eastAsia="zh-CN"/>
              </w:rPr>
            </w:pPr>
            <w:r>
              <w:rPr>
                <w:rFonts w:hint="eastAsia"/>
                <w:color w:val="FF0000"/>
                <w:lang w:val="en-US" w:eastAsia="zh-CN"/>
              </w:rPr>
              <w:t>/</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rFonts w:hint="default"/>
                <w:color w:val="FF0000"/>
                <w:lang w:val="en-US" w:eastAsia="zh-CN"/>
              </w:rPr>
            </w:pPr>
            <w:r>
              <w:rPr>
                <w:rFonts w:hint="eastAsia"/>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≤0.20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szCs w:val="21"/>
              </w:rPr>
              <w:t>挥发性酚类（以苯酚计）</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≤0.002</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≤0.002</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szCs w:val="21"/>
              </w:rPr>
              <w:t>耗氧量（COD</w:t>
            </w:r>
            <w:r>
              <w:rPr>
                <w:rFonts w:ascii="Times New Roman" w:hAnsi="Times New Roman" w:eastAsia="宋体" w:cs="Times New Roman"/>
                <w:color w:val="FF0000"/>
                <w:szCs w:val="21"/>
                <w:vertAlign w:val="subscript"/>
              </w:rPr>
              <w:t>Mn</w:t>
            </w:r>
            <w:r>
              <w:rPr>
                <w:rFonts w:ascii="Times New Roman" w:hAnsi="Times New Roman" w:eastAsia="宋体" w:cs="Times New Roman"/>
                <w:color w:val="FF0000"/>
                <w:szCs w:val="21"/>
              </w:rPr>
              <w:t>法，以O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计）</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eastAsia="宋体"/>
                <w:color w:val="FF0000"/>
                <w:lang w:val="en-US" w:eastAsia="zh-CN"/>
              </w:rPr>
            </w:pPr>
            <w:r>
              <w:rPr>
                <w:rFonts w:ascii="Times New Roman" w:hAnsi="Times New Roman" w:eastAsia="宋体" w:cs="Times New Roman"/>
                <w:color w:val="FF0000"/>
                <w:szCs w:val="21"/>
              </w:rPr>
              <w:t>≤</w:t>
            </w:r>
            <w:r>
              <w:rPr>
                <w:rFonts w:hint="eastAsia" w:ascii="Times New Roman" w:hAnsi="Times New Roman" w:eastAsia="宋体" w:cs="Times New Roman"/>
                <w:color w:val="FF0000"/>
                <w:szCs w:val="21"/>
                <w:lang w:val="en-US" w:eastAsia="zh-CN"/>
              </w:rPr>
              <w:t>3</w:t>
            </w:r>
            <w:r>
              <w:rPr>
                <w:rFonts w:ascii="Times New Roman" w:hAnsi="Times New Roman" w:eastAsia="宋体" w:cs="Times New Roman"/>
                <w:color w:val="FF0000"/>
                <w:szCs w:val="21"/>
              </w:rPr>
              <w:t>.0</w:t>
            </w:r>
            <w:r>
              <w:rPr>
                <w:rFonts w:hint="eastAsia" w:ascii="Times New Roman" w:hAnsi="Times New Roman" w:eastAsia="宋体" w:cs="Times New Roman"/>
                <w:color w:val="FF0000"/>
                <w:szCs w:val="21"/>
                <w:lang w:eastAsia="zh-CN"/>
              </w:rPr>
              <w:t>（高锰酸盐指数）</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≤3.0</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szCs w:val="21"/>
              </w:rPr>
              <w:t>氨氮（以N计）</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eastAsia="宋体"/>
                <w:color w:val="FF0000"/>
                <w:lang w:val="en-US" w:eastAsia="zh-CN"/>
              </w:rPr>
            </w:pPr>
            <w:r>
              <w:rPr>
                <w:rFonts w:ascii="Times New Roman" w:hAnsi="Times New Roman" w:eastAsia="宋体" w:cs="Times New Roman"/>
                <w:color w:val="FF0000"/>
                <w:szCs w:val="21"/>
              </w:rPr>
              <w:t>≤</w:t>
            </w:r>
            <w:r>
              <w:rPr>
                <w:rFonts w:hint="eastAsia" w:ascii="Times New Roman" w:hAnsi="Times New Roman" w:eastAsia="宋体" w:cs="Times New Roman"/>
                <w:color w:val="FF0000"/>
                <w:szCs w:val="21"/>
                <w:lang w:val="en-US" w:eastAsia="zh-CN"/>
              </w:rPr>
              <w:t>1.0</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≤0.5</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szCs w:val="21"/>
              </w:rPr>
              <w:t>硫化物</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≤0.2</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≤0.02</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eastAsia"/>
                <w:color w:val="FF0000"/>
                <w:lang w:eastAsia="zh-CN"/>
              </w:rPr>
            </w:pPr>
            <w:r>
              <w:rPr>
                <w:rFonts w:ascii="Times New Roman" w:hAnsi="Times New Roman" w:eastAsia="宋体" w:cs="Times New Roman"/>
                <w:color w:val="FF0000"/>
                <w:szCs w:val="21"/>
              </w:rPr>
              <w:t>钠</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rFonts w:hint="default"/>
                <w:color w:val="FF0000"/>
                <w:lang w:val="en-US" w:eastAsia="zh-CN"/>
              </w:rPr>
            </w:pPr>
            <w:r>
              <w:rPr>
                <w:rFonts w:hint="eastAsia"/>
                <w:color w:val="FF0000"/>
                <w:lang w:val="en-US" w:eastAsia="zh-CN"/>
              </w:rPr>
              <w:t>/</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rFonts w:hint="default"/>
                <w:color w:val="FF0000"/>
                <w:lang w:val="en-US" w:eastAsia="zh-CN"/>
              </w:rPr>
            </w:pPr>
            <w:r>
              <w:rPr>
                <w:rFonts w:hint="eastAsia"/>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≤200</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kern w:val="0"/>
                <w:szCs w:val="21"/>
              </w:rPr>
              <w:t>总大肠菌群</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≤3.0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MPN/100mL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≤3.0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MPN/100mL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kern w:val="0"/>
                <w:szCs w:val="21"/>
              </w:rPr>
              <w:t>菌落总数</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≤100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CFU/mL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≤100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CFU/mL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亚硝酸盐（以N计）</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eastAsia="宋体"/>
                <w:color w:val="FF0000"/>
                <w:lang w:val="en-US" w:eastAsia="zh-CN"/>
              </w:rPr>
            </w:pPr>
            <w:r>
              <w:rPr>
                <w:rFonts w:ascii="Times New Roman" w:hAnsi="Times New Roman" w:eastAsia="宋体" w:cs="Times New Roman"/>
                <w:color w:val="FF0000"/>
                <w:kern w:val="0"/>
                <w:szCs w:val="21"/>
              </w:rPr>
              <w:t>≤</w:t>
            </w:r>
            <w:r>
              <w:rPr>
                <w:rFonts w:hint="eastAsia" w:ascii="Times New Roman" w:hAnsi="Times New Roman" w:eastAsia="宋体" w:cs="Times New Roman"/>
                <w:color w:val="FF0000"/>
                <w:kern w:val="0"/>
                <w:szCs w:val="21"/>
                <w:lang w:val="en-US" w:eastAsia="zh-CN"/>
              </w:rPr>
              <w:t>0.02</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≤1.00</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硝酸盐（以N计）</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w:t>
            </w:r>
            <w:r>
              <w:rPr>
                <w:rFonts w:hint="eastAsia" w:ascii="Times New Roman" w:hAnsi="Times New Roman" w:eastAsia="宋体" w:cs="Times New Roman"/>
                <w:color w:val="FF0000"/>
                <w:szCs w:val="21"/>
                <w:lang w:val="en-US" w:eastAsia="zh-CN"/>
              </w:rPr>
              <w:t>2</w:t>
            </w:r>
            <w:r>
              <w:rPr>
                <w:rFonts w:ascii="Times New Roman" w:hAnsi="Times New Roman" w:eastAsia="宋体" w:cs="Times New Roman"/>
                <w:color w:val="FF0000"/>
                <w:szCs w:val="21"/>
              </w:rPr>
              <w:t>0.0</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≤20.0</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氰化物</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eastAsia="宋体"/>
                <w:color w:val="FF0000"/>
                <w:lang w:val="en-US" w:eastAsia="zh-CN"/>
              </w:rPr>
            </w:pPr>
            <w:r>
              <w:rPr>
                <w:rFonts w:ascii="Times New Roman" w:hAnsi="Times New Roman" w:eastAsia="宋体" w:cs="Times New Roman"/>
                <w:color w:val="FF0000"/>
                <w:szCs w:val="21"/>
              </w:rPr>
              <w:t>≤0.</w:t>
            </w:r>
            <w:r>
              <w:rPr>
                <w:rFonts w:hint="eastAsia" w:ascii="Times New Roman" w:hAnsi="Times New Roman" w:eastAsia="宋体" w:cs="Times New Roman"/>
                <w:color w:val="FF0000"/>
                <w:szCs w:val="21"/>
                <w:lang w:val="en-US" w:eastAsia="zh-CN"/>
              </w:rPr>
              <w:t>05</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≤0.05</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汞</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≤0.0</w:t>
            </w:r>
            <w:r>
              <w:rPr>
                <w:rFonts w:hint="eastAsia" w:ascii="Times New Roman" w:hAnsi="Times New Roman" w:eastAsia="宋体" w:cs="Times New Roman"/>
                <w:color w:val="FF0000"/>
                <w:szCs w:val="21"/>
                <w:lang w:val="en-US" w:eastAsia="zh-CN"/>
              </w:rPr>
              <w:t>0</w:t>
            </w:r>
            <w:r>
              <w:rPr>
                <w:rFonts w:ascii="Times New Roman" w:hAnsi="Times New Roman" w:eastAsia="宋体" w:cs="Times New Roman"/>
                <w:color w:val="FF0000"/>
                <w:szCs w:val="21"/>
              </w:rPr>
              <w:t>1</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≤0.001</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砷</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eastAsia="宋体"/>
                <w:color w:val="FF0000"/>
                <w:lang w:val="en-US" w:eastAsia="zh-CN"/>
              </w:rPr>
            </w:pPr>
            <w:r>
              <w:rPr>
                <w:rFonts w:ascii="Times New Roman" w:hAnsi="Times New Roman" w:eastAsia="宋体" w:cs="Times New Roman"/>
                <w:color w:val="FF0000"/>
                <w:szCs w:val="21"/>
              </w:rPr>
              <w:t>≤0.0</w:t>
            </w:r>
            <w:r>
              <w:rPr>
                <w:rFonts w:hint="eastAsia" w:ascii="Times New Roman" w:hAnsi="Times New Roman" w:eastAsia="宋体" w:cs="Times New Roman"/>
                <w:color w:val="FF0000"/>
                <w:szCs w:val="21"/>
                <w:lang w:val="en-US" w:eastAsia="zh-CN"/>
              </w:rPr>
              <w:t>5</w:t>
            </w:r>
          </w:p>
        </w:tc>
        <w:tc>
          <w:tcPr>
            <w:tcW w:w="1050"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≤0.01</w:t>
            </w:r>
          </w:p>
        </w:tc>
        <w:tc>
          <w:tcPr>
            <w:tcW w:w="968" w:type="dxa"/>
            <w:tcBorders>
              <w:tl2br w:val="nil"/>
              <w:tr2bl w:val="nil"/>
            </w:tcBorders>
            <w:vAlign w:val="center"/>
          </w:tcPr>
          <w:p>
            <w:pPr>
              <w:keepNext w:val="0"/>
              <w:keepLines w:val="0"/>
              <w:pageBreakBefore w:val="0"/>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镉</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eastAsia="宋体"/>
                <w:color w:val="FF0000"/>
                <w:lang w:val="en-US" w:eastAsia="zh-CN"/>
              </w:rPr>
            </w:pPr>
            <w:r>
              <w:rPr>
                <w:rFonts w:ascii="Times New Roman" w:hAnsi="Times New Roman" w:eastAsia="宋体" w:cs="Times New Roman"/>
                <w:color w:val="FF0000"/>
                <w:szCs w:val="21"/>
              </w:rPr>
              <w:t>≤0.0</w:t>
            </w:r>
            <w:r>
              <w:rPr>
                <w:rFonts w:hint="eastAsia" w:ascii="Times New Roman" w:hAnsi="Times New Roman" w:eastAsia="宋体" w:cs="Times New Roman"/>
                <w:color w:val="FF0000"/>
                <w:szCs w:val="21"/>
                <w:lang w:val="en-US" w:eastAsia="zh-CN"/>
              </w:rPr>
              <w:t>1</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szCs w:val="21"/>
              </w:rPr>
              <w:t>≤0.005</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铬</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≤0.05</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≤0.05</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hint="default" w:ascii="Times New Roman" w:hAnsi="Times New Roman" w:eastAsia="宋体" w:cs="Times New Roman"/>
                <w:color w:val="FF0000"/>
                <w:kern w:val="0"/>
                <w:szCs w:val="21"/>
              </w:rPr>
              <w:t>铅</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kern w:val="0"/>
                <w:szCs w:val="21"/>
              </w:rPr>
              <w:t>≤0.0</w:t>
            </w:r>
            <w:r>
              <w:rPr>
                <w:rFonts w:hint="default" w:ascii="Times New Roman" w:hAnsi="Times New Roman" w:eastAsia="宋体" w:cs="Times New Roman"/>
                <w:color w:val="FF0000"/>
                <w:kern w:val="0"/>
                <w:szCs w:val="21"/>
                <w:lang w:val="en-US" w:eastAsia="zh-CN"/>
              </w:rPr>
              <w:t>5</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≤0.01</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hint="default" w:ascii="Times New Roman" w:hAnsi="Times New Roman" w:eastAsia="宋体" w:cs="Times New Roman"/>
                <w:color w:val="FF0000"/>
                <w:kern w:val="0"/>
                <w:szCs w:val="21"/>
              </w:rPr>
              <w:t>甲苯</w:t>
            </w:r>
          </w:p>
        </w:tc>
        <w:tc>
          <w:tcPr>
            <w:tcW w:w="2994" w:type="dxa"/>
            <w:gridSpan w:val="3"/>
            <w:tcBorders>
              <w:tl2br w:val="nil"/>
              <w:tr2bl w:val="nil"/>
            </w:tcBorders>
            <w:vAlign w:val="center"/>
          </w:tcPr>
          <w:p>
            <w:pPr>
              <w:pStyle w:val="41"/>
              <w:keepNext w:val="0"/>
              <w:keepLines w:val="0"/>
              <w:pageBreakBefore w:val="0"/>
              <w:kinsoku/>
              <w:wordWrap/>
              <w:bidi w:val="0"/>
              <w:snapToGrid/>
              <w:spacing w:line="240" w:lineRule="auto"/>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w:t>
            </w:r>
          </w:p>
        </w:tc>
        <w:tc>
          <w:tcPr>
            <w:tcW w:w="1050" w:type="dxa"/>
            <w:tcBorders>
              <w:tl2br w:val="nil"/>
              <w:tr2bl w:val="nil"/>
            </w:tcBorders>
            <w:vAlign w:val="center"/>
          </w:tcPr>
          <w:p>
            <w:pPr>
              <w:pStyle w:val="41"/>
              <w:keepNext w:val="0"/>
              <w:keepLines w:val="0"/>
              <w:pageBreakBefore w:val="0"/>
              <w:kinsoku/>
              <w:wordWrap/>
              <w:bidi w:val="0"/>
              <w:snapToGrid/>
              <w:spacing w:line="240" w:lineRule="auto"/>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≤700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ug/L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hint="default" w:ascii="Times New Roman" w:hAnsi="Times New Roman" w:eastAsia="宋体" w:cs="Times New Roman"/>
                <w:color w:val="FF0000"/>
                <w:kern w:val="0"/>
                <w:szCs w:val="21"/>
              </w:rPr>
              <w:t>苯</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≤10.0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ug/L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hint="default" w:ascii="Times New Roman" w:hAnsi="Times New Roman" w:eastAsia="宋体" w:cs="Times New Roman"/>
                <w:color w:val="FF0000"/>
                <w:kern w:val="0"/>
                <w:szCs w:val="21"/>
              </w:rPr>
              <w:t>硒</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eastAsia="宋体" w:cs="Times New Roman"/>
                <w:color w:val="FF0000"/>
                <w:kern w:val="0"/>
                <w:szCs w:val="21"/>
              </w:rPr>
              <w:t>≤0.01</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≤0.01</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hint="default" w:ascii="Times New Roman" w:hAnsi="Times New Roman" w:eastAsia="宋体" w:cs="Times New Roman"/>
                <w:color w:val="FF0000"/>
                <w:kern w:val="0"/>
                <w:szCs w:val="21"/>
              </w:rPr>
              <w:t>氟化物</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eastAsia="宋体" w:cs="Times New Roman"/>
                <w:color w:val="FF0000"/>
                <w:kern w:val="0"/>
                <w:szCs w:val="21"/>
              </w:rPr>
              <w:t>≤1.0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eastAsia="宋体" w:cs="Times New Roman"/>
                <w:color w:val="FF0000"/>
                <w:kern w:val="0"/>
                <w:szCs w:val="21"/>
              </w:rPr>
              <w:t>mg/L</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≤1.0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t>mg/L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hint="default" w:ascii="Times New Roman" w:hAnsi="Times New Roman" w:eastAsia="宋体" w:cs="Times New Roman"/>
                <w:color w:val="FF0000"/>
                <w:kern w:val="0"/>
                <w:szCs w:val="21"/>
              </w:rPr>
              <w:t>四氯化碳</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color w:val="FF0000"/>
                <w:lang w:val="en-US" w:eastAsia="zh-CN"/>
              </w:rPr>
            </w:pPr>
            <w:r>
              <w:rPr>
                <w:rFonts w:ascii="Times New Roman" w:hAnsi="Times New Roman" w:eastAsia="宋体" w:cs="Times New Roman"/>
                <w:color w:val="FF0000"/>
                <w:kern w:val="0"/>
                <w:szCs w:val="21"/>
              </w:rPr>
              <w:t>≤4.0</w:t>
            </w:r>
          </w:p>
        </w:tc>
        <w:tc>
          <w:tcPr>
            <w:tcW w:w="968" w:type="dxa"/>
            <w:tcBorders>
              <w:tl2br w:val="nil"/>
              <w:tr2bl w:val="nil"/>
            </w:tcBorders>
            <w:vAlign w:val="center"/>
          </w:tcPr>
          <w:p>
            <w:pPr>
              <w:keepNext w:val="0"/>
              <w:keepLines w:val="0"/>
              <w:pageBreakBefore w:val="0"/>
              <w:widowControl/>
              <w:kinsoku/>
              <w:wordWrap/>
              <w:bidi w:val="0"/>
              <w:snapToGrid/>
              <w:jc w:val="center"/>
              <w:rPr>
                <w:rFonts w:hint="default"/>
                <w:color w:val="FF0000"/>
                <w:lang w:val="en-US" w:eastAsia="zh-CN"/>
              </w:rPr>
            </w:pPr>
            <w:r>
              <w:rPr>
                <w:rFonts w:ascii="Times New Roman" w:hAnsi="Times New Roman" w:eastAsia="宋体" w:cs="Times New Roman"/>
                <w:color w:val="FF0000"/>
                <w:kern w:val="0"/>
                <w:szCs w:val="21"/>
              </w:rPr>
              <w:sym w:font="Symbol" w:char="F06D"/>
            </w:r>
            <w:r>
              <w:rPr>
                <w:rFonts w:ascii="Times New Roman" w:hAnsi="Times New Roman" w:eastAsia="宋体" w:cs="Times New Roman"/>
                <w:color w:val="FF0000"/>
                <w:kern w:val="0"/>
                <w:szCs w:val="21"/>
              </w:rPr>
              <w:t>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hint="default" w:ascii="Times New Roman" w:hAnsi="Times New Roman" w:eastAsia="宋体" w:cs="Times New Roman"/>
                <w:color w:val="FF0000"/>
                <w:kern w:val="0"/>
                <w:szCs w:val="21"/>
              </w:rPr>
              <w:t>苯并(a)芘</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3048" w:type="dxa"/>
            <w:gridSpan w:val="4"/>
            <w:tcBorders>
              <w:tl2br w:val="nil"/>
              <w:tr2bl w:val="nil"/>
            </w:tcBorders>
            <w:vAlign w:val="center"/>
          </w:tcPr>
          <w:p>
            <w:pPr>
              <w:keepNext w:val="0"/>
              <w:keepLines w:val="0"/>
              <w:pageBreakBefore w:val="0"/>
              <w:widowControl/>
              <w:kinsoku/>
              <w:wordWrap/>
              <w:bidi w:val="0"/>
              <w:snapToGrid/>
              <w:jc w:val="center"/>
              <w:rPr>
                <w:rFonts w:hint="eastAsia" w:ascii="Times New Roman" w:hAnsi="Times New Roman" w:eastAsia="宋体" w:cs="Times New Roman"/>
                <w:color w:val="FF0000"/>
                <w:kern w:val="0"/>
                <w:szCs w:val="21"/>
                <w:lang w:val="en-US" w:eastAsia="zh-CN"/>
              </w:rPr>
            </w:pPr>
            <w:r>
              <w:rPr>
                <w:rFonts w:hint="default" w:ascii="Times New Roman" w:hAnsi="Times New Roman" w:eastAsia="宋体" w:cs="Times New Roman"/>
                <w:color w:val="FF0000"/>
                <w:kern w:val="0"/>
                <w:szCs w:val="21"/>
              </w:rPr>
              <w:t>≤0.01</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hint="default"/>
                <w:color w:val="FF0000"/>
                <w:lang w:val="en-US" w:eastAsia="zh-CN"/>
              </w:rPr>
            </w:pPr>
            <w:r>
              <w:rPr>
                <w:rFonts w:ascii="Times New Roman" w:hAnsi="Times New Roman" w:eastAsia="宋体" w:cs="Times New Roman"/>
                <w:color w:val="FF0000"/>
                <w:kern w:val="0"/>
                <w:szCs w:val="21"/>
              </w:rPr>
              <w:sym w:font="Symbol" w:char="F06D"/>
            </w:r>
            <w:r>
              <w:rPr>
                <w:rFonts w:ascii="Times New Roman" w:hAnsi="Times New Roman" w:eastAsia="宋体" w:cs="Times New Roman"/>
                <w:color w:val="FF0000"/>
                <w:kern w:val="0"/>
                <w:szCs w:val="21"/>
              </w:rPr>
              <w:t>g/L</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restart"/>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r>
              <w:rPr>
                <w:rFonts w:hint="eastAsia"/>
                <w:color w:val="FF0000"/>
                <w:szCs w:val="22"/>
                <w:lang w:val="en-US" w:eastAsia="zh-CN"/>
              </w:rPr>
              <w:t>土壤环境质量标准</w:t>
            </w: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hint="default" w:ascii="Times New Roman" w:hAnsi="Times New Roman" w:eastAsia="宋体" w:cs="Times New Roman"/>
                <w:color w:val="FF0000"/>
                <w:lang w:val="en-US" w:eastAsia="zh-CN"/>
              </w:rPr>
              <w:t>/</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eastAsia="宋体" w:cs="Times New Roman"/>
                <w:color w:val="FF0000"/>
                <w:lang w:val="en-US" w:eastAsia="zh-CN"/>
              </w:rPr>
              <w:t>/</w:t>
            </w:r>
          </w:p>
        </w:tc>
        <w:tc>
          <w:tcPr>
            <w:tcW w:w="1861" w:type="dxa"/>
            <w:vMerge w:val="restart"/>
            <w:tcBorders>
              <w:tl2br w:val="nil"/>
              <w:tr2bl w:val="nil"/>
            </w:tcBorders>
            <w:vAlign w:val="center"/>
          </w:tcPr>
          <w:p>
            <w:pPr>
              <w:pStyle w:val="41"/>
              <w:keepNext w:val="0"/>
              <w:keepLines w:val="0"/>
              <w:pageBreakBefore w:val="0"/>
              <w:kinsoku/>
              <w:wordWrap/>
              <w:bidi w:val="0"/>
              <w:snapToGrid/>
              <w:spacing w:line="240" w:lineRule="auto"/>
              <w:rPr>
                <w:color w:val="FF0000"/>
              </w:rPr>
            </w:pPr>
            <w:r>
              <w:rPr>
                <w:color w:val="FF0000"/>
              </w:rPr>
              <w:t>《土壤环境质量标准》</w:t>
            </w:r>
            <w:r>
              <w:rPr>
                <w:rFonts w:hint="eastAsia"/>
                <w:color w:val="FF0000"/>
                <w:lang w:eastAsia="zh-CN"/>
              </w:rPr>
              <w:t>（</w:t>
            </w:r>
            <w:r>
              <w:rPr>
                <w:color w:val="FF0000"/>
              </w:rPr>
              <w:t>GB15618-1995</w:t>
            </w:r>
            <w:r>
              <w:rPr>
                <w:rFonts w:hint="eastAsia"/>
                <w:color w:val="FF0000"/>
                <w:lang w:eastAsia="zh-CN"/>
              </w:rPr>
              <w:t>）</w:t>
            </w:r>
            <w:r>
              <w:rPr>
                <w:color w:val="FF0000"/>
              </w:rPr>
              <w:t>二级标准</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hint="eastAsia" w:ascii="Times New Roman" w:hAnsi="Times New Roman" w:eastAsia="宋体" w:cs="Times New Roman"/>
                <w:color w:val="FF0000"/>
                <w:kern w:val="0"/>
                <w:szCs w:val="21"/>
                <w:lang w:eastAsia="zh-CN"/>
              </w:rPr>
            </w:pPr>
            <w:r>
              <w:rPr>
                <w:rFonts w:hint="eastAsia" w:ascii="Times New Roman" w:hAnsi="Times New Roman" w:eastAsia="宋体" w:cs="Times New Roman"/>
                <w:color w:val="FF0000"/>
                <w:kern w:val="0"/>
                <w:szCs w:val="21"/>
                <w:lang w:eastAsia="zh-CN"/>
              </w:rPr>
              <w:t>筛选值</w:t>
            </w:r>
          </w:p>
          <w:p>
            <w:pPr>
              <w:keepNext w:val="0"/>
              <w:keepLines w:val="0"/>
              <w:pageBreakBefore w:val="0"/>
              <w:widowControl/>
              <w:kinsoku/>
              <w:wordWrap/>
              <w:bidi w:val="0"/>
              <w:snapToGrid/>
              <w:jc w:val="center"/>
              <w:rPr>
                <w:rFonts w:hint="eastAsia" w:ascii="Times New Roman" w:hAnsi="Times New Roman" w:eastAsia="宋体" w:cs="Times New Roman"/>
                <w:color w:val="FF0000"/>
                <w:kern w:val="0"/>
                <w:szCs w:val="21"/>
                <w:lang w:eastAsia="zh-CN"/>
              </w:rPr>
            </w:pPr>
            <w:r>
              <w:rPr>
                <w:rFonts w:hint="eastAsia" w:ascii="Times New Roman" w:hAnsi="Times New Roman" w:eastAsia="宋体" w:cs="Times New Roman"/>
                <w:color w:val="FF0000"/>
                <w:kern w:val="0"/>
                <w:szCs w:val="21"/>
                <w:lang w:eastAsia="zh-CN"/>
              </w:rPr>
              <w:t>第二类用地</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hint="eastAsia" w:ascii="Times New Roman" w:hAnsi="Times New Roman" w:eastAsia="宋体" w:cs="Times New Roman"/>
                <w:color w:val="FF0000"/>
                <w:kern w:val="0"/>
                <w:szCs w:val="21"/>
                <w:lang w:eastAsia="zh-CN"/>
              </w:rPr>
            </w:pPr>
            <w:r>
              <w:rPr>
                <w:rFonts w:hint="eastAsia" w:ascii="Times New Roman" w:hAnsi="Times New Roman" w:eastAsia="宋体" w:cs="Times New Roman"/>
                <w:color w:val="FF0000"/>
                <w:kern w:val="0"/>
                <w:szCs w:val="21"/>
                <w:lang w:eastAsia="zh-CN"/>
              </w:rPr>
              <w:t>管制值</w:t>
            </w:r>
          </w:p>
          <w:p>
            <w:pPr>
              <w:keepNext w:val="0"/>
              <w:keepLines w:val="0"/>
              <w:pageBreakBefore w:val="0"/>
              <w:widowControl/>
              <w:kinsoku/>
              <w:wordWrap/>
              <w:bidi w:val="0"/>
              <w:snapToGrid/>
              <w:jc w:val="center"/>
              <w:rPr>
                <w:rFonts w:hint="eastAsia" w:ascii="Times New Roman" w:hAnsi="Times New Roman" w:eastAsia="宋体" w:cs="Times New Roman"/>
                <w:color w:val="FF0000"/>
                <w:kern w:val="0"/>
                <w:szCs w:val="21"/>
                <w:lang w:eastAsia="zh-CN"/>
              </w:rPr>
            </w:pPr>
            <w:r>
              <w:rPr>
                <w:rFonts w:hint="eastAsia" w:ascii="Times New Roman" w:hAnsi="Times New Roman" w:eastAsia="宋体" w:cs="Times New Roman"/>
                <w:color w:val="FF0000"/>
                <w:kern w:val="0"/>
                <w:szCs w:val="21"/>
                <w:lang w:eastAsia="zh-CN"/>
              </w:rPr>
              <w:t>第二类用地</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hint="eastAsia" w:ascii="Times New Roman" w:hAnsi="Times New Roman" w:eastAsia="宋体" w:cs="Times New Roman"/>
                <w:color w:val="FF0000"/>
                <w:kern w:val="0"/>
                <w:szCs w:val="21"/>
                <w:lang w:val="en-US" w:eastAsia="zh-CN"/>
              </w:rPr>
            </w:pPr>
            <w:r>
              <w:rPr>
                <w:rFonts w:hint="eastAsia" w:cs="Times New Roman"/>
                <w:color w:val="FF0000"/>
                <w:kern w:val="0"/>
                <w:szCs w:val="21"/>
                <w:lang w:val="en-US" w:eastAsia="zh-CN"/>
              </w:rPr>
              <w:t>/</w:t>
            </w:r>
          </w:p>
        </w:tc>
        <w:tc>
          <w:tcPr>
            <w:tcW w:w="1891" w:type="dxa"/>
            <w:vMerge w:val="restart"/>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lang w:val="en-US" w:eastAsia="zh-CN"/>
              </w:rPr>
            </w:pPr>
            <w:r>
              <w:rPr>
                <w:rFonts w:hint="eastAsia" w:eastAsia="宋体"/>
                <w:color w:val="FF0000"/>
                <w:lang w:val="en-US" w:eastAsia="zh-CN"/>
              </w:rPr>
              <w:t>《土壤环境质量 建设用地土壤污染风险管控标准（试行）》（GB36600-2018）表1中第二类用地限值筛选值标准要求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eastAsia"/>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砷</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≤25</w:t>
            </w:r>
            <w:r>
              <w:rPr>
                <w:rFonts w:hint="eastAsia" w:ascii="Times New Roman" w:hAnsi="Times New Roman" w:eastAsia="宋体" w:cs="Times New Roman"/>
                <w:color w:val="FF0000"/>
                <w:lang w:val="en-US" w:eastAsia="zh-CN"/>
              </w:rPr>
              <w:t>（旱地）</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mg/kg</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140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cs="Times New Roman"/>
                <w:color w:val="FF0000"/>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镉</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≤250</w:t>
            </w:r>
            <w:r>
              <w:rPr>
                <w:rFonts w:hint="eastAsia" w:ascii="Times New Roman" w:hAnsi="Times New Roman" w:eastAsia="宋体" w:cs="Times New Roman"/>
                <w:color w:val="FF0000"/>
                <w:lang w:val="en-US" w:eastAsia="zh-CN"/>
              </w:rPr>
              <w:t>（旱地）</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mg/kg</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172</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铬（六价）</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≤1.0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mg/kg</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5.7</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78</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铜</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≤100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mg/kg</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18000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36000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铅</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≤350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mg/kg</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800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2500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汞</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≤1.0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mg/kg</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38</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82</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镍</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≤60</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mg/kg</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900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氰化物</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135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270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四氯化碳</w:t>
            </w:r>
          </w:p>
        </w:tc>
        <w:tc>
          <w:tcPr>
            <w:tcW w:w="2994" w:type="dxa"/>
            <w:gridSpan w:val="3"/>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2.8</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36</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rPr>
              <w:t>氯仿</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0.9</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rPr>
              <w:t>氯甲烷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37</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1,1-二氯乙烷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9</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1,2-二氯乙烷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21</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1,1-二氯乙烯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66</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顺-1,2-二氯乙烯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596</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2000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反-1,2-二氯乙烯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54</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163</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二氯甲烷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616</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2000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rPr>
              <w:t>1,2-二氯丙烷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47</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1,1,1,2-四氯乙烷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1,1,2,2-四氯乙烷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6.8</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四氯乙烯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53</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183</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1,1,1-三氯乙烷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840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840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1,1,2-三氯乙烷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2.8</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三氯乙烯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2.8</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 w:val="22"/>
                <w:lang w:bidi="ar"/>
              </w:rPr>
              <w:t>1,2,3-三氯丙烷</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0.5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rPr>
              <w:t>氯乙烯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0.43</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4.3</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4</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40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氯苯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270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1,2-二氯苯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560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560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1,4-二氯苯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乙苯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28</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280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苯乙烯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1290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1290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甲苯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1200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间二甲苯+对二甲苯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570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570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邻二甲苯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640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640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硝基苯</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76</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760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苯胺</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260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663</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szCs w:val="21"/>
              </w:rPr>
              <w:t>2-氯酚</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2256</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4500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苯并[a]蒽</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151</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苯并[a]芘</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苯并[b]荧蒽</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151</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苯并[k]荧蒽</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151</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䓛</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1293</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12900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二苯并[a,h]蒽</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lang w:bidi="ar"/>
              </w:rPr>
              <w:t>茚并[1,2,3-c,d]芘</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151</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33" w:type="dxa"/>
            <w:vMerge w:val="continue"/>
            <w:tcBorders>
              <w:tl2br w:val="nil"/>
              <w:tr2bl w:val="nil"/>
            </w:tcBorders>
            <w:vAlign w:val="center"/>
          </w:tcPr>
          <w:p>
            <w:pPr>
              <w:pStyle w:val="41"/>
              <w:keepNext w:val="0"/>
              <w:keepLines w:val="0"/>
              <w:pageBreakBefore w:val="0"/>
              <w:kinsoku/>
              <w:wordWrap/>
              <w:bidi w:val="0"/>
              <w:snapToGrid/>
              <w:spacing w:line="240" w:lineRule="auto"/>
              <w:rPr>
                <w:rFonts w:hint="default"/>
                <w:color w:val="FF0000"/>
                <w:szCs w:val="22"/>
                <w:lang w:val="en-US" w:eastAsia="zh-CN"/>
              </w:rPr>
            </w:pPr>
          </w:p>
        </w:tc>
        <w:tc>
          <w:tcPr>
            <w:tcW w:w="1329" w:type="dxa"/>
            <w:tcBorders>
              <w:tl2br w:val="nil"/>
              <w:tr2bl w:val="nil"/>
            </w:tcBorders>
            <w:vAlign w:val="center"/>
          </w:tcPr>
          <w:p>
            <w:pPr>
              <w:keepNext w:val="0"/>
              <w:keepLines w:val="0"/>
              <w:pageBreakBefore w:val="0"/>
              <w:widowControl/>
              <w:kinsoku/>
              <w:wordWrap/>
              <w:bidi w:val="0"/>
              <w:snapToGrid/>
              <w:jc w:val="center"/>
              <w:rPr>
                <w:rFonts w:hint="default" w:ascii="Times New Roman" w:hAnsi="Times New Roman" w:eastAsia="宋体" w:cs="Times New Roman"/>
                <w:color w:val="FF0000"/>
                <w:kern w:val="0"/>
                <w:szCs w:val="21"/>
              </w:rPr>
            </w:pPr>
            <w:r>
              <w:rPr>
                <w:rFonts w:ascii="Times New Roman" w:hAnsi="Times New Roman" w:eastAsia="宋体" w:cs="Times New Roman"/>
                <w:color w:val="FF0000"/>
                <w:kern w:val="0"/>
                <w:szCs w:val="21"/>
              </w:rPr>
              <w:t>萘</w:t>
            </w:r>
          </w:p>
        </w:tc>
        <w:tc>
          <w:tcPr>
            <w:tcW w:w="2994"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w:t>
            </w:r>
          </w:p>
        </w:tc>
        <w:tc>
          <w:tcPr>
            <w:tcW w:w="10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w:t>
            </w:r>
          </w:p>
        </w:tc>
        <w:tc>
          <w:tcPr>
            <w:tcW w:w="186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70</w:t>
            </w:r>
          </w:p>
        </w:tc>
        <w:tc>
          <w:tcPr>
            <w:tcW w:w="1524" w:type="dxa"/>
            <w:gridSpan w:val="2"/>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700</w:t>
            </w:r>
          </w:p>
        </w:tc>
        <w:tc>
          <w:tcPr>
            <w:tcW w:w="968"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kern w:val="0"/>
                <w:szCs w:val="21"/>
              </w:rPr>
            </w:pPr>
            <w:r>
              <w:rPr>
                <w:rFonts w:cs="Times New Roman"/>
                <w:color w:val="FF0000"/>
              </w:rPr>
              <w:t>mg/kg</w:t>
            </w:r>
          </w:p>
        </w:tc>
        <w:tc>
          <w:tcPr>
            <w:tcW w:w="1891" w:type="dxa"/>
            <w:vMerge w:val="continue"/>
            <w:tcBorders>
              <w:tl2br w:val="nil"/>
              <w:tr2bl w:val="nil"/>
            </w:tcBorders>
            <w:vAlign w:val="center"/>
          </w:tcPr>
          <w:p>
            <w:pPr>
              <w:pStyle w:val="41"/>
              <w:keepNext w:val="0"/>
              <w:keepLines w:val="0"/>
              <w:pageBreakBefore w:val="0"/>
              <w:kinsoku/>
              <w:wordWrap/>
              <w:bidi w:val="0"/>
              <w:snapToGrid/>
              <w:spacing w:line="240" w:lineRule="auto"/>
              <w:rPr>
                <w:color w:val="FF0000"/>
              </w:rPr>
            </w:pPr>
          </w:p>
        </w:tc>
      </w:tr>
    </w:tbl>
    <w:p>
      <w:pPr>
        <w:pStyle w:val="2"/>
        <w:keepNext w:val="0"/>
        <w:keepLines w:val="0"/>
        <w:pageBreakBefore w:val="0"/>
        <w:kinsoku/>
        <w:wordWrap/>
        <w:bidi w:val="0"/>
        <w:snapToGrid/>
      </w:pPr>
    </w:p>
    <w:p>
      <w:pPr>
        <w:pStyle w:val="2"/>
        <w:keepNext w:val="0"/>
        <w:keepLines w:val="0"/>
        <w:pageBreakBefore w:val="0"/>
        <w:kinsoku/>
        <w:wordWrap/>
        <w:bidi w:val="0"/>
        <w:snapToGrid/>
      </w:pPr>
    </w:p>
    <w:p>
      <w:pPr>
        <w:pStyle w:val="2"/>
        <w:keepNext w:val="0"/>
        <w:keepLines w:val="0"/>
        <w:pageBreakBefore w:val="0"/>
        <w:kinsoku/>
        <w:wordWrap/>
        <w:bidi w:val="0"/>
        <w:snapToGrid/>
      </w:pPr>
    </w:p>
    <w:p>
      <w:pPr>
        <w:pStyle w:val="2"/>
        <w:keepNext w:val="0"/>
        <w:keepLines w:val="0"/>
        <w:pageBreakBefore w:val="0"/>
        <w:kinsoku/>
        <w:wordWrap/>
        <w:bidi w:val="0"/>
        <w:snapToGrid/>
      </w:pPr>
    </w:p>
    <w:p>
      <w:pPr>
        <w:pStyle w:val="2"/>
        <w:keepNext w:val="0"/>
        <w:keepLines w:val="0"/>
        <w:pageBreakBefore w:val="0"/>
        <w:kinsoku/>
        <w:wordWrap/>
        <w:bidi w:val="0"/>
        <w:snapToGrid/>
        <w:sectPr>
          <w:pgSz w:w="16838" w:h="11906" w:orient="landscape"/>
          <w:pgMar w:top="1800" w:right="1440" w:bottom="1800" w:left="144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1.3.3污染物排放标准</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1.3.3.1大气污染物排放标准</w:t>
      </w:r>
    </w:p>
    <w:p>
      <w:pPr>
        <w:keepNext w:val="0"/>
        <w:keepLines w:val="0"/>
        <w:pageBreakBefore w:val="0"/>
        <w:kinsoku/>
        <w:wordWrap/>
        <w:bidi w:val="0"/>
        <w:snapToGrid/>
        <w:spacing w:line="360" w:lineRule="auto"/>
        <w:ind w:firstLine="482"/>
        <w:rPr>
          <w:rFonts w:hint="eastAsia" w:ascii="Times New Roman" w:hAnsi="Times New Roman" w:eastAsia="宋体" w:cs="Times New Roman"/>
          <w:color w:val="FF0000"/>
          <w:sz w:val="24"/>
          <w:lang w:eastAsia="zh-CN"/>
        </w:rPr>
      </w:pPr>
      <w:r>
        <w:rPr>
          <w:rFonts w:hint="eastAsia" w:ascii="Times New Roman" w:hAnsi="Times New Roman" w:eastAsia="宋体" w:cs="Times New Roman"/>
          <w:color w:val="FF0000"/>
          <w:sz w:val="24"/>
          <w:lang w:eastAsia="zh-CN"/>
        </w:rPr>
        <w:t>（</w:t>
      </w:r>
      <w:r>
        <w:rPr>
          <w:rFonts w:hint="eastAsia" w:ascii="Times New Roman" w:hAnsi="Times New Roman" w:eastAsia="宋体" w:cs="Times New Roman"/>
          <w:color w:val="FF0000"/>
          <w:sz w:val="24"/>
          <w:lang w:val="en-US" w:eastAsia="zh-CN"/>
        </w:rPr>
        <w:t>1</w:t>
      </w:r>
      <w:r>
        <w:rPr>
          <w:rFonts w:hint="eastAsia" w:ascii="Times New Roman" w:hAnsi="Times New Roman" w:eastAsia="宋体" w:cs="Times New Roman"/>
          <w:color w:val="FF0000"/>
          <w:sz w:val="24"/>
          <w:lang w:eastAsia="zh-CN"/>
        </w:rPr>
        <w:t>）厂区现状评价阶段大气污染物执行标准</w:t>
      </w:r>
    </w:p>
    <w:p>
      <w:pPr>
        <w:keepNext w:val="0"/>
        <w:keepLines w:val="0"/>
        <w:pageBreakBefore w:val="0"/>
        <w:kinsoku/>
        <w:wordWrap/>
        <w:bidi w:val="0"/>
        <w:snapToGrid/>
        <w:spacing w:line="360" w:lineRule="auto"/>
        <w:ind w:firstLine="482"/>
        <w:rPr>
          <w:rFonts w:hint="default" w:ascii="Times New Roman" w:hAnsi="Times New Roman" w:eastAsia="宋体" w:cs="Times New Roman"/>
          <w:color w:val="FF0000"/>
          <w:sz w:val="24"/>
          <w:lang w:val="en-US"/>
        </w:rPr>
      </w:pP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芜湖新兴铸管有限责任公司搬迁技术改造项目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现状评价</w:t>
      </w:r>
      <w:r>
        <w:rPr>
          <w:rFonts w:hint="eastAsia" w:ascii="Times New Roman" w:hAnsi="Times New Roman" w:eastAsia="宋体" w:cs="Times New Roman"/>
          <w:color w:val="FF0000"/>
          <w:sz w:val="24"/>
          <w:lang w:eastAsia="zh-CN"/>
        </w:rPr>
        <w:t>）》于</w:t>
      </w:r>
      <w:r>
        <w:rPr>
          <w:rFonts w:hint="eastAsia" w:ascii="Times New Roman" w:hAnsi="Times New Roman" w:eastAsia="宋体" w:cs="Times New Roman"/>
          <w:color w:val="FF0000"/>
          <w:sz w:val="24"/>
          <w:lang w:val="en-US" w:eastAsia="zh-CN"/>
        </w:rPr>
        <w:t>2017年7月12日获得芜湖市环保局批复（环行审[2017]37号），现状评价中大气污染物排放标准如下所示。</w:t>
      </w:r>
    </w:p>
    <w:p>
      <w:pPr>
        <w:keepNext w:val="0"/>
        <w:keepLines w:val="0"/>
        <w:pageBreakBefore w:val="0"/>
        <w:kinsoku/>
        <w:wordWrap/>
        <w:bidi w:val="0"/>
        <w:snapToGrid/>
        <w:spacing w:line="360" w:lineRule="auto"/>
        <w:ind w:firstLine="482"/>
        <w:rPr>
          <w:rFonts w:ascii="Times New Roman" w:hAnsi="Times New Roman" w:eastAsia="宋体" w:cs="Times New Roman"/>
          <w:color w:val="FF0000"/>
          <w:sz w:val="24"/>
        </w:rPr>
      </w:pPr>
      <w:r>
        <w:rPr>
          <w:rFonts w:ascii="Times New Roman" w:hAnsi="Times New Roman" w:eastAsia="宋体" w:cs="Times New Roman"/>
          <w:color w:val="FF0000"/>
          <w:sz w:val="24"/>
        </w:rPr>
        <w:t>焦化废气污染物排放执行《炼焦化学工业污染物排放标准》（GB16171-2012）表5排放限值要求；烧结废气污染物排放执行《钢铁烧结、球团工业大气污染物排放标准》（GB28662-2012）表2排放限值要求；原料场、炼铁及矿渣微粉生产线废气污染物排放执行《炼铁工业大气污染物排放标准》（GB28663-2012）表2排放限值要求；</w:t>
      </w:r>
      <w:r>
        <w:rPr>
          <w:rFonts w:ascii="Times New Roman" w:hAnsi="Times New Roman" w:eastAsia="宋体" w:cs="Times New Roman"/>
          <w:color w:val="FF0000"/>
          <w:sz w:val="24"/>
          <w:lang w:val="zh-CN"/>
        </w:rPr>
        <w:t>石灰焙烧和</w:t>
      </w:r>
      <w:r>
        <w:rPr>
          <w:rFonts w:ascii="Times New Roman" w:hAnsi="Times New Roman" w:eastAsia="宋体" w:cs="Times New Roman"/>
          <w:color w:val="FF0000"/>
          <w:sz w:val="24"/>
        </w:rPr>
        <w:t>炼钢废气污染物排放执行《炼钢工业大气污染物排放标准》（GB28664-2012）表2排放限值要求；轧钢废气污染物排放执行《轧钢工业大气污染物排放标准》（GB28665-2012）表2排放限值要求；</w:t>
      </w:r>
      <w:r>
        <w:rPr>
          <w:rFonts w:ascii="Times New Roman" w:hAnsi="Times New Roman" w:eastAsia="宋体" w:cs="Times New Roman"/>
          <w:color w:val="FF0000"/>
          <w:sz w:val="24"/>
          <w:lang w:val="zh-CN"/>
        </w:rPr>
        <w:t>发电站锅炉烟气排放执行《火电厂大气污染物排放标准》（GB13223-2011）表</w:t>
      </w:r>
      <w:r>
        <w:rPr>
          <w:rFonts w:hint="eastAsia" w:ascii="Times New Roman" w:hAnsi="Times New Roman" w:eastAsia="宋体" w:cs="Times New Roman"/>
          <w:color w:val="FF0000"/>
          <w:sz w:val="24"/>
          <w:lang w:val="en-US" w:eastAsia="zh-CN"/>
        </w:rPr>
        <w:t>1</w:t>
      </w:r>
      <w:r>
        <w:rPr>
          <w:rFonts w:ascii="Times New Roman" w:hAnsi="Times New Roman" w:eastAsia="宋体" w:cs="Times New Roman"/>
          <w:color w:val="FF0000"/>
          <w:sz w:val="24"/>
        </w:rPr>
        <w:t>排放限值要求</w:t>
      </w:r>
      <w:r>
        <w:rPr>
          <w:rFonts w:ascii="Times New Roman" w:hAnsi="Times New Roman" w:eastAsia="宋体" w:cs="Times New Roman"/>
          <w:color w:val="FF0000"/>
          <w:sz w:val="24"/>
          <w:lang w:val="zh-CN"/>
        </w:rPr>
        <w:t>及《锅炉大气污染物排放标准》（GB13271-2014）表</w:t>
      </w:r>
      <w:r>
        <w:rPr>
          <w:rFonts w:ascii="Times New Roman" w:hAnsi="Times New Roman" w:eastAsia="宋体" w:cs="Times New Roman"/>
          <w:color w:val="FF0000"/>
          <w:sz w:val="24"/>
        </w:rPr>
        <w:t>3特别排放限值要求</w:t>
      </w:r>
      <w:r>
        <w:rPr>
          <w:rFonts w:ascii="Times New Roman" w:hAnsi="Times New Roman" w:eastAsia="宋体" w:cs="Times New Roman"/>
          <w:color w:val="FF0000"/>
          <w:sz w:val="24"/>
          <w:lang w:val="zh-CN"/>
        </w:rPr>
        <w:t>；铸管车间废气排放执行《大气污染物综合排放标准》（GB16297-1996）</w:t>
      </w:r>
      <w:r>
        <w:rPr>
          <w:rFonts w:ascii="Times New Roman" w:hAnsi="Times New Roman" w:eastAsia="宋体" w:cs="Times New Roman"/>
          <w:color w:val="FF0000"/>
          <w:sz w:val="24"/>
          <w:szCs w:val="28"/>
        </w:rPr>
        <w:t>表2中二级标准</w:t>
      </w:r>
      <w:r>
        <w:rPr>
          <w:rFonts w:ascii="Times New Roman" w:hAnsi="Times New Roman" w:eastAsia="宋体" w:cs="Times New Roman"/>
          <w:color w:val="FF0000"/>
          <w:sz w:val="24"/>
        </w:rPr>
        <w:t>。厂界颗粒物、SO</w:t>
      </w:r>
      <w:r>
        <w:rPr>
          <w:rFonts w:ascii="Times New Roman" w:hAnsi="Times New Roman" w:eastAsia="宋体" w:cs="Times New Roman"/>
          <w:color w:val="FF0000"/>
          <w:sz w:val="24"/>
          <w:vertAlign w:val="subscript"/>
        </w:rPr>
        <w:t>2</w:t>
      </w:r>
      <w:r>
        <w:rPr>
          <w:rFonts w:ascii="Times New Roman" w:hAnsi="Times New Roman" w:eastAsia="宋体" w:cs="Times New Roman"/>
          <w:color w:val="FF0000"/>
          <w:sz w:val="24"/>
        </w:rPr>
        <w:t>、NO</w:t>
      </w:r>
      <w:r>
        <w:rPr>
          <w:rFonts w:ascii="Times New Roman" w:hAnsi="Times New Roman" w:eastAsia="宋体" w:cs="Times New Roman"/>
          <w:color w:val="FF0000"/>
          <w:sz w:val="24"/>
          <w:vertAlign w:val="subscript"/>
        </w:rPr>
        <w:t>x</w:t>
      </w:r>
      <w:r>
        <w:rPr>
          <w:rFonts w:ascii="Times New Roman" w:hAnsi="Times New Roman" w:eastAsia="宋体" w:cs="Times New Roman"/>
          <w:color w:val="FF0000"/>
          <w:sz w:val="24"/>
        </w:rPr>
        <w:t>浓度执行《大气污染物综合排放标准》（GB16297-1996）限值要求，H</w:t>
      </w:r>
      <w:r>
        <w:rPr>
          <w:rFonts w:ascii="Times New Roman" w:hAnsi="Times New Roman" w:eastAsia="宋体" w:cs="Times New Roman"/>
          <w:color w:val="FF0000"/>
          <w:sz w:val="24"/>
          <w:vertAlign w:val="subscript"/>
        </w:rPr>
        <w:t>2</w:t>
      </w:r>
      <w:r>
        <w:rPr>
          <w:rFonts w:ascii="Times New Roman" w:hAnsi="Times New Roman" w:eastAsia="宋体" w:cs="Times New Roman"/>
          <w:color w:val="FF0000"/>
          <w:sz w:val="24"/>
        </w:rPr>
        <w:t>S、NH</w:t>
      </w:r>
      <w:r>
        <w:rPr>
          <w:rFonts w:ascii="Times New Roman" w:hAnsi="Times New Roman" w:eastAsia="宋体" w:cs="Times New Roman"/>
          <w:color w:val="FF0000"/>
          <w:sz w:val="24"/>
          <w:vertAlign w:val="subscript"/>
        </w:rPr>
        <w:t>3</w:t>
      </w:r>
      <w:r>
        <w:rPr>
          <w:rFonts w:ascii="Times New Roman" w:hAnsi="Times New Roman" w:eastAsia="宋体" w:cs="Times New Roman"/>
          <w:color w:val="FF0000"/>
          <w:sz w:val="24"/>
        </w:rPr>
        <w:t>、酚类、氰化氢、苯、BaP浓度执行《炼焦化学工业污染物排放标准》（GB16171-2012）的要求。现有厂区</w:t>
      </w:r>
      <w:r>
        <w:rPr>
          <w:rFonts w:ascii="Times New Roman" w:hAnsi="Times New Roman" w:eastAsia="宋体" w:cs="Times New Roman"/>
          <w:color w:val="FF0000"/>
          <w:sz w:val="24"/>
          <w:szCs w:val="24"/>
        </w:rPr>
        <w:t>大气污染物</w:t>
      </w:r>
      <w:r>
        <w:rPr>
          <w:rFonts w:ascii="Times New Roman" w:hAnsi="Times New Roman" w:eastAsia="宋体" w:cs="Times New Roman"/>
          <w:color w:val="FF0000"/>
          <w:sz w:val="24"/>
        </w:rPr>
        <w:t>排放具体执行的浓度限值见表1.3-</w:t>
      </w:r>
      <w:r>
        <w:rPr>
          <w:rFonts w:hint="eastAsia" w:ascii="Times New Roman" w:hAnsi="Times New Roman" w:eastAsia="宋体" w:cs="Times New Roman"/>
          <w:color w:val="FF0000"/>
          <w:sz w:val="24"/>
          <w:lang w:val="en-US" w:eastAsia="zh-CN"/>
        </w:rPr>
        <w:t>2</w:t>
      </w:r>
      <w:r>
        <w:rPr>
          <w:rFonts w:ascii="Times New Roman" w:hAnsi="Times New Roman" w:eastAsia="宋体" w:cs="Times New Roman"/>
          <w:color w:val="FF0000"/>
          <w:sz w:val="24"/>
        </w:rPr>
        <w:t>至表1.3-</w:t>
      </w:r>
      <w:r>
        <w:rPr>
          <w:rFonts w:hint="eastAsia" w:ascii="Times New Roman" w:hAnsi="Times New Roman" w:eastAsia="宋体" w:cs="Times New Roman"/>
          <w:color w:val="FF0000"/>
          <w:sz w:val="24"/>
          <w:lang w:val="en-US" w:eastAsia="zh-CN"/>
        </w:rPr>
        <w:t>9</w:t>
      </w:r>
      <w:r>
        <w:rPr>
          <w:rFonts w:ascii="Times New Roman" w:hAnsi="Times New Roman" w:eastAsia="宋体" w:cs="Times New Roman"/>
          <w:color w:val="FF0000"/>
          <w:sz w:val="24"/>
        </w:rPr>
        <w:t>所示。</w:t>
      </w:r>
    </w:p>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2</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现状评价阶段焦化废气污染物排放执行标准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5"/>
        <w:gridCol w:w="1418"/>
        <w:gridCol w:w="688"/>
        <w:gridCol w:w="825"/>
        <w:gridCol w:w="896"/>
        <w:gridCol w:w="567"/>
        <w:gridCol w:w="426"/>
        <w:gridCol w:w="567"/>
        <w:gridCol w:w="708"/>
        <w:gridCol w:w="567"/>
        <w:gridCol w:w="567"/>
        <w:gridCol w:w="567"/>
        <w:gridCol w:w="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序号</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污染物排放环节</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颗粒物</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二氧化硫</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苯并[a]芘</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氰化氢</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苯</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酚类</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非甲烷总烃</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氮氧化物</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氨</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硫化氢</w:t>
            </w:r>
          </w:p>
        </w:tc>
        <w:tc>
          <w:tcPr>
            <w:tcW w:w="751"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精煤破碎、焦炭破碎、筛分及转运</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装煤</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w:t>
            </w:r>
          </w:p>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μg/m</w:t>
            </w:r>
            <w:r>
              <w:rPr>
                <w:rFonts w:ascii="Times New Roman" w:hAnsi="Times New Roman" w:eastAsia="宋体" w:cs="Times New Roman"/>
                <w:color w:val="FF0000"/>
                <w:szCs w:val="21"/>
                <w:vertAlign w:val="superscript"/>
              </w:rPr>
              <w:t>3</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推焦</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焦炉烟囱</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干法熄焦</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粗苯管式炉、半焦烘干和氨分解炉等燃用焦炉煤气的设施</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库区焦油各类贮槽</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w:t>
            </w:r>
          </w:p>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μg/m</w:t>
            </w:r>
            <w:r>
              <w:rPr>
                <w:rFonts w:ascii="Times New Roman" w:hAnsi="Times New Roman" w:eastAsia="宋体" w:cs="Times New Roman"/>
                <w:color w:val="FF0000"/>
                <w:szCs w:val="21"/>
                <w:vertAlign w:val="superscript"/>
              </w:rPr>
              <w:t>3</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3.0</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苯贮槽</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脱硫再生塔</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3.0</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硫铵结晶干燥</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3</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现状评价阶段烧结废气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，二噁英除外）</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6"/>
        <w:gridCol w:w="3495"/>
        <w:gridCol w:w="1065"/>
        <w:gridCol w:w="24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rPr>
            </w:pPr>
            <w:r>
              <w:rPr>
                <w:rFonts w:ascii="Times New Roman" w:hAnsi="Times New Roman" w:eastAsia="宋体" w:cs="Times New Roman"/>
                <w:b/>
                <w:color w:val="FF0000"/>
              </w:rPr>
              <w:t>生产工序或设施</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污染物项目</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rPr>
            </w:pPr>
            <w:r>
              <w:rPr>
                <w:rFonts w:ascii="Times New Roman" w:hAnsi="Times New Roman" w:eastAsia="宋体" w:cs="Times New Roman"/>
                <w:b/>
                <w:color w:val="FF0000"/>
              </w:rPr>
              <w:t>限值</w:t>
            </w:r>
          </w:p>
        </w:tc>
        <w:tc>
          <w:tcPr>
            <w:tcW w:w="24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烧结机</w:t>
            </w:r>
          </w:p>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球团焙烧设备</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颗粒物</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50</w:t>
            </w:r>
          </w:p>
        </w:tc>
        <w:tc>
          <w:tcPr>
            <w:tcW w:w="2496"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二氧化硫</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200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氮氧化物（以NO</w:t>
            </w:r>
            <w:r>
              <w:rPr>
                <w:rFonts w:ascii="Times New Roman" w:hAnsi="Times New Roman" w:eastAsia="宋体" w:cs="Times New Roman"/>
                <w:color w:val="FF0000"/>
                <w:vertAlign w:val="subscript"/>
              </w:rPr>
              <w:t>2</w:t>
            </w:r>
            <w:r>
              <w:rPr>
                <w:rFonts w:ascii="Times New Roman" w:hAnsi="Times New Roman" w:eastAsia="宋体" w:cs="Times New Roman"/>
                <w:color w:val="FF0000"/>
              </w:rPr>
              <w:t>计）</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300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氟化物（以F计）</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4.0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二噁英类（ng-TEQ/m</w:t>
            </w:r>
            <w:r>
              <w:rPr>
                <w:rFonts w:ascii="Times New Roman" w:hAnsi="Times New Roman" w:eastAsia="宋体" w:cs="Times New Roman"/>
                <w:color w:val="FF0000"/>
                <w:vertAlign w:val="superscript"/>
              </w:rPr>
              <w:t>3</w:t>
            </w:r>
            <w:r>
              <w:rPr>
                <w:rFonts w:ascii="Times New Roman" w:hAnsi="Times New Roman" w:eastAsia="宋体" w:cs="Times New Roman"/>
                <w:color w:val="FF0000"/>
              </w:rPr>
              <w:t>）</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0.5</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烧结机机尾</w:t>
            </w:r>
          </w:p>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带式焙烧机机尾</w:t>
            </w:r>
          </w:p>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其他生产设备</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颗粒物</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30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4</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现状评价阶段原料场、炼铁及矿渣微粉生产线废气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6"/>
        <w:gridCol w:w="3495"/>
        <w:gridCol w:w="1050"/>
        <w:gridCol w:w="25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生产工序或设施</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污染物项目</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限值</w:t>
            </w:r>
          </w:p>
        </w:tc>
        <w:tc>
          <w:tcPr>
            <w:tcW w:w="2511"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b/>
                <w:color w:val="FF0000"/>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热风炉</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2511"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100</w:t>
            </w:r>
          </w:p>
        </w:tc>
        <w:tc>
          <w:tcPr>
            <w:tcW w:w="251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r>
              <w:rPr>
                <w:rFonts w:ascii="Times New Roman" w:hAnsi="Times New Roman" w:eastAsia="宋体" w:cs="Times New Roman"/>
                <w:color w:val="FF0000"/>
              </w:rPr>
              <w:t>（以NO</w:t>
            </w:r>
            <w:r>
              <w:rPr>
                <w:rFonts w:ascii="Times New Roman" w:hAnsi="Times New Roman" w:eastAsia="宋体" w:cs="Times New Roman"/>
                <w:color w:val="FF0000"/>
                <w:vertAlign w:val="subscript"/>
              </w:rPr>
              <w:t>2</w:t>
            </w:r>
            <w:r>
              <w:rPr>
                <w:rFonts w:ascii="Times New Roman" w:hAnsi="Times New Roman" w:eastAsia="宋体" w:cs="Times New Roman"/>
                <w:color w:val="FF0000"/>
              </w:rPr>
              <w:t>计）</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300</w:t>
            </w:r>
          </w:p>
        </w:tc>
        <w:tc>
          <w:tcPr>
            <w:tcW w:w="251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201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原料系统、煤粉系统、高炉出铁场、其他生产设施</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251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 xml:space="preserve">5 </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现状评价阶段石灰焙烧、</w:t>
      </w:r>
      <w:r>
        <w:rPr>
          <w:rFonts w:ascii="Times New Roman" w:hAnsi="Times New Roman" w:eastAsia="黑体" w:cs="Times New Roman"/>
          <w:color w:val="FF0000"/>
          <w:sz w:val="24"/>
        </w:rPr>
        <w:t>炼钢</w:t>
      </w:r>
      <w:r>
        <w:rPr>
          <w:rFonts w:hint="eastAsia" w:ascii="Times New Roman" w:hAnsi="Times New Roman" w:eastAsia="黑体" w:cs="Times New Roman"/>
          <w:color w:val="FF0000"/>
          <w:sz w:val="24"/>
          <w:lang w:eastAsia="zh-CN"/>
        </w:rPr>
        <w:t>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1"/>
        <w:gridCol w:w="3495"/>
        <w:gridCol w:w="1050"/>
        <w:gridCol w:w="24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污染物项目</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生产工序或设施</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限值</w:t>
            </w:r>
          </w:p>
        </w:tc>
        <w:tc>
          <w:tcPr>
            <w:tcW w:w="24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转炉（一次烟气）</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2496"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铁水预处理（包括倒罐、扒渣等）、转炉（二次烟气）、精炼炉</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连铸切割及火焰清理、石灰窑、白云石窑焙烧</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钢渣处理</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其他生产设施</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6</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现状评价阶段</w:t>
      </w:r>
      <w:r>
        <w:rPr>
          <w:rFonts w:ascii="Times New Roman" w:hAnsi="Times New Roman" w:eastAsia="黑体" w:cs="Times New Roman"/>
          <w:color w:val="FF0000"/>
          <w:sz w:val="24"/>
        </w:rPr>
        <w:t>轧钢</w:t>
      </w:r>
      <w:r>
        <w:rPr>
          <w:rFonts w:hint="eastAsia" w:ascii="Times New Roman" w:hAnsi="Times New Roman" w:eastAsia="黑体" w:cs="Times New Roman"/>
          <w:color w:val="FF0000"/>
          <w:sz w:val="24"/>
          <w:lang w:eastAsia="zh-CN"/>
        </w:rPr>
        <w:t>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46"/>
        <w:gridCol w:w="3495"/>
        <w:gridCol w:w="1035"/>
        <w:gridCol w:w="24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204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污染物项目</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生产工艺或设施</w:t>
            </w:r>
          </w:p>
        </w:tc>
        <w:tc>
          <w:tcPr>
            <w:tcW w:w="103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限值</w:t>
            </w:r>
          </w:p>
        </w:tc>
        <w:tc>
          <w:tcPr>
            <w:tcW w:w="2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204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热处理炉、拉矫、精整、抛丸、修磨、焊接机及其他生产设施</w:t>
            </w:r>
          </w:p>
        </w:tc>
        <w:tc>
          <w:tcPr>
            <w:tcW w:w="103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30</w:t>
            </w:r>
          </w:p>
        </w:tc>
        <w:tc>
          <w:tcPr>
            <w:tcW w:w="2495"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204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热处理炉</w:t>
            </w:r>
          </w:p>
        </w:tc>
        <w:tc>
          <w:tcPr>
            <w:tcW w:w="103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150</w:t>
            </w:r>
          </w:p>
        </w:tc>
        <w:tc>
          <w:tcPr>
            <w:tcW w:w="2495"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204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rPr>
              <w:t>（以NO</w:t>
            </w:r>
            <w:r>
              <w:rPr>
                <w:rFonts w:ascii="Times New Roman" w:hAnsi="Times New Roman" w:eastAsia="宋体" w:cs="Times New Roman"/>
                <w:color w:val="FF0000"/>
                <w:vertAlign w:val="subscript"/>
              </w:rPr>
              <w:t>2</w:t>
            </w:r>
            <w:r>
              <w:rPr>
                <w:rFonts w:ascii="Times New Roman" w:hAnsi="Times New Roman" w:eastAsia="宋体" w:cs="Times New Roman"/>
                <w:color w:val="FF0000"/>
              </w:rPr>
              <w:t>计）</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热处理炉</w:t>
            </w:r>
          </w:p>
        </w:tc>
        <w:tc>
          <w:tcPr>
            <w:tcW w:w="103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300</w:t>
            </w:r>
          </w:p>
        </w:tc>
        <w:tc>
          <w:tcPr>
            <w:tcW w:w="2495"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现状评价阶段发电站锅炉大气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996"/>
        <w:gridCol w:w="2304"/>
        <w:gridCol w:w="3137"/>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污染物项目</w:t>
            </w:r>
          </w:p>
        </w:tc>
        <w:tc>
          <w:tcPr>
            <w:tcW w:w="99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限值</w:t>
            </w:r>
          </w:p>
        </w:tc>
        <w:tc>
          <w:tcPr>
            <w:tcW w:w="23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污染物排放监控位置</w:t>
            </w:r>
          </w:p>
        </w:tc>
        <w:tc>
          <w:tcPr>
            <w:tcW w:w="31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标准来源</w:t>
            </w:r>
          </w:p>
        </w:tc>
        <w:tc>
          <w:tcPr>
            <w:tcW w:w="113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锅炉限值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颗粒物</w:t>
            </w:r>
          </w:p>
        </w:tc>
        <w:tc>
          <w:tcPr>
            <w:tcW w:w="99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10</w:t>
            </w:r>
          </w:p>
        </w:tc>
        <w:tc>
          <w:tcPr>
            <w:tcW w:w="23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《火电厂大气污染物排放标准》（GB13223-2011）</w:t>
            </w:r>
          </w:p>
        </w:tc>
        <w:tc>
          <w:tcPr>
            <w:tcW w:w="1139"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99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20</w:t>
            </w:r>
          </w:p>
        </w:tc>
        <w:tc>
          <w:tcPr>
            <w:tcW w:w="23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锅炉大气污染物排放标准》（GB13271-2014）</w:t>
            </w:r>
          </w:p>
        </w:tc>
        <w:tc>
          <w:tcPr>
            <w:tcW w:w="1139"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二氧化硫</w:t>
            </w:r>
          </w:p>
        </w:tc>
        <w:tc>
          <w:tcPr>
            <w:tcW w:w="99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35</w:t>
            </w:r>
          </w:p>
        </w:tc>
        <w:tc>
          <w:tcPr>
            <w:tcW w:w="23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《火电厂大气污染物排放标准》（GB13223-2011）</w:t>
            </w:r>
          </w:p>
        </w:tc>
        <w:tc>
          <w:tcPr>
            <w:tcW w:w="1139"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99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50</w:t>
            </w:r>
          </w:p>
        </w:tc>
        <w:tc>
          <w:tcPr>
            <w:tcW w:w="23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锅炉大气污染物排放标准》（GB13271-2014）</w:t>
            </w:r>
          </w:p>
        </w:tc>
        <w:tc>
          <w:tcPr>
            <w:tcW w:w="1139"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（以NO</w:t>
            </w:r>
            <w:r>
              <w:rPr>
                <w:rFonts w:ascii="Times New Roman" w:hAnsi="Times New Roman" w:eastAsia="宋体" w:cs="Times New Roman"/>
                <w:color w:val="FF0000"/>
                <w:vertAlign w:val="subscript"/>
              </w:rPr>
              <w:t>2</w:t>
            </w:r>
            <w:r>
              <w:rPr>
                <w:rFonts w:ascii="Times New Roman" w:hAnsi="Times New Roman" w:eastAsia="宋体" w:cs="Times New Roman"/>
                <w:color w:val="FF0000"/>
              </w:rPr>
              <w:t>计）</w:t>
            </w:r>
          </w:p>
        </w:tc>
        <w:tc>
          <w:tcPr>
            <w:tcW w:w="99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200</w:t>
            </w:r>
          </w:p>
        </w:tc>
        <w:tc>
          <w:tcPr>
            <w:tcW w:w="23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《火电厂大气污染物排放标准》（GB13223-2011）</w:t>
            </w:r>
          </w:p>
        </w:tc>
        <w:tc>
          <w:tcPr>
            <w:tcW w:w="1139"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p>
        </w:tc>
        <w:tc>
          <w:tcPr>
            <w:tcW w:w="99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200</w:t>
            </w:r>
          </w:p>
        </w:tc>
        <w:tc>
          <w:tcPr>
            <w:tcW w:w="23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锅炉大气污染物排放标准》（GB13271-2014）</w:t>
            </w:r>
          </w:p>
        </w:tc>
        <w:tc>
          <w:tcPr>
            <w:tcW w:w="1139"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8</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现状评价阶段铸管废气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w:t>
      </w:r>
      <w:r>
        <w:rPr>
          <w:rFonts w:ascii="Times New Roman" w:hAnsi="Times New Roman" w:eastAsia="黑体" w:cs="Times New Roman"/>
          <w:color w:val="FF0000"/>
          <w:sz w:val="24"/>
        </w:rPr>
        <w:t>标准（单位：mg/m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6"/>
        <w:gridCol w:w="1665"/>
        <w:gridCol w:w="1890"/>
        <w:gridCol w:w="1950"/>
        <w:gridCol w:w="18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1686" w:type="dxa"/>
            <w:vMerge w:val="restart"/>
            <w:vAlign w:val="center"/>
          </w:tcPr>
          <w:p>
            <w:pPr>
              <w:pStyle w:val="41"/>
              <w:keepNext w:val="0"/>
              <w:keepLines w:val="0"/>
              <w:pageBreakBefore w:val="0"/>
              <w:kinsoku/>
              <w:wordWrap/>
              <w:bidi w:val="0"/>
              <w:snapToGrid/>
              <w:spacing w:line="240" w:lineRule="auto"/>
              <w:rPr>
                <w:b/>
                <w:color w:val="FF0000"/>
              </w:rPr>
            </w:pPr>
            <w:r>
              <w:rPr>
                <w:b/>
                <w:color w:val="FF0000"/>
              </w:rPr>
              <w:t>废气种类</w:t>
            </w:r>
          </w:p>
        </w:tc>
        <w:tc>
          <w:tcPr>
            <w:tcW w:w="1665" w:type="dxa"/>
            <w:vMerge w:val="restart"/>
            <w:vAlign w:val="center"/>
          </w:tcPr>
          <w:p>
            <w:pPr>
              <w:pStyle w:val="41"/>
              <w:keepNext w:val="0"/>
              <w:keepLines w:val="0"/>
              <w:pageBreakBefore w:val="0"/>
              <w:kinsoku/>
              <w:wordWrap/>
              <w:bidi w:val="0"/>
              <w:snapToGrid/>
              <w:spacing w:line="240" w:lineRule="auto"/>
              <w:rPr>
                <w:b/>
                <w:color w:val="FF0000"/>
              </w:rPr>
            </w:pPr>
            <w:r>
              <w:rPr>
                <w:b/>
                <w:color w:val="FF0000"/>
              </w:rPr>
              <w:t>污染物</w:t>
            </w:r>
          </w:p>
        </w:tc>
        <w:tc>
          <w:tcPr>
            <w:tcW w:w="1890" w:type="dxa"/>
            <w:vMerge w:val="restart"/>
            <w:vAlign w:val="center"/>
          </w:tcPr>
          <w:p>
            <w:pPr>
              <w:pStyle w:val="41"/>
              <w:keepNext w:val="0"/>
              <w:keepLines w:val="0"/>
              <w:pageBreakBefore w:val="0"/>
              <w:kinsoku/>
              <w:wordWrap/>
              <w:bidi w:val="0"/>
              <w:snapToGrid/>
              <w:spacing w:line="240" w:lineRule="auto"/>
              <w:rPr>
                <w:b/>
                <w:color w:val="FF0000"/>
              </w:rPr>
            </w:pPr>
            <w:r>
              <w:rPr>
                <w:b/>
                <w:color w:val="FF0000"/>
              </w:rPr>
              <w:t>浓度限值</w:t>
            </w:r>
          </w:p>
        </w:tc>
        <w:tc>
          <w:tcPr>
            <w:tcW w:w="3831" w:type="dxa"/>
            <w:gridSpan w:val="2"/>
            <w:vAlign w:val="center"/>
          </w:tcPr>
          <w:p>
            <w:pPr>
              <w:pStyle w:val="41"/>
              <w:keepNext w:val="0"/>
              <w:keepLines w:val="0"/>
              <w:pageBreakBefore w:val="0"/>
              <w:kinsoku/>
              <w:wordWrap/>
              <w:bidi w:val="0"/>
              <w:snapToGrid/>
              <w:spacing w:line="240" w:lineRule="auto"/>
              <w:rPr>
                <w:b/>
                <w:color w:val="FF0000"/>
              </w:rPr>
            </w:pPr>
            <w:r>
              <w:rPr>
                <w:b/>
                <w:color w:val="FF0000"/>
              </w:rPr>
              <w:t>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1686" w:type="dxa"/>
            <w:vMerge w:val="continue"/>
            <w:vAlign w:val="center"/>
          </w:tcPr>
          <w:p>
            <w:pPr>
              <w:pStyle w:val="41"/>
              <w:keepNext w:val="0"/>
              <w:keepLines w:val="0"/>
              <w:pageBreakBefore w:val="0"/>
              <w:kinsoku/>
              <w:wordWrap/>
              <w:bidi w:val="0"/>
              <w:snapToGrid/>
              <w:spacing w:line="240" w:lineRule="auto"/>
              <w:rPr>
                <w:b/>
                <w:color w:val="FF0000"/>
              </w:rPr>
            </w:pPr>
          </w:p>
        </w:tc>
        <w:tc>
          <w:tcPr>
            <w:tcW w:w="1665" w:type="dxa"/>
            <w:vMerge w:val="continue"/>
            <w:vAlign w:val="center"/>
          </w:tcPr>
          <w:p>
            <w:pPr>
              <w:pStyle w:val="41"/>
              <w:keepNext w:val="0"/>
              <w:keepLines w:val="0"/>
              <w:pageBreakBefore w:val="0"/>
              <w:kinsoku/>
              <w:wordWrap/>
              <w:bidi w:val="0"/>
              <w:snapToGrid/>
              <w:spacing w:line="240" w:lineRule="auto"/>
              <w:rPr>
                <w:b/>
                <w:color w:val="FF0000"/>
              </w:rPr>
            </w:pPr>
          </w:p>
        </w:tc>
        <w:tc>
          <w:tcPr>
            <w:tcW w:w="1890" w:type="dxa"/>
            <w:vMerge w:val="continue"/>
            <w:vAlign w:val="center"/>
          </w:tcPr>
          <w:p>
            <w:pPr>
              <w:pStyle w:val="41"/>
              <w:keepNext w:val="0"/>
              <w:keepLines w:val="0"/>
              <w:pageBreakBefore w:val="0"/>
              <w:kinsoku/>
              <w:wordWrap/>
              <w:bidi w:val="0"/>
              <w:snapToGrid/>
              <w:spacing w:line="240" w:lineRule="auto"/>
              <w:rPr>
                <w:b/>
                <w:color w:val="FF0000"/>
              </w:rPr>
            </w:pPr>
          </w:p>
        </w:tc>
        <w:tc>
          <w:tcPr>
            <w:tcW w:w="1950" w:type="dxa"/>
            <w:vAlign w:val="center"/>
          </w:tcPr>
          <w:p>
            <w:pPr>
              <w:pStyle w:val="41"/>
              <w:keepNext w:val="0"/>
              <w:keepLines w:val="0"/>
              <w:pageBreakBefore w:val="0"/>
              <w:kinsoku/>
              <w:wordWrap/>
              <w:bidi w:val="0"/>
              <w:snapToGrid/>
              <w:spacing w:line="240" w:lineRule="auto"/>
              <w:rPr>
                <w:b/>
                <w:color w:val="FF0000"/>
              </w:rPr>
            </w:pPr>
            <w:r>
              <w:rPr>
                <w:b/>
                <w:color w:val="FF0000"/>
              </w:rPr>
              <w:t>排气筒高度(m)</w:t>
            </w:r>
          </w:p>
        </w:tc>
        <w:tc>
          <w:tcPr>
            <w:tcW w:w="1881" w:type="dxa"/>
            <w:vAlign w:val="center"/>
          </w:tcPr>
          <w:p>
            <w:pPr>
              <w:pStyle w:val="41"/>
              <w:keepNext w:val="0"/>
              <w:keepLines w:val="0"/>
              <w:pageBreakBefore w:val="0"/>
              <w:kinsoku/>
              <w:wordWrap/>
              <w:bidi w:val="0"/>
              <w:snapToGrid/>
              <w:spacing w:line="240" w:lineRule="auto"/>
              <w:rPr>
                <w:b/>
                <w:color w:val="FF0000"/>
              </w:rPr>
            </w:pPr>
            <w:r>
              <w:rPr>
                <w:b/>
                <w:color w:val="FF0000"/>
              </w:rPr>
              <w:t>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restart"/>
            <w:vAlign w:val="center"/>
          </w:tcPr>
          <w:p>
            <w:pPr>
              <w:pStyle w:val="41"/>
              <w:keepNext w:val="0"/>
              <w:keepLines w:val="0"/>
              <w:pageBreakBefore w:val="0"/>
              <w:kinsoku/>
              <w:wordWrap/>
              <w:bidi w:val="0"/>
              <w:snapToGrid/>
              <w:spacing w:line="240" w:lineRule="auto"/>
              <w:rPr>
                <w:color w:val="FF0000"/>
              </w:rPr>
            </w:pPr>
            <w:r>
              <w:rPr>
                <w:color w:val="FF0000"/>
              </w:rPr>
              <w:t>铸管车间废气</w:t>
            </w:r>
          </w:p>
        </w:tc>
        <w:tc>
          <w:tcPr>
            <w:tcW w:w="1665" w:type="dxa"/>
            <w:vMerge w:val="restart"/>
            <w:vAlign w:val="center"/>
          </w:tcPr>
          <w:p>
            <w:pPr>
              <w:pStyle w:val="41"/>
              <w:keepNext w:val="0"/>
              <w:keepLines w:val="0"/>
              <w:pageBreakBefore w:val="0"/>
              <w:kinsoku/>
              <w:wordWrap/>
              <w:bidi w:val="0"/>
              <w:snapToGrid/>
              <w:spacing w:line="240" w:lineRule="auto"/>
              <w:rPr>
                <w:color w:val="FF0000"/>
              </w:rPr>
            </w:pPr>
            <w:r>
              <w:rPr>
                <w:color w:val="FF0000"/>
              </w:rPr>
              <w:t>颗粒物</w:t>
            </w:r>
          </w:p>
        </w:tc>
        <w:tc>
          <w:tcPr>
            <w:tcW w:w="1890" w:type="dxa"/>
            <w:vMerge w:val="restart"/>
            <w:vAlign w:val="center"/>
          </w:tcPr>
          <w:p>
            <w:pPr>
              <w:pStyle w:val="41"/>
              <w:keepNext w:val="0"/>
              <w:keepLines w:val="0"/>
              <w:pageBreakBefore w:val="0"/>
              <w:kinsoku/>
              <w:wordWrap/>
              <w:bidi w:val="0"/>
              <w:snapToGrid/>
              <w:spacing w:line="240" w:lineRule="auto"/>
              <w:rPr>
                <w:color w:val="FF0000"/>
              </w:rPr>
            </w:pPr>
            <w:r>
              <w:rPr>
                <w:color w:val="FF0000"/>
              </w:rPr>
              <w:t>120</w:t>
            </w:r>
          </w:p>
        </w:tc>
        <w:tc>
          <w:tcPr>
            <w:tcW w:w="1950" w:type="dxa"/>
            <w:vAlign w:val="center"/>
          </w:tcPr>
          <w:p>
            <w:pPr>
              <w:pStyle w:val="41"/>
              <w:keepNext w:val="0"/>
              <w:keepLines w:val="0"/>
              <w:pageBreakBefore w:val="0"/>
              <w:kinsoku/>
              <w:wordWrap/>
              <w:bidi w:val="0"/>
              <w:snapToGrid/>
              <w:spacing w:line="240" w:lineRule="auto"/>
              <w:rPr>
                <w:color w:val="FF0000"/>
              </w:rPr>
            </w:pPr>
            <w:r>
              <w:rPr>
                <w:color w:val="FF0000"/>
              </w:rPr>
              <w:t>15</w:t>
            </w: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Merge w:val="continue"/>
            <w:vAlign w:val="center"/>
          </w:tcPr>
          <w:p>
            <w:pPr>
              <w:pStyle w:val="41"/>
              <w:keepNext w:val="0"/>
              <w:keepLines w:val="0"/>
              <w:pageBreakBefore w:val="0"/>
              <w:kinsoku/>
              <w:wordWrap/>
              <w:bidi w:val="0"/>
              <w:snapToGrid/>
              <w:spacing w:line="240" w:lineRule="auto"/>
              <w:rPr>
                <w:color w:val="FF0000"/>
              </w:rPr>
            </w:pPr>
          </w:p>
        </w:tc>
        <w:tc>
          <w:tcPr>
            <w:tcW w:w="1890" w:type="dxa"/>
            <w:vMerge w:val="continue"/>
            <w:vAlign w:val="center"/>
          </w:tcPr>
          <w:p>
            <w:pPr>
              <w:pStyle w:val="41"/>
              <w:keepNext w:val="0"/>
              <w:keepLines w:val="0"/>
              <w:pageBreakBefore w:val="0"/>
              <w:kinsoku/>
              <w:wordWrap/>
              <w:bidi w:val="0"/>
              <w:snapToGrid/>
              <w:spacing w:line="240" w:lineRule="auto"/>
              <w:rPr>
                <w:color w:val="FF0000"/>
              </w:rPr>
            </w:pPr>
          </w:p>
        </w:tc>
        <w:tc>
          <w:tcPr>
            <w:tcW w:w="1950" w:type="dxa"/>
            <w:vAlign w:val="center"/>
          </w:tcPr>
          <w:p>
            <w:pPr>
              <w:pStyle w:val="41"/>
              <w:keepNext w:val="0"/>
              <w:keepLines w:val="0"/>
              <w:pageBreakBefore w:val="0"/>
              <w:kinsoku/>
              <w:wordWrap/>
              <w:bidi w:val="0"/>
              <w:snapToGrid/>
              <w:spacing w:line="240" w:lineRule="auto"/>
              <w:rPr>
                <w:color w:val="FF0000"/>
              </w:rPr>
            </w:pPr>
            <w:r>
              <w:rPr>
                <w:color w:val="FF0000"/>
              </w:rPr>
              <w:t>20</w:t>
            </w: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Merge w:val="continue"/>
            <w:vAlign w:val="center"/>
          </w:tcPr>
          <w:p>
            <w:pPr>
              <w:pStyle w:val="41"/>
              <w:keepNext w:val="0"/>
              <w:keepLines w:val="0"/>
              <w:pageBreakBefore w:val="0"/>
              <w:kinsoku/>
              <w:wordWrap/>
              <w:bidi w:val="0"/>
              <w:snapToGrid/>
              <w:spacing w:line="240" w:lineRule="auto"/>
              <w:rPr>
                <w:color w:val="FF0000"/>
              </w:rPr>
            </w:pPr>
          </w:p>
        </w:tc>
        <w:tc>
          <w:tcPr>
            <w:tcW w:w="1890" w:type="dxa"/>
            <w:vMerge w:val="continue"/>
            <w:vAlign w:val="center"/>
          </w:tcPr>
          <w:p>
            <w:pPr>
              <w:pStyle w:val="41"/>
              <w:keepNext w:val="0"/>
              <w:keepLines w:val="0"/>
              <w:pageBreakBefore w:val="0"/>
              <w:kinsoku/>
              <w:wordWrap/>
              <w:bidi w:val="0"/>
              <w:snapToGrid/>
              <w:spacing w:line="240" w:lineRule="auto"/>
              <w:rPr>
                <w:color w:val="FF0000"/>
              </w:rPr>
            </w:pPr>
          </w:p>
        </w:tc>
        <w:tc>
          <w:tcPr>
            <w:tcW w:w="1950" w:type="dxa"/>
            <w:vAlign w:val="center"/>
          </w:tcPr>
          <w:p>
            <w:pPr>
              <w:pStyle w:val="41"/>
              <w:keepNext w:val="0"/>
              <w:keepLines w:val="0"/>
              <w:pageBreakBefore w:val="0"/>
              <w:kinsoku/>
              <w:wordWrap/>
              <w:bidi w:val="0"/>
              <w:snapToGrid/>
              <w:spacing w:line="240" w:lineRule="auto"/>
              <w:rPr>
                <w:color w:val="FF0000"/>
              </w:rPr>
            </w:pPr>
            <w:r>
              <w:rPr>
                <w:color w:val="FF0000"/>
              </w:rPr>
              <w:t>30</w:t>
            </w: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SO</w:t>
            </w:r>
            <w:r>
              <w:rPr>
                <w:color w:val="FF0000"/>
                <w:vertAlign w:val="subscript"/>
              </w:rPr>
              <w:t>2</w:t>
            </w:r>
          </w:p>
        </w:tc>
        <w:tc>
          <w:tcPr>
            <w:tcW w:w="1890" w:type="dxa"/>
            <w:vAlign w:val="center"/>
          </w:tcPr>
          <w:p>
            <w:pPr>
              <w:pStyle w:val="41"/>
              <w:keepNext w:val="0"/>
              <w:keepLines w:val="0"/>
              <w:pageBreakBefore w:val="0"/>
              <w:kinsoku/>
              <w:wordWrap/>
              <w:bidi w:val="0"/>
              <w:snapToGrid/>
              <w:spacing w:line="240" w:lineRule="auto"/>
              <w:rPr>
                <w:rFonts w:hint="default" w:eastAsia="宋体"/>
                <w:color w:val="FF0000"/>
                <w:lang w:val="en-US" w:eastAsia="zh-CN"/>
              </w:rPr>
            </w:pPr>
            <w:r>
              <w:rPr>
                <w:rFonts w:hint="eastAsia"/>
                <w:color w:val="FF0000"/>
                <w:lang w:val="en-US" w:eastAsia="zh-CN"/>
              </w:rPr>
              <w:t>550</w:t>
            </w:r>
          </w:p>
        </w:tc>
        <w:tc>
          <w:tcPr>
            <w:tcW w:w="1950" w:type="dxa"/>
            <w:vMerge w:val="restart"/>
            <w:vAlign w:val="center"/>
          </w:tcPr>
          <w:p>
            <w:pPr>
              <w:pStyle w:val="41"/>
              <w:keepNext w:val="0"/>
              <w:keepLines w:val="0"/>
              <w:pageBreakBefore w:val="0"/>
              <w:kinsoku/>
              <w:wordWrap/>
              <w:bidi w:val="0"/>
              <w:snapToGrid/>
              <w:spacing w:line="240" w:lineRule="auto"/>
              <w:rPr>
                <w:color w:val="FF0000"/>
              </w:rPr>
            </w:pPr>
            <w:r>
              <w:rPr>
                <w:color w:val="FF0000"/>
              </w:rPr>
              <w:t>20</w:t>
            </w: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NO</w:t>
            </w:r>
            <w:r>
              <w:rPr>
                <w:color w:val="FF0000"/>
                <w:vertAlign w:val="subscript"/>
              </w:rPr>
              <w:t>x</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240</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沥青烟</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40</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苯</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12</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甲苯</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40</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二甲苯</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70</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1.7</w:t>
            </w: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9</w:t>
      </w:r>
      <w:r>
        <w:rPr>
          <w:rFonts w:ascii="Times New Roman" w:hAnsi="Times New Roman" w:eastAsia="黑体" w:cs="Times New Roman"/>
          <w:color w:val="FF0000"/>
          <w:sz w:val="24"/>
        </w:rPr>
        <w:t xml:space="preserve">  厂界无组织排放浓度限值（单位：mg/m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24"/>
        <w:gridCol w:w="3024"/>
        <w:gridCol w:w="30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b/>
                <w:color w:val="FF0000"/>
              </w:rPr>
            </w:pPr>
            <w:r>
              <w:rPr>
                <w:b/>
                <w:color w:val="FF0000"/>
              </w:rPr>
              <w:t>污染物</w:t>
            </w:r>
          </w:p>
        </w:tc>
        <w:tc>
          <w:tcPr>
            <w:tcW w:w="3024" w:type="dxa"/>
            <w:vAlign w:val="center"/>
          </w:tcPr>
          <w:p>
            <w:pPr>
              <w:pStyle w:val="41"/>
              <w:keepNext w:val="0"/>
              <w:keepLines w:val="0"/>
              <w:pageBreakBefore w:val="0"/>
              <w:kinsoku/>
              <w:wordWrap/>
              <w:bidi w:val="0"/>
              <w:snapToGrid/>
              <w:spacing w:line="240" w:lineRule="auto"/>
              <w:rPr>
                <w:b/>
                <w:color w:val="FF0000"/>
              </w:rPr>
            </w:pPr>
            <w:r>
              <w:rPr>
                <w:b/>
                <w:color w:val="FF0000"/>
              </w:rPr>
              <w:t>浓度限值</w:t>
            </w:r>
          </w:p>
        </w:tc>
        <w:tc>
          <w:tcPr>
            <w:tcW w:w="3024" w:type="dxa"/>
            <w:vAlign w:val="center"/>
          </w:tcPr>
          <w:p>
            <w:pPr>
              <w:pStyle w:val="41"/>
              <w:keepNext w:val="0"/>
              <w:keepLines w:val="0"/>
              <w:pageBreakBefore w:val="0"/>
              <w:kinsoku/>
              <w:wordWrap/>
              <w:bidi w:val="0"/>
              <w:snapToGrid/>
              <w:spacing w:line="240" w:lineRule="auto"/>
              <w:rPr>
                <w:b/>
                <w:color w:val="FF0000"/>
              </w:rPr>
            </w:pPr>
            <w:r>
              <w:rPr>
                <w:b/>
                <w:color w:val="FF0000"/>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颗粒物</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1.0</w:t>
            </w:r>
          </w:p>
        </w:tc>
        <w:tc>
          <w:tcPr>
            <w:tcW w:w="3024" w:type="dxa"/>
            <w:vMerge w:val="restart"/>
            <w:vAlign w:val="center"/>
          </w:tcPr>
          <w:p>
            <w:pPr>
              <w:pStyle w:val="41"/>
              <w:keepNext w:val="0"/>
              <w:keepLines w:val="0"/>
              <w:pageBreakBefore w:val="0"/>
              <w:kinsoku/>
              <w:wordWrap/>
              <w:bidi w:val="0"/>
              <w:snapToGrid/>
              <w:spacing w:line="240" w:lineRule="auto"/>
              <w:rPr>
                <w:color w:val="FF0000"/>
              </w:rPr>
            </w:pPr>
            <w:r>
              <w:rPr>
                <w:color w:val="FF0000"/>
              </w:rPr>
              <w:t>《大气污染物综合排放标准》</w:t>
            </w:r>
          </w:p>
          <w:p>
            <w:pPr>
              <w:pStyle w:val="41"/>
              <w:keepNext w:val="0"/>
              <w:keepLines w:val="0"/>
              <w:pageBreakBefore w:val="0"/>
              <w:kinsoku/>
              <w:wordWrap/>
              <w:bidi w:val="0"/>
              <w:snapToGrid/>
              <w:spacing w:line="240" w:lineRule="auto"/>
              <w:rPr>
                <w:color w:val="FF0000"/>
              </w:rPr>
            </w:pPr>
            <w:r>
              <w:rPr>
                <w:color w:val="FF0000"/>
              </w:rPr>
              <w:t>(GB16297-1996)二级标准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SO</w:t>
            </w:r>
            <w:r>
              <w:rPr>
                <w:color w:val="FF0000"/>
                <w:vertAlign w:val="subscript"/>
              </w:rPr>
              <w:t>2</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0.40</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NO</w:t>
            </w:r>
            <w:r>
              <w:rPr>
                <w:color w:val="FF0000"/>
                <w:vertAlign w:val="subscript"/>
              </w:rPr>
              <w:t>x</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0.12</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H</w:t>
            </w:r>
            <w:r>
              <w:rPr>
                <w:color w:val="FF0000"/>
                <w:vertAlign w:val="subscript"/>
              </w:rPr>
              <w:t>2</w:t>
            </w:r>
            <w:r>
              <w:rPr>
                <w:color w:val="FF0000"/>
              </w:rPr>
              <w:t>S</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0.01</w:t>
            </w:r>
          </w:p>
        </w:tc>
        <w:tc>
          <w:tcPr>
            <w:tcW w:w="3024" w:type="dxa"/>
            <w:vMerge w:val="restart"/>
            <w:vAlign w:val="center"/>
          </w:tcPr>
          <w:p>
            <w:pPr>
              <w:pStyle w:val="41"/>
              <w:keepNext w:val="0"/>
              <w:keepLines w:val="0"/>
              <w:pageBreakBefore w:val="0"/>
              <w:kinsoku/>
              <w:wordWrap/>
              <w:bidi w:val="0"/>
              <w:snapToGrid/>
              <w:spacing w:line="240" w:lineRule="auto"/>
              <w:rPr>
                <w:color w:val="FF0000"/>
              </w:rPr>
            </w:pPr>
            <w:r>
              <w:rPr>
                <w:color w:val="FF0000"/>
              </w:rPr>
              <w:t>《炼焦化学工业大气污染物排放标准》(GB16171-2012)表7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NH</w:t>
            </w:r>
            <w:r>
              <w:rPr>
                <w:color w:val="FF0000"/>
                <w:vertAlign w:val="subscript"/>
              </w:rPr>
              <w:t>3</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0.2</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氰化氢</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0.024</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rFonts w:hint="eastAsia" w:eastAsia="宋体"/>
                <w:color w:val="FF0000"/>
                <w:lang w:eastAsia="zh-CN"/>
              </w:rPr>
            </w:pPr>
            <w:r>
              <w:rPr>
                <w:rFonts w:hint="eastAsia"/>
                <w:color w:val="FF0000"/>
                <w:lang w:eastAsia="zh-CN"/>
              </w:rPr>
              <w:t>苯</w:t>
            </w:r>
          </w:p>
        </w:tc>
        <w:tc>
          <w:tcPr>
            <w:tcW w:w="3024" w:type="dxa"/>
            <w:vAlign w:val="center"/>
          </w:tcPr>
          <w:p>
            <w:pPr>
              <w:pStyle w:val="41"/>
              <w:keepNext w:val="0"/>
              <w:keepLines w:val="0"/>
              <w:pageBreakBefore w:val="0"/>
              <w:kinsoku/>
              <w:wordWrap/>
              <w:bidi w:val="0"/>
              <w:snapToGrid/>
              <w:spacing w:line="240" w:lineRule="auto"/>
              <w:rPr>
                <w:rFonts w:hint="default" w:eastAsia="宋体"/>
                <w:color w:val="FF0000"/>
                <w:lang w:val="en-US" w:eastAsia="zh-CN"/>
              </w:rPr>
            </w:pPr>
            <w:r>
              <w:rPr>
                <w:rFonts w:hint="eastAsia"/>
                <w:color w:val="FF0000"/>
                <w:lang w:val="en-US" w:eastAsia="zh-CN"/>
              </w:rPr>
              <w:t>0.4</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酚类</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0.02</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BaP</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0.01×10</w:t>
            </w:r>
            <w:r>
              <w:rPr>
                <w:color w:val="FF0000"/>
                <w:vertAlign w:val="superscript"/>
              </w:rPr>
              <w:t>-3</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bl>
    <w:p>
      <w:pPr>
        <w:keepNext w:val="0"/>
        <w:keepLines w:val="0"/>
        <w:pageBreakBefore w:val="0"/>
        <w:kinsoku/>
        <w:wordWrap/>
        <w:bidi w:val="0"/>
        <w:snapToGrid/>
        <w:spacing w:line="360" w:lineRule="auto"/>
        <w:ind w:firstLine="482"/>
        <w:rPr>
          <w:rFonts w:ascii="Times New Roman" w:hAnsi="Times New Roman" w:eastAsia="宋体" w:cs="Times New Roman"/>
          <w:color w:val="FF0000"/>
          <w:sz w:val="24"/>
        </w:rPr>
      </w:pPr>
      <w:r>
        <w:rPr>
          <w:rFonts w:ascii="Times New Roman" w:hAnsi="Times New Roman" w:eastAsia="宋体" w:cs="Times New Roman"/>
          <w:color w:val="FF0000"/>
          <w:sz w:val="24"/>
        </w:rPr>
        <w:t>（</w:t>
      </w:r>
      <w:r>
        <w:rPr>
          <w:rFonts w:hint="eastAsia" w:ascii="Times New Roman" w:hAnsi="Times New Roman" w:eastAsia="宋体" w:cs="Times New Roman"/>
          <w:color w:val="FF0000"/>
          <w:sz w:val="24"/>
          <w:lang w:val="en-US" w:eastAsia="zh-CN"/>
        </w:rPr>
        <w:t>2</w:t>
      </w:r>
      <w:r>
        <w:rPr>
          <w:rFonts w:ascii="Times New Roman" w:hAnsi="Times New Roman" w:eastAsia="宋体" w:cs="Times New Roman"/>
          <w:color w:val="FF0000"/>
          <w:sz w:val="24"/>
        </w:rPr>
        <w:t>）厂区</w:t>
      </w:r>
      <w:r>
        <w:rPr>
          <w:rFonts w:hint="eastAsia" w:ascii="Times New Roman" w:hAnsi="Times New Roman" w:eastAsia="宋体" w:cs="Times New Roman"/>
          <w:color w:val="FF0000"/>
          <w:sz w:val="24"/>
          <w:lang w:eastAsia="zh-CN"/>
        </w:rPr>
        <w:t>后评价</w:t>
      </w:r>
      <w:r>
        <w:rPr>
          <w:rFonts w:ascii="Times New Roman" w:hAnsi="Times New Roman" w:eastAsia="宋体" w:cs="Times New Roman"/>
          <w:color w:val="FF0000"/>
          <w:sz w:val="24"/>
        </w:rPr>
        <w:t>阶段大气污染物执行标准</w:t>
      </w:r>
    </w:p>
    <w:p>
      <w:pPr>
        <w:keepNext w:val="0"/>
        <w:keepLines w:val="0"/>
        <w:pageBreakBefore w:val="0"/>
        <w:kinsoku/>
        <w:wordWrap/>
        <w:bidi w:val="0"/>
        <w:snapToGrid/>
        <w:spacing w:line="360" w:lineRule="auto"/>
        <w:ind w:firstLine="482"/>
        <w:rPr>
          <w:rFonts w:hint="eastAsia" w:ascii="Times New Roman" w:hAnsi="Times New Roman" w:eastAsia="宋体" w:cs="Times New Roman"/>
          <w:color w:val="FF0000"/>
          <w:sz w:val="24"/>
          <w:lang w:eastAsia="zh-CN"/>
        </w:rPr>
      </w:pPr>
      <w:r>
        <w:rPr>
          <w:rFonts w:hint="eastAsia" w:ascii="Times New Roman" w:hAnsi="Times New Roman" w:eastAsia="宋体" w:cs="Times New Roman"/>
          <w:color w:val="FF0000"/>
          <w:sz w:val="24"/>
          <w:lang w:eastAsia="zh-CN"/>
        </w:rPr>
        <w:t>根据《</w:t>
      </w:r>
      <w:r>
        <w:rPr>
          <w:rFonts w:hint="eastAsia" w:ascii="Times New Roman" w:hAnsi="Times New Roman" w:eastAsia="宋体" w:cs="Times New Roman"/>
          <w:color w:val="FF0000"/>
          <w:sz w:val="24"/>
          <w:lang w:val="en-US" w:eastAsia="zh-CN"/>
        </w:rPr>
        <w:t>2019年</w:t>
      </w:r>
      <w:r>
        <w:rPr>
          <w:rFonts w:hint="eastAsia" w:ascii="Times New Roman" w:hAnsi="Times New Roman" w:eastAsia="宋体" w:cs="Times New Roman"/>
          <w:color w:val="FF0000"/>
          <w:sz w:val="24"/>
          <w:lang w:eastAsia="zh-CN"/>
        </w:rPr>
        <w:t>安徽省大气污染防治重点工作任务》的通知，“全省新（改、扩）建项目全面执行二氧化硫、氮氧化物、颗粒物、挥发性有机物（</w:t>
      </w:r>
      <w:r>
        <w:rPr>
          <w:rFonts w:hint="eastAsia" w:ascii="Times New Roman" w:hAnsi="Times New Roman" w:eastAsia="宋体" w:cs="Times New Roman"/>
          <w:color w:val="FF0000"/>
          <w:sz w:val="24"/>
          <w:lang w:val="en-US" w:eastAsia="zh-CN"/>
        </w:rPr>
        <w:t>VOCs</w:t>
      </w:r>
      <w:r>
        <w:rPr>
          <w:rFonts w:hint="eastAsia" w:ascii="Times New Roman" w:hAnsi="Times New Roman" w:eastAsia="宋体" w:cs="Times New Roman"/>
          <w:color w:val="FF0000"/>
          <w:sz w:val="24"/>
          <w:lang w:eastAsia="zh-CN"/>
        </w:rPr>
        <w:t>）大气污染物特别排放限值标准”，厂区后评价阶段均执行相应大气特别排放限值要求。</w:t>
      </w:r>
    </w:p>
    <w:p>
      <w:pPr>
        <w:keepNext w:val="0"/>
        <w:keepLines w:val="0"/>
        <w:pageBreakBefore w:val="0"/>
        <w:kinsoku/>
        <w:wordWrap/>
        <w:bidi w:val="0"/>
        <w:snapToGrid/>
        <w:spacing w:line="360" w:lineRule="auto"/>
        <w:ind w:firstLine="482"/>
        <w:rPr>
          <w:rFonts w:ascii="Times New Roman" w:hAnsi="Times New Roman" w:eastAsia="宋体" w:cs="Times New Roman"/>
          <w:color w:val="FF0000"/>
          <w:sz w:val="24"/>
        </w:rPr>
      </w:pPr>
      <w:r>
        <w:rPr>
          <w:rFonts w:ascii="Times New Roman" w:hAnsi="Times New Roman" w:eastAsia="宋体" w:cs="Times New Roman"/>
          <w:color w:val="FF0000"/>
          <w:sz w:val="24"/>
        </w:rPr>
        <w:t>焦化废气污染物排放执行《炼焦化学工业污染物排放标准》（GB16171-2012）表</w:t>
      </w:r>
      <w:r>
        <w:rPr>
          <w:rFonts w:hint="eastAsia" w:ascii="Times New Roman" w:hAnsi="Times New Roman" w:eastAsia="宋体" w:cs="Times New Roman"/>
          <w:color w:val="FF0000"/>
          <w:sz w:val="24"/>
          <w:lang w:val="en-US" w:eastAsia="zh-CN"/>
        </w:rPr>
        <w:t>6</w:t>
      </w:r>
      <w:r>
        <w:rPr>
          <w:rFonts w:ascii="Times New Roman" w:hAnsi="Times New Roman" w:eastAsia="宋体" w:cs="Times New Roman"/>
          <w:color w:val="FF0000"/>
          <w:sz w:val="24"/>
        </w:rPr>
        <w:t>排放限值要求；烧结废气污染物排放执行《钢铁烧结、球团工业大气污染物排放标准》（GB28662-2012）表</w:t>
      </w:r>
      <w:r>
        <w:rPr>
          <w:rFonts w:hint="eastAsia" w:ascii="Times New Roman" w:hAnsi="Times New Roman" w:eastAsia="宋体" w:cs="Times New Roman"/>
          <w:color w:val="FF0000"/>
          <w:sz w:val="24"/>
          <w:lang w:val="en-US" w:eastAsia="zh-CN"/>
        </w:rPr>
        <w:t>3</w:t>
      </w:r>
      <w:r>
        <w:rPr>
          <w:rFonts w:ascii="Times New Roman" w:hAnsi="Times New Roman" w:eastAsia="宋体" w:cs="Times New Roman"/>
          <w:color w:val="FF0000"/>
          <w:sz w:val="24"/>
        </w:rPr>
        <w:t>排放限值要求；原料场、炼铁及矿渣微粉生产线废气污染物排放执行《炼铁工业大气污染物排放标准》（GB28663-2012）表</w:t>
      </w:r>
      <w:r>
        <w:rPr>
          <w:rFonts w:hint="eastAsia" w:ascii="Times New Roman" w:hAnsi="Times New Roman" w:eastAsia="宋体" w:cs="Times New Roman"/>
          <w:color w:val="FF0000"/>
          <w:sz w:val="24"/>
          <w:lang w:val="en-US" w:eastAsia="zh-CN"/>
        </w:rPr>
        <w:t>3</w:t>
      </w:r>
      <w:r>
        <w:rPr>
          <w:rFonts w:ascii="Times New Roman" w:hAnsi="Times New Roman" w:eastAsia="宋体" w:cs="Times New Roman"/>
          <w:color w:val="FF0000"/>
          <w:sz w:val="24"/>
        </w:rPr>
        <w:t>排放限值要求；</w:t>
      </w:r>
      <w:r>
        <w:rPr>
          <w:rFonts w:ascii="Times New Roman" w:hAnsi="Times New Roman" w:eastAsia="宋体" w:cs="Times New Roman"/>
          <w:color w:val="FF0000"/>
          <w:sz w:val="24"/>
          <w:lang w:val="zh-CN"/>
        </w:rPr>
        <w:t>石灰焙烧和</w:t>
      </w:r>
      <w:r>
        <w:rPr>
          <w:rFonts w:ascii="Times New Roman" w:hAnsi="Times New Roman" w:eastAsia="宋体" w:cs="Times New Roman"/>
          <w:color w:val="FF0000"/>
          <w:sz w:val="24"/>
        </w:rPr>
        <w:t>炼钢废气污染物排放执行《炼钢工业大气污染物排放标准》（GB28664-2012）表</w:t>
      </w:r>
      <w:r>
        <w:rPr>
          <w:rFonts w:hint="eastAsia" w:ascii="Times New Roman" w:hAnsi="Times New Roman" w:eastAsia="宋体" w:cs="Times New Roman"/>
          <w:color w:val="FF0000"/>
          <w:sz w:val="24"/>
          <w:lang w:val="en-US" w:eastAsia="zh-CN"/>
        </w:rPr>
        <w:t>3</w:t>
      </w:r>
      <w:r>
        <w:rPr>
          <w:rFonts w:ascii="Times New Roman" w:hAnsi="Times New Roman" w:eastAsia="宋体" w:cs="Times New Roman"/>
          <w:color w:val="FF0000"/>
          <w:sz w:val="24"/>
        </w:rPr>
        <w:t>排放限值要求；轧钢废气污染物排放执行《轧钢工业大气污染物排放标准》（GB28665-2012）表</w:t>
      </w:r>
      <w:r>
        <w:rPr>
          <w:rFonts w:hint="eastAsia" w:ascii="Times New Roman" w:hAnsi="Times New Roman" w:eastAsia="宋体" w:cs="Times New Roman"/>
          <w:color w:val="FF0000"/>
          <w:sz w:val="24"/>
          <w:lang w:val="en-US" w:eastAsia="zh-CN"/>
        </w:rPr>
        <w:t>3</w:t>
      </w:r>
      <w:r>
        <w:rPr>
          <w:rFonts w:ascii="Times New Roman" w:hAnsi="Times New Roman" w:eastAsia="宋体" w:cs="Times New Roman"/>
          <w:color w:val="FF0000"/>
          <w:sz w:val="24"/>
        </w:rPr>
        <w:t>排放限值要求；</w:t>
      </w:r>
      <w:r>
        <w:rPr>
          <w:rFonts w:ascii="Times New Roman" w:hAnsi="Times New Roman" w:eastAsia="宋体" w:cs="Times New Roman"/>
          <w:color w:val="FF0000"/>
          <w:sz w:val="24"/>
          <w:lang w:val="zh-CN"/>
        </w:rPr>
        <w:t>发电站锅炉烟气排放执行《火电厂大气污染物排放标准》（GB13223-2011）表</w:t>
      </w:r>
      <w:r>
        <w:rPr>
          <w:rFonts w:ascii="Times New Roman" w:hAnsi="Times New Roman" w:eastAsia="宋体" w:cs="Times New Roman"/>
          <w:color w:val="FF0000"/>
          <w:sz w:val="24"/>
        </w:rPr>
        <w:t>2特别排放限值要求</w:t>
      </w:r>
      <w:r>
        <w:rPr>
          <w:rFonts w:ascii="Times New Roman" w:hAnsi="Times New Roman" w:eastAsia="宋体" w:cs="Times New Roman"/>
          <w:color w:val="FF0000"/>
          <w:sz w:val="24"/>
          <w:lang w:val="zh-CN"/>
        </w:rPr>
        <w:t>及《锅炉大气污染物排放标准》（GB13271-2014）表</w:t>
      </w:r>
      <w:r>
        <w:rPr>
          <w:rFonts w:ascii="Times New Roman" w:hAnsi="Times New Roman" w:eastAsia="宋体" w:cs="Times New Roman"/>
          <w:color w:val="FF0000"/>
          <w:sz w:val="24"/>
        </w:rPr>
        <w:t>3特别排放限值要求</w:t>
      </w:r>
      <w:r>
        <w:rPr>
          <w:rFonts w:ascii="Times New Roman" w:hAnsi="Times New Roman" w:eastAsia="宋体" w:cs="Times New Roman"/>
          <w:color w:val="FF0000"/>
          <w:sz w:val="24"/>
          <w:lang w:val="zh-CN"/>
        </w:rPr>
        <w:t>；铸管车间废气排放执行《大气污染物综合排放标准》（GB16297-1996）</w:t>
      </w:r>
      <w:r>
        <w:rPr>
          <w:rFonts w:ascii="Times New Roman" w:hAnsi="Times New Roman" w:eastAsia="宋体" w:cs="Times New Roman"/>
          <w:color w:val="FF0000"/>
          <w:sz w:val="24"/>
          <w:szCs w:val="28"/>
        </w:rPr>
        <w:t>表2中二级标准</w:t>
      </w:r>
      <w:r>
        <w:rPr>
          <w:rFonts w:ascii="Times New Roman" w:hAnsi="Times New Roman" w:eastAsia="宋体" w:cs="Times New Roman"/>
          <w:color w:val="FF0000"/>
          <w:sz w:val="24"/>
        </w:rPr>
        <w:t>。厂界颗粒物、SO</w:t>
      </w:r>
      <w:r>
        <w:rPr>
          <w:rFonts w:ascii="Times New Roman" w:hAnsi="Times New Roman" w:eastAsia="宋体" w:cs="Times New Roman"/>
          <w:color w:val="FF0000"/>
          <w:sz w:val="24"/>
          <w:vertAlign w:val="subscript"/>
        </w:rPr>
        <w:t>2</w:t>
      </w:r>
      <w:r>
        <w:rPr>
          <w:rFonts w:ascii="Times New Roman" w:hAnsi="Times New Roman" w:eastAsia="宋体" w:cs="Times New Roman"/>
          <w:color w:val="FF0000"/>
          <w:sz w:val="24"/>
        </w:rPr>
        <w:t>、NO</w:t>
      </w:r>
      <w:r>
        <w:rPr>
          <w:rFonts w:ascii="Times New Roman" w:hAnsi="Times New Roman" w:eastAsia="宋体" w:cs="Times New Roman"/>
          <w:color w:val="FF0000"/>
          <w:sz w:val="24"/>
          <w:vertAlign w:val="subscript"/>
        </w:rPr>
        <w:t>x</w:t>
      </w:r>
      <w:r>
        <w:rPr>
          <w:rFonts w:ascii="Times New Roman" w:hAnsi="Times New Roman" w:eastAsia="宋体" w:cs="Times New Roman"/>
          <w:color w:val="FF0000"/>
          <w:sz w:val="24"/>
        </w:rPr>
        <w:t>浓度执行《大气污染物综合排放标准》（GB16297-1996）限值要求，H</w:t>
      </w:r>
      <w:r>
        <w:rPr>
          <w:rFonts w:ascii="Times New Roman" w:hAnsi="Times New Roman" w:eastAsia="宋体" w:cs="Times New Roman"/>
          <w:color w:val="FF0000"/>
          <w:sz w:val="24"/>
          <w:vertAlign w:val="subscript"/>
        </w:rPr>
        <w:t>2</w:t>
      </w:r>
      <w:r>
        <w:rPr>
          <w:rFonts w:ascii="Times New Roman" w:hAnsi="Times New Roman" w:eastAsia="宋体" w:cs="Times New Roman"/>
          <w:color w:val="FF0000"/>
          <w:sz w:val="24"/>
        </w:rPr>
        <w:t>S、NH</w:t>
      </w:r>
      <w:r>
        <w:rPr>
          <w:rFonts w:ascii="Times New Roman" w:hAnsi="Times New Roman" w:eastAsia="宋体" w:cs="Times New Roman"/>
          <w:color w:val="FF0000"/>
          <w:sz w:val="24"/>
          <w:vertAlign w:val="subscript"/>
        </w:rPr>
        <w:t>3</w:t>
      </w:r>
      <w:r>
        <w:rPr>
          <w:rFonts w:ascii="Times New Roman" w:hAnsi="Times New Roman" w:eastAsia="宋体" w:cs="Times New Roman"/>
          <w:color w:val="FF0000"/>
          <w:sz w:val="24"/>
        </w:rPr>
        <w:t>、酚类、氰化氢、苯、BaP浓度执行《炼焦化学工业污染物排放标准》（GB16171-2012）的要求。现有厂区</w:t>
      </w:r>
      <w:r>
        <w:rPr>
          <w:rFonts w:ascii="Times New Roman" w:hAnsi="Times New Roman" w:eastAsia="宋体" w:cs="Times New Roman"/>
          <w:color w:val="FF0000"/>
          <w:sz w:val="24"/>
          <w:szCs w:val="24"/>
        </w:rPr>
        <w:t>大气污染物</w:t>
      </w:r>
      <w:r>
        <w:rPr>
          <w:rFonts w:ascii="Times New Roman" w:hAnsi="Times New Roman" w:eastAsia="宋体" w:cs="Times New Roman"/>
          <w:color w:val="FF0000"/>
          <w:sz w:val="24"/>
        </w:rPr>
        <w:t>排放具体执行的浓度限值见表1.3-</w:t>
      </w:r>
      <w:r>
        <w:rPr>
          <w:rFonts w:hint="eastAsia" w:ascii="Times New Roman" w:hAnsi="Times New Roman" w:eastAsia="宋体" w:cs="Times New Roman"/>
          <w:color w:val="FF0000"/>
          <w:sz w:val="24"/>
          <w:lang w:val="en-US" w:eastAsia="zh-CN"/>
        </w:rPr>
        <w:t>10</w:t>
      </w:r>
      <w:r>
        <w:rPr>
          <w:rFonts w:ascii="Times New Roman" w:hAnsi="Times New Roman" w:eastAsia="宋体" w:cs="Times New Roman"/>
          <w:color w:val="FF0000"/>
          <w:sz w:val="24"/>
        </w:rPr>
        <w:t>至表1.3-1</w:t>
      </w:r>
      <w:r>
        <w:rPr>
          <w:rFonts w:hint="eastAsia" w:ascii="Times New Roman" w:hAnsi="Times New Roman" w:eastAsia="宋体" w:cs="Times New Roman"/>
          <w:color w:val="FF0000"/>
          <w:sz w:val="24"/>
          <w:lang w:val="en-US" w:eastAsia="zh-CN"/>
        </w:rPr>
        <w:t>7</w:t>
      </w:r>
      <w:r>
        <w:rPr>
          <w:rFonts w:ascii="Times New Roman" w:hAnsi="Times New Roman" w:eastAsia="宋体" w:cs="Times New Roman"/>
          <w:color w:val="FF0000"/>
          <w:sz w:val="24"/>
        </w:rPr>
        <w:t>所示。</w:t>
      </w:r>
    </w:p>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10</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后评价阶段焦化废气污染物排放执行标准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5"/>
        <w:gridCol w:w="1418"/>
        <w:gridCol w:w="688"/>
        <w:gridCol w:w="825"/>
        <w:gridCol w:w="896"/>
        <w:gridCol w:w="567"/>
        <w:gridCol w:w="426"/>
        <w:gridCol w:w="567"/>
        <w:gridCol w:w="708"/>
        <w:gridCol w:w="567"/>
        <w:gridCol w:w="567"/>
        <w:gridCol w:w="567"/>
        <w:gridCol w:w="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序号</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污染物排放环节</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颗粒物</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二氧化硫</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苯并[a]芘</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氰化氢</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苯</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酚类</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非甲烷总烃</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氮氧化物</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氨</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硫化氢</w:t>
            </w:r>
          </w:p>
        </w:tc>
        <w:tc>
          <w:tcPr>
            <w:tcW w:w="751"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精煤破碎、焦炭破碎、筛分及转运</w:t>
            </w:r>
          </w:p>
        </w:tc>
        <w:tc>
          <w:tcPr>
            <w:tcW w:w="688"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装煤</w:t>
            </w:r>
          </w:p>
        </w:tc>
        <w:tc>
          <w:tcPr>
            <w:tcW w:w="688"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30</w:t>
            </w:r>
          </w:p>
        </w:tc>
        <w:tc>
          <w:tcPr>
            <w:tcW w:w="82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70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w:t>
            </w:r>
          </w:p>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μg/m</w:t>
            </w:r>
            <w:r>
              <w:rPr>
                <w:rFonts w:ascii="Times New Roman" w:hAnsi="Times New Roman" w:eastAsia="宋体" w:cs="Times New Roman"/>
                <w:color w:val="FF0000"/>
                <w:szCs w:val="21"/>
                <w:vertAlign w:val="superscript"/>
              </w:rPr>
              <w:t>3</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推焦</w:t>
            </w:r>
          </w:p>
        </w:tc>
        <w:tc>
          <w:tcPr>
            <w:tcW w:w="688"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30</w:t>
            </w:r>
          </w:p>
        </w:tc>
        <w:tc>
          <w:tcPr>
            <w:tcW w:w="82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30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焦炉烟囱</w:t>
            </w:r>
          </w:p>
        </w:tc>
        <w:tc>
          <w:tcPr>
            <w:tcW w:w="688"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w:t>
            </w:r>
          </w:p>
        </w:tc>
        <w:tc>
          <w:tcPr>
            <w:tcW w:w="82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30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干法熄焦</w:t>
            </w:r>
          </w:p>
        </w:tc>
        <w:tc>
          <w:tcPr>
            <w:tcW w:w="688"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30</w:t>
            </w:r>
          </w:p>
        </w:tc>
        <w:tc>
          <w:tcPr>
            <w:tcW w:w="82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80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粗苯管式炉、半焦烘干和氨分解炉等燃用焦炉煤气的设施</w:t>
            </w:r>
          </w:p>
        </w:tc>
        <w:tc>
          <w:tcPr>
            <w:tcW w:w="688"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w:t>
            </w:r>
          </w:p>
        </w:tc>
        <w:tc>
          <w:tcPr>
            <w:tcW w:w="82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30</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库区焦油各类贮槽</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w:t>
            </w:r>
          </w:p>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μg/m</w:t>
            </w:r>
            <w:r>
              <w:rPr>
                <w:rFonts w:ascii="Times New Roman" w:hAnsi="Times New Roman" w:eastAsia="宋体" w:cs="Times New Roman"/>
                <w:color w:val="FF0000"/>
                <w:szCs w:val="21"/>
                <w:vertAlign w:val="superscript"/>
              </w:rPr>
              <w:t>3</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50</w:t>
            </w:r>
          </w:p>
        </w:tc>
        <w:tc>
          <w:tcPr>
            <w:tcW w:w="708"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50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10</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1.0</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苯贮槽</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50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脱硫再生塔</w:t>
            </w:r>
          </w:p>
        </w:tc>
        <w:tc>
          <w:tcPr>
            <w:tcW w:w="68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10</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1.0</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w:t>
            </w:r>
          </w:p>
        </w:tc>
        <w:tc>
          <w:tcPr>
            <w:tcW w:w="141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硫铵结晶干燥</w:t>
            </w:r>
          </w:p>
        </w:tc>
        <w:tc>
          <w:tcPr>
            <w:tcW w:w="688"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50</w:t>
            </w:r>
          </w:p>
        </w:tc>
        <w:tc>
          <w:tcPr>
            <w:tcW w:w="82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8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42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08"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567"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10</w:t>
            </w:r>
          </w:p>
        </w:tc>
        <w:tc>
          <w:tcPr>
            <w:tcW w:w="567"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75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11</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后评价阶段烧结废气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，二噁英除外）</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6"/>
        <w:gridCol w:w="3495"/>
        <w:gridCol w:w="1065"/>
        <w:gridCol w:w="24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rPr>
            </w:pPr>
            <w:r>
              <w:rPr>
                <w:rFonts w:ascii="Times New Roman" w:hAnsi="Times New Roman" w:eastAsia="宋体" w:cs="Times New Roman"/>
                <w:b/>
                <w:color w:val="FF0000"/>
              </w:rPr>
              <w:t>生产工序或设施</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污染物项目</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rPr>
            </w:pPr>
            <w:r>
              <w:rPr>
                <w:rFonts w:ascii="Times New Roman" w:hAnsi="Times New Roman" w:eastAsia="宋体" w:cs="Times New Roman"/>
                <w:b/>
                <w:color w:val="FF0000"/>
              </w:rPr>
              <w:t>限值</w:t>
            </w:r>
          </w:p>
        </w:tc>
        <w:tc>
          <w:tcPr>
            <w:tcW w:w="24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烧结机</w:t>
            </w:r>
          </w:p>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球团焙烧设备</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颗粒物</w:t>
            </w:r>
          </w:p>
        </w:tc>
        <w:tc>
          <w:tcPr>
            <w:tcW w:w="106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40</w:t>
            </w:r>
          </w:p>
        </w:tc>
        <w:tc>
          <w:tcPr>
            <w:tcW w:w="2496"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二氧化硫</w:t>
            </w:r>
          </w:p>
        </w:tc>
        <w:tc>
          <w:tcPr>
            <w:tcW w:w="106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180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氮氧化物（以NO</w:t>
            </w:r>
            <w:r>
              <w:rPr>
                <w:rFonts w:ascii="Times New Roman" w:hAnsi="Times New Roman" w:eastAsia="宋体" w:cs="Times New Roman"/>
                <w:color w:val="FF0000"/>
                <w:vertAlign w:val="subscript"/>
              </w:rPr>
              <w:t>2</w:t>
            </w:r>
            <w:r>
              <w:rPr>
                <w:rFonts w:ascii="Times New Roman" w:hAnsi="Times New Roman" w:eastAsia="宋体" w:cs="Times New Roman"/>
                <w:color w:val="FF0000"/>
              </w:rPr>
              <w:t>计）</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300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氟化物（以F计）</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4.0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二噁英类（ng-TEQ/m</w:t>
            </w:r>
            <w:r>
              <w:rPr>
                <w:rFonts w:ascii="Times New Roman" w:hAnsi="Times New Roman" w:eastAsia="宋体" w:cs="Times New Roman"/>
                <w:color w:val="FF0000"/>
                <w:vertAlign w:val="superscript"/>
              </w:rPr>
              <w:t>3</w:t>
            </w:r>
            <w:r>
              <w:rPr>
                <w:rFonts w:ascii="Times New Roman" w:hAnsi="Times New Roman" w:eastAsia="宋体" w:cs="Times New Roman"/>
                <w:color w:val="FF0000"/>
              </w:rPr>
              <w:t>）</w:t>
            </w:r>
          </w:p>
        </w:tc>
        <w:tc>
          <w:tcPr>
            <w:tcW w:w="106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0.5</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烧结机机尾</w:t>
            </w:r>
          </w:p>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带式焙烧机机尾</w:t>
            </w:r>
          </w:p>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其他生产设备</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颗粒物</w:t>
            </w:r>
          </w:p>
        </w:tc>
        <w:tc>
          <w:tcPr>
            <w:tcW w:w="106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12</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后评价阶段原料场、炼铁及矿渣微粉生产线废气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6"/>
        <w:gridCol w:w="3495"/>
        <w:gridCol w:w="1050"/>
        <w:gridCol w:w="25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生产工序或设施</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污染物项目</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限值</w:t>
            </w:r>
          </w:p>
        </w:tc>
        <w:tc>
          <w:tcPr>
            <w:tcW w:w="2511"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b/>
                <w:color w:val="FF0000"/>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热风炉</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050"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w:t>
            </w:r>
          </w:p>
        </w:tc>
        <w:tc>
          <w:tcPr>
            <w:tcW w:w="2511"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100</w:t>
            </w:r>
          </w:p>
        </w:tc>
        <w:tc>
          <w:tcPr>
            <w:tcW w:w="251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1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r>
              <w:rPr>
                <w:rFonts w:ascii="Times New Roman" w:hAnsi="Times New Roman" w:eastAsia="宋体" w:cs="Times New Roman"/>
                <w:color w:val="FF0000"/>
              </w:rPr>
              <w:t>（以NO</w:t>
            </w:r>
            <w:r>
              <w:rPr>
                <w:rFonts w:ascii="Times New Roman" w:hAnsi="Times New Roman" w:eastAsia="宋体" w:cs="Times New Roman"/>
                <w:color w:val="FF0000"/>
                <w:vertAlign w:val="subscript"/>
              </w:rPr>
              <w:t>2</w:t>
            </w:r>
            <w:r>
              <w:rPr>
                <w:rFonts w:ascii="Times New Roman" w:hAnsi="Times New Roman" w:eastAsia="宋体" w:cs="Times New Roman"/>
                <w:color w:val="FF0000"/>
              </w:rPr>
              <w:t>计）</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300</w:t>
            </w:r>
          </w:p>
        </w:tc>
        <w:tc>
          <w:tcPr>
            <w:tcW w:w="251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201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高炉出铁场</w:t>
            </w:r>
          </w:p>
        </w:tc>
        <w:tc>
          <w:tcPr>
            <w:tcW w:w="3495"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050"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w:t>
            </w:r>
          </w:p>
        </w:tc>
        <w:tc>
          <w:tcPr>
            <w:tcW w:w="251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04" w:hRule="atLeast"/>
          <w:jc w:val="center"/>
        </w:trPr>
        <w:tc>
          <w:tcPr>
            <w:tcW w:w="201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原料系统、煤粉系统、其他生产设施</w:t>
            </w:r>
          </w:p>
        </w:tc>
        <w:tc>
          <w:tcPr>
            <w:tcW w:w="3495"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1050"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10</w:t>
            </w:r>
          </w:p>
        </w:tc>
        <w:tc>
          <w:tcPr>
            <w:tcW w:w="251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 xml:space="preserve">13 </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后评价阶段石灰焙烧、</w:t>
      </w:r>
      <w:r>
        <w:rPr>
          <w:rFonts w:ascii="Times New Roman" w:hAnsi="Times New Roman" w:eastAsia="黑体" w:cs="Times New Roman"/>
          <w:color w:val="FF0000"/>
          <w:sz w:val="24"/>
        </w:rPr>
        <w:t>炼钢</w:t>
      </w:r>
      <w:r>
        <w:rPr>
          <w:rFonts w:hint="eastAsia" w:ascii="Times New Roman" w:hAnsi="Times New Roman" w:eastAsia="黑体" w:cs="Times New Roman"/>
          <w:color w:val="FF0000"/>
          <w:sz w:val="24"/>
          <w:lang w:eastAsia="zh-CN"/>
        </w:rPr>
        <w:t>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1"/>
        <w:gridCol w:w="3495"/>
        <w:gridCol w:w="1050"/>
        <w:gridCol w:w="24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污染物项目</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生产工序或设施</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限值</w:t>
            </w:r>
          </w:p>
        </w:tc>
        <w:tc>
          <w:tcPr>
            <w:tcW w:w="249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转炉（一次烟气）</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2496"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铁水预处理（包括倒罐、扒渣等）、转炉（二次烟气）、电炉、精炼炉</w:t>
            </w:r>
          </w:p>
        </w:tc>
        <w:tc>
          <w:tcPr>
            <w:tcW w:w="1050"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连铸切割及火焰清理、石灰窑、白云石窑焙烧</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钢渣处理</w:t>
            </w:r>
          </w:p>
        </w:tc>
        <w:tc>
          <w:tcPr>
            <w:tcW w:w="1050"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100</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31"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其他生产设施</w:t>
            </w:r>
          </w:p>
        </w:tc>
        <w:tc>
          <w:tcPr>
            <w:tcW w:w="1050"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w:t>
            </w:r>
          </w:p>
        </w:tc>
        <w:tc>
          <w:tcPr>
            <w:tcW w:w="2496"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14</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后评价阶段</w:t>
      </w:r>
      <w:r>
        <w:rPr>
          <w:rFonts w:ascii="Times New Roman" w:hAnsi="Times New Roman" w:eastAsia="黑体" w:cs="Times New Roman"/>
          <w:color w:val="FF0000"/>
          <w:sz w:val="24"/>
        </w:rPr>
        <w:t>轧钢</w:t>
      </w:r>
      <w:r>
        <w:rPr>
          <w:rFonts w:hint="eastAsia" w:ascii="Times New Roman" w:hAnsi="Times New Roman" w:eastAsia="黑体" w:cs="Times New Roman"/>
          <w:color w:val="FF0000"/>
          <w:sz w:val="24"/>
          <w:lang w:eastAsia="zh-CN"/>
        </w:rPr>
        <w:t>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46"/>
        <w:gridCol w:w="3495"/>
        <w:gridCol w:w="1035"/>
        <w:gridCol w:w="24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204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污染物项目</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生产工艺或设施</w:t>
            </w:r>
          </w:p>
        </w:tc>
        <w:tc>
          <w:tcPr>
            <w:tcW w:w="103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限值</w:t>
            </w:r>
          </w:p>
        </w:tc>
        <w:tc>
          <w:tcPr>
            <w:tcW w:w="2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204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热处理炉、拉矫、精整、抛丸、修磨、焊接机及其他生产设施</w:t>
            </w:r>
          </w:p>
        </w:tc>
        <w:tc>
          <w:tcPr>
            <w:tcW w:w="1035" w:type="dxa"/>
            <w:vAlign w:val="center"/>
          </w:tcPr>
          <w:p>
            <w:pPr>
              <w:pStyle w:val="2"/>
              <w:keepNext w:val="0"/>
              <w:keepLines w:val="0"/>
              <w:pageBreakBefore w:val="0"/>
              <w:kinsoku/>
              <w:wordWrap/>
              <w:bidi w:val="0"/>
              <w:snapToGrid/>
              <w:spacing w:after="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15</w:t>
            </w:r>
          </w:p>
        </w:tc>
        <w:tc>
          <w:tcPr>
            <w:tcW w:w="2495" w:type="dxa"/>
            <w:vMerge w:val="restart"/>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204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热处理炉</w:t>
            </w:r>
          </w:p>
        </w:tc>
        <w:tc>
          <w:tcPr>
            <w:tcW w:w="103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150</w:t>
            </w:r>
          </w:p>
        </w:tc>
        <w:tc>
          <w:tcPr>
            <w:tcW w:w="2495"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2046"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rPr>
              <w:t>（以NO</w:t>
            </w:r>
            <w:r>
              <w:rPr>
                <w:rFonts w:ascii="Times New Roman" w:hAnsi="Times New Roman" w:eastAsia="宋体" w:cs="Times New Roman"/>
                <w:color w:val="FF0000"/>
                <w:vertAlign w:val="subscript"/>
              </w:rPr>
              <w:t>2</w:t>
            </w:r>
            <w:r>
              <w:rPr>
                <w:rFonts w:ascii="Times New Roman" w:hAnsi="Times New Roman" w:eastAsia="宋体" w:cs="Times New Roman"/>
                <w:color w:val="FF0000"/>
              </w:rPr>
              <w:t>计）</w:t>
            </w:r>
          </w:p>
        </w:tc>
        <w:tc>
          <w:tcPr>
            <w:tcW w:w="349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热处理炉</w:t>
            </w:r>
          </w:p>
        </w:tc>
        <w:tc>
          <w:tcPr>
            <w:tcW w:w="1035" w:type="dxa"/>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300</w:t>
            </w:r>
          </w:p>
        </w:tc>
        <w:tc>
          <w:tcPr>
            <w:tcW w:w="2495" w:type="dxa"/>
            <w:vMerge w:val="continue"/>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15</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后评价阶段发电站锅炉大气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执行标准</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2"/>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996"/>
        <w:gridCol w:w="2304"/>
        <w:gridCol w:w="3137"/>
        <w:gridCol w:w="1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tcBorders>
              <w:top w:val="single" w:color="auto" w:sz="12" w:space="0"/>
              <w:lef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污染物项目</w:t>
            </w:r>
          </w:p>
        </w:tc>
        <w:tc>
          <w:tcPr>
            <w:tcW w:w="996" w:type="dxa"/>
            <w:tcBorders>
              <w:top w:val="single" w:color="auto" w:sz="12" w:space="0"/>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限值</w:t>
            </w:r>
          </w:p>
        </w:tc>
        <w:tc>
          <w:tcPr>
            <w:tcW w:w="2304" w:type="dxa"/>
            <w:tcBorders>
              <w:top w:val="single" w:color="auto" w:sz="12" w:space="0"/>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污染物排放监控位置</w:t>
            </w:r>
          </w:p>
        </w:tc>
        <w:tc>
          <w:tcPr>
            <w:tcW w:w="3137" w:type="dxa"/>
            <w:tcBorders>
              <w:top w:val="single" w:color="auto" w:sz="12" w:space="0"/>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标准来源</w:t>
            </w:r>
          </w:p>
        </w:tc>
        <w:tc>
          <w:tcPr>
            <w:tcW w:w="1139" w:type="dxa"/>
            <w:tcBorders>
              <w:top w:val="single" w:color="auto" w:sz="12" w:space="0"/>
              <w:righ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b/>
                <w:bCs/>
                <w:color w:val="FF0000"/>
                <w:lang w:eastAsia="zh-CN"/>
              </w:rPr>
            </w:pPr>
            <w:r>
              <w:rPr>
                <w:rFonts w:hint="eastAsia" w:ascii="Times New Roman" w:hAnsi="Times New Roman" w:eastAsia="宋体" w:cs="Times New Roman"/>
                <w:b/>
                <w:bCs/>
                <w:color w:val="FF0000"/>
                <w:lang w:eastAsia="zh-CN"/>
              </w:rPr>
              <w:t>锅炉限值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restart"/>
            <w:tcBorders>
              <w:left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颗粒物</w:t>
            </w:r>
          </w:p>
        </w:tc>
        <w:tc>
          <w:tcPr>
            <w:tcW w:w="9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5</w:t>
            </w:r>
          </w:p>
        </w:tc>
        <w:tc>
          <w:tcPr>
            <w:tcW w:w="230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《火电厂大气污染物排放标准》（GB13223-2011）</w:t>
            </w:r>
          </w:p>
        </w:tc>
        <w:tc>
          <w:tcPr>
            <w:tcW w:w="1139" w:type="dxa"/>
            <w:vMerge w:val="restart"/>
            <w:tcBorders>
              <w:righ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continue"/>
            <w:tcBorders>
              <w:left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9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20</w:t>
            </w:r>
          </w:p>
        </w:tc>
        <w:tc>
          <w:tcPr>
            <w:tcW w:w="230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锅炉大气污染物排放标准》（GB13271-2014）</w:t>
            </w:r>
          </w:p>
        </w:tc>
        <w:tc>
          <w:tcPr>
            <w:tcW w:w="1139" w:type="dxa"/>
            <w:vMerge w:val="continue"/>
            <w:tcBorders>
              <w:righ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restart"/>
            <w:tcBorders>
              <w:left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二氧化硫</w:t>
            </w:r>
          </w:p>
        </w:tc>
        <w:tc>
          <w:tcPr>
            <w:tcW w:w="9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35</w:t>
            </w:r>
          </w:p>
        </w:tc>
        <w:tc>
          <w:tcPr>
            <w:tcW w:w="230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《火电厂大气污染物排放标准》（GB13223-2011）</w:t>
            </w:r>
          </w:p>
        </w:tc>
        <w:tc>
          <w:tcPr>
            <w:tcW w:w="1139" w:type="dxa"/>
            <w:vMerge w:val="restart"/>
            <w:tcBorders>
              <w:righ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continue"/>
            <w:tcBorders>
              <w:left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p>
        </w:tc>
        <w:tc>
          <w:tcPr>
            <w:tcW w:w="9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50</w:t>
            </w:r>
          </w:p>
        </w:tc>
        <w:tc>
          <w:tcPr>
            <w:tcW w:w="230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锅炉大气污染物排放标准》（GB13271-2014）</w:t>
            </w:r>
          </w:p>
        </w:tc>
        <w:tc>
          <w:tcPr>
            <w:tcW w:w="1139" w:type="dxa"/>
            <w:vMerge w:val="continue"/>
            <w:tcBorders>
              <w:righ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restart"/>
            <w:tcBorders>
              <w:left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p>
            <w:pPr>
              <w:pStyle w:val="2"/>
              <w:keepNext w:val="0"/>
              <w:keepLines w:val="0"/>
              <w:pageBreakBefore w:val="0"/>
              <w:kinsoku/>
              <w:wordWrap/>
              <w:bidi w:val="0"/>
              <w:snapToGrid/>
              <w:spacing w:after="0"/>
              <w:jc w:val="center"/>
              <w:rPr>
                <w:rFonts w:ascii="Times New Roman" w:hAnsi="Times New Roman" w:eastAsia="宋体" w:cs="Times New Roman"/>
                <w:color w:val="FF0000"/>
              </w:rPr>
            </w:pPr>
            <w:r>
              <w:rPr>
                <w:rFonts w:ascii="Times New Roman" w:hAnsi="Times New Roman" w:eastAsia="宋体" w:cs="Times New Roman"/>
                <w:color w:val="FF0000"/>
              </w:rPr>
              <w:t>（以NO</w:t>
            </w:r>
            <w:r>
              <w:rPr>
                <w:rFonts w:ascii="Times New Roman" w:hAnsi="Times New Roman" w:eastAsia="宋体" w:cs="Times New Roman"/>
                <w:color w:val="FF0000"/>
                <w:vertAlign w:val="subscript"/>
              </w:rPr>
              <w:t>2</w:t>
            </w:r>
            <w:r>
              <w:rPr>
                <w:rFonts w:ascii="Times New Roman" w:hAnsi="Times New Roman" w:eastAsia="宋体" w:cs="Times New Roman"/>
                <w:color w:val="FF0000"/>
              </w:rPr>
              <w:t>计）</w:t>
            </w:r>
          </w:p>
        </w:tc>
        <w:tc>
          <w:tcPr>
            <w:tcW w:w="9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100</w:t>
            </w:r>
          </w:p>
        </w:tc>
        <w:tc>
          <w:tcPr>
            <w:tcW w:w="230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《火电厂大气污染物排放标准》（GB13223-2011）</w:t>
            </w:r>
          </w:p>
        </w:tc>
        <w:tc>
          <w:tcPr>
            <w:tcW w:w="1139" w:type="dxa"/>
            <w:vMerge w:val="restart"/>
            <w:tcBorders>
              <w:righ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495" w:type="dxa"/>
            <w:vMerge w:val="continue"/>
            <w:tcBorders>
              <w:lef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p>
        </w:tc>
        <w:tc>
          <w:tcPr>
            <w:tcW w:w="9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50*</w:t>
            </w:r>
          </w:p>
        </w:tc>
        <w:tc>
          <w:tcPr>
            <w:tcW w:w="230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rPr>
              <w:t>烟囱或烟道</w:t>
            </w:r>
          </w:p>
        </w:tc>
        <w:tc>
          <w:tcPr>
            <w:tcW w:w="313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r>
              <w:rPr>
                <w:rFonts w:ascii="Times New Roman" w:hAnsi="Times New Roman" w:eastAsia="宋体" w:cs="Times New Roman"/>
                <w:color w:val="FF0000"/>
                <w:lang w:val="zh-CN"/>
              </w:rPr>
              <w:t>锅炉大气污染物排放标准》（GB13271-2014）</w:t>
            </w:r>
          </w:p>
        </w:tc>
        <w:tc>
          <w:tcPr>
            <w:tcW w:w="1139" w:type="dxa"/>
            <w:vMerge w:val="continue"/>
            <w:tcBorders>
              <w:righ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9071" w:type="dxa"/>
            <w:gridSpan w:val="5"/>
            <w:tcBorders>
              <w:left w:val="nil"/>
              <w:bottom w:val="single" w:color="auto" w:sz="12" w:space="0"/>
              <w:right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left"/>
              <w:textAlignment w:val="auto"/>
              <w:rPr>
                <w:rFonts w:ascii="Times New Roman" w:hAnsi="Times New Roman" w:eastAsia="宋体" w:cs="Times New Roman"/>
                <w:color w:val="FF0000"/>
              </w:rPr>
            </w:pPr>
            <w:r>
              <w:rPr>
                <w:rFonts w:hint="eastAsia" w:ascii="Times New Roman" w:hAnsi="Times New Roman" w:eastAsia="宋体" w:cs="Times New Roman"/>
                <w:color w:val="FF0000"/>
                <w:szCs w:val="21"/>
                <w:lang w:eastAsia="zh-CN"/>
              </w:rPr>
              <w:t>注：来自《</w:t>
            </w:r>
            <w:r>
              <w:rPr>
                <w:rFonts w:hint="eastAsia" w:ascii="Times New Roman" w:hAnsi="Times New Roman" w:eastAsia="宋体" w:cs="Times New Roman"/>
                <w:color w:val="FF0000"/>
                <w:szCs w:val="21"/>
                <w:lang w:val="en-US" w:eastAsia="zh-CN"/>
              </w:rPr>
              <w:t>2019年安徽省大气污染防治重点工作任务</w:t>
            </w:r>
            <w:r>
              <w:rPr>
                <w:rFonts w:hint="eastAsia" w:ascii="Times New Roman" w:hAnsi="Times New Roman" w:eastAsia="宋体" w:cs="Times New Roman"/>
                <w:color w:val="FF0000"/>
                <w:szCs w:val="21"/>
                <w:lang w:eastAsia="zh-CN"/>
              </w:rPr>
              <w:t>》的通知中，“</w:t>
            </w:r>
            <w:r>
              <w:rPr>
                <w:rFonts w:hint="eastAsia" w:ascii="Times New Roman" w:hAnsi="Times New Roman" w:eastAsia="宋体" w:cs="Times New Roman"/>
                <w:color w:val="FF0000"/>
                <w:szCs w:val="21"/>
                <w:lang w:val="en-US" w:eastAsia="zh-CN"/>
              </w:rPr>
              <w:t>2019年底前，50%以上的燃气锅炉基本完成低氮改造，原则上改造后氮氧化物排放浓度不高于50毫克/立方米</w:t>
            </w:r>
            <w:r>
              <w:rPr>
                <w:rFonts w:hint="eastAsia" w:ascii="Times New Roman" w:hAnsi="Times New Roman" w:eastAsia="宋体" w:cs="Times New Roman"/>
                <w:color w:val="FF0000"/>
                <w:szCs w:val="21"/>
                <w:lang w:eastAsia="zh-CN"/>
              </w:rPr>
              <w:t>”。</w:t>
            </w: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w:t>
      </w:r>
      <w:r>
        <w:rPr>
          <w:rFonts w:hint="eastAsia" w:ascii="Times New Roman" w:hAnsi="Times New Roman" w:eastAsia="黑体" w:cs="Times New Roman"/>
          <w:color w:val="FF0000"/>
          <w:sz w:val="24"/>
          <w:lang w:val="en-US" w:eastAsia="zh-CN"/>
        </w:rPr>
        <w:t>16</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lang w:eastAsia="zh-CN"/>
        </w:rPr>
        <w:t>后评价阶段铸管废气</w:t>
      </w:r>
      <w:r>
        <w:rPr>
          <w:rFonts w:ascii="Times New Roman" w:hAnsi="Times New Roman" w:eastAsia="黑体" w:cs="Times New Roman"/>
          <w:color w:val="FF0000"/>
          <w:sz w:val="24"/>
        </w:rPr>
        <w:t>污染物排放</w:t>
      </w:r>
      <w:r>
        <w:rPr>
          <w:rFonts w:hint="eastAsia" w:ascii="Times New Roman" w:hAnsi="Times New Roman" w:eastAsia="黑体" w:cs="Times New Roman"/>
          <w:color w:val="FF0000"/>
          <w:sz w:val="24"/>
          <w:lang w:eastAsia="zh-CN"/>
        </w:rPr>
        <w:t>执行</w:t>
      </w:r>
      <w:r>
        <w:rPr>
          <w:rFonts w:ascii="Times New Roman" w:hAnsi="Times New Roman" w:eastAsia="黑体" w:cs="Times New Roman"/>
          <w:color w:val="FF0000"/>
          <w:sz w:val="24"/>
        </w:rPr>
        <w:t>标准（单位：mg/m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6"/>
        <w:gridCol w:w="1665"/>
        <w:gridCol w:w="1890"/>
        <w:gridCol w:w="1950"/>
        <w:gridCol w:w="18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1686" w:type="dxa"/>
            <w:vMerge w:val="restart"/>
            <w:vAlign w:val="center"/>
          </w:tcPr>
          <w:p>
            <w:pPr>
              <w:pStyle w:val="41"/>
              <w:keepNext w:val="0"/>
              <w:keepLines w:val="0"/>
              <w:pageBreakBefore w:val="0"/>
              <w:kinsoku/>
              <w:wordWrap/>
              <w:bidi w:val="0"/>
              <w:snapToGrid/>
              <w:spacing w:line="240" w:lineRule="auto"/>
              <w:rPr>
                <w:b/>
                <w:color w:val="FF0000"/>
              </w:rPr>
            </w:pPr>
            <w:r>
              <w:rPr>
                <w:b/>
                <w:color w:val="FF0000"/>
              </w:rPr>
              <w:t>废气种类</w:t>
            </w:r>
          </w:p>
        </w:tc>
        <w:tc>
          <w:tcPr>
            <w:tcW w:w="1665" w:type="dxa"/>
            <w:vMerge w:val="restart"/>
            <w:vAlign w:val="center"/>
          </w:tcPr>
          <w:p>
            <w:pPr>
              <w:pStyle w:val="41"/>
              <w:keepNext w:val="0"/>
              <w:keepLines w:val="0"/>
              <w:pageBreakBefore w:val="0"/>
              <w:kinsoku/>
              <w:wordWrap/>
              <w:bidi w:val="0"/>
              <w:snapToGrid/>
              <w:spacing w:line="240" w:lineRule="auto"/>
              <w:rPr>
                <w:b/>
                <w:color w:val="FF0000"/>
              </w:rPr>
            </w:pPr>
            <w:r>
              <w:rPr>
                <w:b/>
                <w:color w:val="FF0000"/>
              </w:rPr>
              <w:t>污染物</w:t>
            </w:r>
          </w:p>
        </w:tc>
        <w:tc>
          <w:tcPr>
            <w:tcW w:w="1890" w:type="dxa"/>
            <w:vMerge w:val="restart"/>
            <w:vAlign w:val="center"/>
          </w:tcPr>
          <w:p>
            <w:pPr>
              <w:pStyle w:val="41"/>
              <w:keepNext w:val="0"/>
              <w:keepLines w:val="0"/>
              <w:pageBreakBefore w:val="0"/>
              <w:kinsoku/>
              <w:wordWrap/>
              <w:bidi w:val="0"/>
              <w:snapToGrid/>
              <w:spacing w:line="240" w:lineRule="auto"/>
              <w:rPr>
                <w:b/>
                <w:color w:val="FF0000"/>
              </w:rPr>
            </w:pPr>
            <w:r>
              <w:rPr>
                <w:b/>
                <w:color w:val="FF0000"/>
              </w:rPr>
              <w:t>浓度限值</w:t>
            </w:r>
          </w:p>
        </w:tc>
        <w:tc>
          <w:tcPr>
            <w:tcW w:w="3831" w:type="dxa"/>
            <w:gridSpan w:val="2"/>
            <w:vAlign w:val="center"/>
          </w:tcPr>
          <w:p>
            <w:pPr>
              <w:pStyle w:val="41"/>
              <w:keepNext w:val="0"/>
              <w:keepLines w:val="0"/>
              <w:pageBreakBefore w:val="0"/>
              <w:kinsoku/>
              <w:wordWrap/>
              <w:bidi w:val="0"/>
              <w:snapToGrid/>
              <w:spacing w:line="240" w:lineRule="auto"/>
              <w:rPr>
                <w:b/>
                <w:color w:val="FF0000"/>
              </w:rPr>
            </w:pPr>
            <w:r>
              <w:rPr>
                <w:b/>
                <w:color w:val="FF0000"/>
              </w:rPr>
              <w:t>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1686" w:type="dxa"/>
            <w:vMerge w:val="continue"/>
            <w:vAlign w:val="center"/>
          </w:tcPr>
          <w:p>
            <w:pPr>
              <w:pStyle w:val="41"/>
              <w:keepNext w:val="0"/>
              <w:keepLines w:val="0"/>
              <w:pageBreakBefore w:val="0"/>
              <w:kinsoku/>
              <w:wordWrap/>
              <w:bidi w:val="0"/>
              <w:snapToGrid/>
              <w:spacing w:line="240" w:lineRule="auto"/>
              <w:rPr>
                <w:b/>
                <w:color w:val="FF0000"/>
              </w:rPr>
            </w:pPr>
          </w:p>
        </w:tc>
        <w:tc>
          <w:tcPr>
            <w:tcW w:w="1665" w:type="dxa"/>
            <w:vMerge w:val="continue"/>
            <w:vAlign w:val="center"/>
          </w:tcPr>
          <w:p>
            <w:pPr>
              <w:pStyle w:val="41"/>
              <w:keepNext w:val="0"/>
              <w:keepLines w:val="0"/>
              <w:pageBreakBefore w:val="0"/>
              <w:kinsoku/>
              <w:wordWrap/>
              <w:bidi w:val="0"/>
              <w:snapToGrid/>
              <w:spacing w:line="240" w:lineRule="auto"/>
              <w:rPr>
                <w:b/>
                <w:color w:val="FF0000"/>
              </w:rPr>
            </w:pPr>
          </w:p>
        </w:tc>
        <w:tc>
          <w:tcPr>
            <w:tcW w:w="1890" w:type="dxa"/>
            <w:vMerge w:val="continue"/>
            <w:vAlign w:val="center"/>
          </w:tcPr>
          <w:p>
            <w:pPr>
              <w:pStyle w:val="41"/>
              <w:keepNext w:val="0"/>
              <w:keepLines w:val="0"/>
              <w:pageBreakBefore w:val="0"/>
              <w:kinsoku/>
              <w:wordWrap/>
              <w:bidi w:val="0"/>
              <w:snapToGrid/>
              <w:spacing w:line="240" w:lineRule="auto"/>
              <w:rPr>
                <w:b/>
                <w:color w:val="FF0000"/>
              </w:rPr>
            </w:pPr>
          </w:p>
        </w:tc>
        <w:tc>
          <w:tcPr>
            <w:tcW w:w="1950" w:type="dxa"/>
            <w:vAlign w:val="center"/>
          </w:tcPr>
          <w:p>
            <w:pPr>
              <w:pStyle w:val="41"/>
              <w:keepNext w:val="0"/>
              <w:keepLines w:val="0"/>
              <w:pageBreakBefore w:val="0"/>
              <w:kinsoku/>
              <w:wordWrap/>
              <w:bidi w:val="0"/>
              <w:snapToGrid/>
              <w:spacing w:line="240" w:lineRule="auto"/>
              <w:rPr>
                <w:b/>
                <w:color w:val="FF0000"/>
              </w:rPr>
            </w:pPr>
            <w:r>
              <w:rPr>
                <w:b/>
                <w:color w:val="FF0000"/>
              </w:rPr>
              <w:t>排气筒高度(m)</w:t>
            </w:r>
          </w:p>
        </w:tc>
        <w:tc>
          <w:tcPr>
            <w:tcW w:w="1881" w:type="dxa"/>
            <w:vAlign w:val="center"/>
          </w:tcPr>
          <w:p>
            <w:pPr>
              <w:pStyle w:val="41"/>
              <w:keepNext w:val="0"/>
              <w:keepLines w:val="0"/>
              <w:pageBreakBefore w:val="0"/>
              <w:kinsoku/>
              <w:wordWrap/>
              <w:bidi w:val="0"/>
              <w:snapToGrid/>
              <w:spacing w:line="240" w:lineRule="auto"/>
              <w:rPr>
                <w:b/>
                <w:color w:val="FF0000"/>
              </w:rPr>
            </w:pPr>
            <w:r>
              <w:rPr>
                <w:b/>
                <w:color w:val="FF0000"/>
              </w:rPr>
              <w:t>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restart"/>
            <w:vAlign w:val="center"/>
          </w:tcPr>
          <w:p>
            <w:pPr>
              <w:pStyle w:val="41"/>
              <w:keepNext w:val="0"/>
              <w:keepLines w:val="0"/>
              <w:pageBreakBefore w:val="0"/>
              <w:kinsoku/>
              <w:wordWrap/>
              <w:bidi w:val="0"/>
              <w:snapToGrid/>
              <w:spacing w:line="240" w:lineRule="auto"/>
              <w:rPr>
                <w:color w:val="FF0000"/>
              </w:rPr>
            </w:pPr>
            <w:r>
              <w:rPr>
                <w:color w:val="FF0000"/>
              </w:rPr>
              <w:t>铸管车间废气</w:t>
            </w:r>
          </w:p>
        </w:tc>
        <w:tc>
          <w:tcPr>
            <w:tcW w:w="1665" w:type="dxa"/>
            <w:vMerge w:val="restart"/>
            <w:vAlign w:val="center"/>
          </w:tcPr>
          <w:p>
            <w:pPr>
              <w:pStyle w:val="41"/>
              <w:keepNext w:val="0"/>
              <w:keepLines w:val="0"/>
              <w:pageBreakBefore w:val="0"/>
              <w:kinsoku/>
              <w:wordWrap/>
              <w:bidi w:val="0"/>
              <w:snapToGrid/>
              <w:spacing w:line="240" w:lineRule="auto"/>
              <w:rPr>
                <w:color w:val="FF0000"/>
              </w:rPr>
            </w:pPr>
            <w:r>
              <w:rPr>
                <w:color w:val="FF0000"/>
              </w:rPr>
              <w:t>颗粒物</w:t>
            </w:r>
          </w:p>
        </w:tc>
        <w:tc>
          <w:tcPr>
            <w:tcW w:w="1890" w:type="dxa"/>
            <w:vMerge w:val="restart"/>
            <w:vAlign w:val="center"/>
          </w:tcPr>
          <w:p>
            <w:pPr>
              <w:pStyle w:val="41"/>
              <w:keepNext w:val="0"/>
              <w:keepLines w:val="0"/>
              <w:pageBreakBefore w:val="0"/>
              <w:kinsoku/>
              <w:wordWrap/>
              <w:bidi w:val="0"/>
              <w:snapToGrid/>
              <w:spacing w:line="240" w:lineRule="auto"/>
              <w:rPr>
                <w:color w:val="FF0000"/>
              </w:rPr>
            </w:pPr>
            <w:r>
              <w:rPr>
                <w:color w:val="FF0000"/>
              </w:rPr>
              <w:t>120</w:t>
            </w:r>
          </w:p>
        </w:tc>
        <w:tc>
          <w:tcPr>
            <w:tcW w:w="1950" w:type="dxa"/>
            <w:vAlign w:val="center"/>
          </w:tcPr>
          <w:p>
            <w:pPr>
              <w:pStyle w:val="41"/>
              <w:keepNext w:val="0"/>
              <w:keepLines w:val="0"/>
              <w:pageBreakBefore w:val="0"/>
              <w:kinsoku/>
              <w:wordWrap/>
              <w:bidi w:val="0"/>
              <w:snapToGrid/>
              <w:spacing w:line="240" w:lineRule="auto"/>
              <w:rPr>
                <w:color w:val="FF0000"/>
              </w:rPr>
            </w:pPr>
            <w:r>
              <w:rPr>
                <w:color w:val="FF0000"/>
              </w:rPr>
              <w:t>15</w:t>
            </w: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Merge w:val="continue"/>
            <w:vAlign w:val="center"/>
          </w:tcPr>
          <w:p>
            <w:pPr>
              <w:pStyle w:val="41"/>
              <w:keepNext w:val="0"/>
              <w:keepLines w:val="0"/>
              <w:pageBreakBefore w:val="0"/>
              <w:kinsoku/>
              <w:wordWrap/>
              <w:bidi w:val="0"/>
              <w:snapToGrid/>
              <w:spacing w:line="240" w:lineRule="auto"/>
              <w:rPr>
                <w:color w:val="FF0000"/>
              </w:rPr>
            </w:pPr>
          </w:p>
        </w:tc>
        <w:tc>
          <w:tcPr>
            <w:tcW w:w="1890" w:type="dxa"/>
            <w:vMerge w:val="continue"/>
            <w:vAlign w:val="center"/>
          </w:tcPr>
          <w:p>
            <w:pPr>
              <w:pStyle w:val="41"/>
              <w:keepNext w:val="0"/>
              <w:keepLines w:val="0"/>
              <w:pageBreakBefore w:val="0"/>
              <w:kinsoku/>
              <w:wordWrap/>
              <w:bidi w:val="0"/>
              <w:snapToGrid/>
              <w:spacing w:line="240" w:lineRule="auto"/>
              <w:rPr>
                <w:color w:val="FF0000"/>
              </w:rPr>
            </w:pPr>
          </w:p>
        </w:tc>
        <w:tc>
          <w:tcPr>
            <w:tcW w:w="1950" w:type="dxa"/>
            <w:vAlign w:val="center"/>
          </w:tcPr>
          <w:p>
            <w:pPr>
              <w:pStyle w:val="41"/>
              <w:keepNext w:val="0"/>
              <w:keepLines w:val="0"/>
              <w:pageBreakBefore w:val="0"/>
              <w:kinsoku/>
              <w:wordWrap/>
              <w:bidi w:val="0"/>
              <w:snapToGrid/>
              <w:spacing w:line="240" w:lineRule="auto"/>
              <w:rPr>
                <w:color w:val="FF0000"/>
              </w:rPr>
            </w:pPr>
            <w:r>
              <w:rPr>
                <w:color w:val="FF0000"/>
              </w:rPr>
              <w:t>20</w:t>
            </w: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Merge w:val="continue"/>
            <w:vAlign w:val="center"/>
          </w:tcPr>
          <w:p>
            <w:pPr>
              <w:pStyle w:val="41"/>
              <w:keepNext w:val="0"/>
              <w:keepLines w:val="0"/>
              <w:pageBreakBefore w:val="0"/>
              <w:kinsoku/>
              <w:wordWrap/>
              <w:bidi w:val="0"/>
              <w:snapToGrid/>
              <w:spacing w:line="240" w:lineRule="auto"/>
              <w:rPr>
                <w:color w:val="FF0000"/>
              </w:rPr>
            </w:pPr>
          </w:p>
        </w:tc>
        <w:tc>
          <w:tcPr>
            <w:tcW w:w="1890" w:type="dxa"/>
            <w:vMerge w:val="continue"/>
            <w:vAlign w:val="center"/>
          </w:tcPr>
          <w:p>
            <w:pPr>
              <w:pStyle w:val="41"/>
              <w:keepNext w:val="0"/>
              <w:keepLines w:val="0"/>
              <w:pageBreakBefore w:val="0"/>
              <w:kinsoku/>
              <w:wordWrap/>
              <w:bidi w:val="0"/>
              <w:snapToGrid/>
              <w:spacing w:line="240" w:lineRule="auto"/>
              <w:rPr>
                <w:color w:val="FF0000"/>
              </w:rPr>
            </w:pPr>
          </w:p>
        </w:tc>
        <w:tc>
          <w:tcPr>
            <w:tcW w:w="1950" w:type="dxa"/>
            <w:vAlign w:val="center"/>
          </w:tcPr>
          <w:p>
            <w:pPr>
              <w:pStyle w:val="41"/>
              <w:keepNext w:val="0"/>
              <w:keepLines w:val="0"/>
              <w:pageBreakBefore w:val="0"/>
              <w:kinsoku/>
              <w:wordWrap/>
              <w:bidi w:val="0"/>
              <w:snapToGrid/>
              <w:spacing w:line="240" w:lineRule="auto"/>
              <w:rPr>
                <w:color w:val="FF0000"/>
              </w:rPr>
            </w:pPr>
            <w:r>
              <w:rPr>
                <w:color w:val="FF0000"/>
              </w:rPr>
              <w:t>30</w:t>
            </w: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SO</w:t>
            </w:r>
            <w:r>
              <w:rPr>
                <w:color w:val="FF0000"/>
                <w:vertAlign w:val="subscript"/>
              </w:rPr>
              <w:t>2</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550</w:t>
            </w:r>
          </w:p>
        </w:tc>
        <w:tc>
          <w:tcPr>
            <w:tcW w:w="1950" w:type="dxa"/>
            <w:vMerge w:val="restart"/>
            <w:vAlign w:val="center"/>
          </w:tcPr>
          <w:p>
            <w:pPr>
              <w:pStyle w:val="41"/>
              <w:keepNext w:val="0"/>
              <w:keepLines w:val="0"/>
              <w:pageBreakBefore w:val="0"/>
              <w:kinsoku/>
              <w:wordWrap/>
              <w:bidi w:val="0"/>
              <w:snapToGrid/>
              <w:spacing w:line="240" w:lineRule="auto"/>
              <w:rPr>
                <w:color w:val="FF0000"/>
              </w:rPr>
            </w:pPr>
            <w:r>
              <w:rPr>
                <w:color w:val="FF0000"/>
              </w:rPr>
              <w:t>20</w:t>
            </w: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NO</w:t>
            </w:r>
            <w:r>
              <w:rPr>
                <w:color w:val="FF0000"/>
                <w:vertAlign w:val="subscript"/>
              </w:rPr>
              <w:t>x</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240</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沥青烟</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40</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苯</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12</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甲苯</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40</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86" w:type="dxa"/>
            <w:vMerge w:val="continue"/>
            <w:vAlign w:val="center"/>
          </w:tcPr>
          <w:p>
            <w:pPr>
              <w:pStyle w:val="41"/>
              <w:keepNext w:val="0"/>
              <w:keepLines w:val="0"/>
              <w:pageBreakBefore w:val="0"/>
              <w:kinsoku/>
              <w:wordWrap/>
              <w:bidi w:val="0"/>
              <w:snapToGrid/>
              <w:spacing w:line="240" w:lineRule="auto"/>
              <w:rPr>
                <w:color w:val="FF0000"/>
              </w:rPr>
            </w:pPr>
          </w:p>
        </w:tc>
        <w:tc>
          <w:tcPr>
            <w:tcW w:w="1665" w:type="dxa"/>
            <w:vAlign w:val="center"/>
          </w:tcPr>
          <w:p>
            <w:pPr>
              <w:pStyle w:val="41"/>
              <w:keepNext w:val="0"/>
              <w:keepLines w:val="0"/>
              <w:pageBreakBefore w:val="0"/>
              <w:kinsoku/>
              <w:wordWrap/>
              <w:bidi w:val="0"/>
              <w:snapToGrid/>
              <w:spacing w:line="240" w:lineRule="auto"/>
              <w:rPr>
                <w:color w:val="FF0000"/>
              </w:rPr>
            </w:pPr>
            <w:r>
              <w:rPr>
                <w:color w:val="FF0000"/>
              </w:rPr>
              <w:t>二甲苯</w:t>
            </w:r>
          </w:p>
        </w:tc>
        <w:tc>
          <w:tcPr>
            <w:tcW w:w="1890" w:type="dxa"/>
            <w:vAlign w:val="center"/>
          </w:tcPr>
          <w:p>
            <w:pPr>
              <w:pStyle w:val="41"/>
              <w:keepNext w:val="0"/>
              <w:keepLines w:val="0"/>
              <w:pageBreakBefore w:val="0"/>
              <w:kinsoku/>
              <w:wordWrap/>
              <w:bidi w:val="0"/>
              <w:snapToGrid/>
              <w:spacing w:line="240" w:lineRule="auto"/>
              <w:rPr>
                <w:color w:val="FF0000"/>
              </w:rPr>
            </w:pPr>
            <w:r>
              <w:rPr>
                <w:color w:val="FF0000"/>
              </w:rPr>
              <w:t>70</w:t>
            </w:r>
          </w:p>
        </w:tc>
        <w:tc>
          <w:tcPr>
            <w:tcW w:w="1950" w:type="dxa"/>
            <w:vMerge w:val="continue"/>
            <w:vAlign w:val="center"/>
          </w:tcPr>
          <w:p>
            <w:pPr>
              <w:pStyle w:val="41"/>
              <w:keepNext w:val="0"/>
              <w:keepLines w:val="0"/>
              <w:pageBreakBefore w:val="0"/>
              <w:kinsoku/>
              <w:wordWrap/>
              <w:bidi w:val="0"/>
              <w:snapToGrid/>
              <w:spacing w:line="240" w:lineRule="auto"/>
              <w:rPr>
                <w:color w:val="FF0000"/>
              </w:rPr>
            </w:pPr>
          </w:p>
        </w:tc>
        <w:tc>
          <w:tcPr>
            <w:tcW w:w="1881" w:type="dxa"/>
            <w:vAlign w:val="center"/>
          </w:tcPr>
          <w:p>
            <w:pPr>
              <w:pStyle w:val="41"/>
              <w:keepNext w:val="0"/>
              <w:keepLines w:val="0"/>
              <w:pageBreakBefore w:val="0"/>
              <w:kinsoku/>
              <w:wordWrap/>
              <w:bidi w:val="0"/>
              <w:snapToGrid/>
              <w:spacing w:line="240" w:lineRule="auto"/>
              <w:rPr>
                <w:color w:val="FF0000"/>
              </w:rPr>
            </w:pPr>
            <w:r>
              <w:rPr>
                <w:color w:val="FF0000"/>
              </w:rPr>
              <w:t>1.7</w:t>
            </w: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表1.3-1</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 xml:space="preserve">  厂界无组织排放浓度限值（单位：mg/m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24"/>
        <w:gridCol w:w="3024"/>
        <w:gridCol w:w="30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b/>
                <w:color w:val="FF0000"/>
              </w:rPr>
            </w:pPr>
            <w:r>
              <w:rPr>
                <w:b/>
                <w:color w:val="FF0000"/>
              </w:rPr>
              <w:t>污染物</w:t>
            </w:r>
          </w:p>
        </w:tc>
        <w:tc>
          <w:tcPr>
            <w:tcW w:w="3024" w:type="dxa"/>
            <w:vAlign w:val="center"/>
          </w:tcPr>
          <w:p>
            <w:pPr>
              <w:pStyle w:val="41"/>
              <w:keepNext w:val="0"/>
              <w:keepLines w:val="0"/>
              <w:pageBreakBefore w:val="0"/>
              <w:kinsoku/>
              <w:wordWrap/>
              <w:bidi w:val="0"/>
              <w:snapToGrid/>
              <w:spacing w:line="240" w:lineRule="auto"/>
              <w:rPr>
                <w:b/>
                <w:color w:val="FF0000"/>
              </w:rPr>
            </w:pPr>
            <w:r>
              <w:rPr>
                <w:b/>
                <w:color w:val="FF0000"/>
              </w:rPr>
              <w:t>浓度限值</w:t>
            </w:r>
          </w:p>
        </w:tc>
        <w:tc>
          <w:tcPr>
            <w:tcW w:w="3024" w:type="dxa"/>
            <w:vAlign w:val="center"/>
          </w:tcPr>
          <w:p>
            <w:pPr>
              <w:pStyle w:val="41"/>
              <w:keepNext w:val="0"/>
              <w:keepLines w:val="0"/>
              <w:pageBreakBefore w:val="0"/>
              <w:kinsoku/>
              <w:wordWrap/>
              <w:bidi w:val="0"/>
              <w:snapToGrid/>
              <w:spacing w:line="240" w:lineRule="auto"/>
              <w:rPr>
                <w:b/>
                <w:color w:val="FF0000"/>
              </w:rPr>
            </w:pPr>
            <w:r>
              <w:rPr>
                <w:b/>
                <w:color w:val="FF0000"/>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颗粒物</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1.0</w:t>
            </w:r>
          </w:p>
        </w:tc>
        <w:tc>
          <w:tcPr>
            <w:tcW w:w="3024" w:type="dxa"/>
            <w:vMerge w:val="restart"/>
            <w:vAlign w:val="center"/>
          </w:tcPr>
          <w:p>
            <w:pPr>
              <w:pStyle w:val="41"/>
              <w:keepNext w:val="0"/>
              <w:keepLines w:val="0"/>
              <w:pageBreakBefore w:val="0"/>
              <w:kinsoku/>
              <w:wordWrap/>
              <w:bidi w:val="0"/>
              <w:snapToGrid/>
              <w:spacing w:line="240" w:lineRule="auto"/>
              <w:rPr>
                <w:color w:val="FF0000"/>
              </w:rPr>
            </w:pPr>
            <w:r>
              <w:rPr>
                <w:color w:val="FF0000"/>
              </w:rPr>
              <w:t>《大气污染物综合排放标准》</w:t>
            </w:r>
          </w:p>
          <w:p>
            <w:pPr>
              <w:pStyle w:val="41"/>
              <w:keepNext w:val="0"/>
              <w:keepLines w:val="0"/>
              <w:pageBreakBefore w:val="0"/>
              <w:kinsoku/>
              <w:wordWrap/>
              <w:bidi w:val="0"/>
              <w:snapToGrid/>
              <w:spacing w:line="240" w:lineRule="auto"/>
              <w:rPr>
                <w:color w:val="FF0000"/>
              </w:rPr>
            </w:pPr>
            <w:r>
              <w:rPr>
                <w:color w:val="FF0000"/>
              </w:rPr>
              <w:t>(GB16297-1996)二级标准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SO</w:t>
            </w:r>
            <w:r>
              <w:rPr>
                <w:color w:val="FF0000"/>
                <w:vertAlign w:val="subscript"/>
              </w:rPr>
              <w:t>2</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0.40</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NO</w:t>
            </w:r>
            <w:r>
              <w:rPr>
                <w:color w:val="FF0000"/>
                <w:vertAlign w:val="subscript"/>
              </w:rPr>
              <w:t>x</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0.12</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H</w:t>
            </w:r>
            <w:r>
              <w:rPr>
                <w:color w:val="FF0000"/>
                <w:vertAlign w:val="subscript"/>
              </w:rPr>
              <w:t>2</w:t>
            </w:r>
            <w:r>
              <w:rPr>
                <w:color w:val="FF0000"/>
              </w:rPr>
              <w:t>S</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0.01</w:t>
            </w:r>
          </w:p>
        </w:tc>
        <w:tc>
          <w:tcPr>
            <w:tcW w:w="3024" w:type="dxa"/>
            <w:vMerge w:val="restart"/>
            <w:vAlign w:val="center"/>
          </w:tcPr>
          <w:p>
            <w:pPr>
              <w:pStyle w:val="41"/>
              <w:keepNext w:val="0"/>
              <w:keepLines w:val="0"/>
              <w:pageBreakBefore w:val="0"/>
              <w:kinsoku/>
              <w:wordWrap/>
              <w:bidi w:val="0"/>
              <w:snapToGrid/>
              <w:spacing w:line="240" w:lineRule="auto"/>
              <w:rPr>
                <w:color w:val="FF0000"/>
              </w:rPr>
            </w:pPr>
            <w:r>
              <w:rPr>
                <w:color w:val="FF0000"/>
              </w:rPr>
              <w:t>《炼焦化学工业大气污染物排放标准》(GB16171-2012)表7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NH</w:t>
            </w:r>
            <w:r>
              <w:rPr>
                <w:color w:val="FF0000"/>
                <w:vertAlign w:val="subscript"/>
              </w:rPr>
              <w:t>3</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0.2</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氰化氢</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0.024</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rFonts w:hint="eastAsia" w:eastAsia="宋体"/>
                <w:color w:val="FF0000"/>
                <w:lang w:eastAsia="zh-CN"/>
              </w:rPr>
            </w:pPr>
            <w:r>
              <w:rPr>
                <w:rFonts w:hint="eastAsia"/>
                <w:color w:val="FF0000"/>
                <w:lang w:eastAsia="zh-CN"/>
              </w:rPr>
              <w:t>苯</w:t>
            </w:r>
          </w:p>
        </w:tc>
        <w:tc>
          <w:tcPr>
            <w:tcW w:w="3024" w:type="dxa"/>
            <w:vAlign w:val="center"/>
          </w:tcPr>
          <w:p>
            <w:pPr>
              <w:pStyle w:val="41"/>
              <w:keepNext w:val="0"/>
              <w:keepLines w:val="0"/>
              <w:pageBreakBefore w:val="0"/>
              <w:kinsoku/>
              <w:wordWrap/>
              <w:bidi w:val="0"/>
              <w:snapToGrid/>
              <w:spacing w:line="240" w:lineRule="auto"/>
              <w:rPr>
                <w:rFonts w:hint="default" w:eastAsia="宋体"/>
                <w:color w:val="FF0000"/>
                <w:lang w:val="en-US" w:eastAsia="zh-CN"/>
              </w:rPr>
            </w:pPr>
            <w:r>
              <w:rPr>
                <w:rFonts w:hint="eastAsia"/>
                <w:color w:val="FF0000"/>
                <w:lang w:val="en-US" w:eastAsia="zh-CN"/>
              </w:rPr>
              <w:t>0.4</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酚类</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0.02</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41"/>
              <w:keepNext w:val="0"/>
              <w:keepLines w:val="0"/>
              <w:pageBreakBefore w:val="0"/>
              <w:kinsoku/>
              <w:wordWrap/>
              <w:bidi w:val="0"/>
              <w:snapToGrid/>
              <w:spacing w:line="240" w:lineRule="auto"/>
              <w:rPr>
                <w:color w:val="FF0000"/>
              </w:rPr>
            </w:pPr>
            <w:r>
              <w:rPr>
                <w:color w:val="FF0000"/>
              </w:rPr>
              <w:t>BaP</w:t>
            </w:r>
          </w:p>
        </w:tc>
        <w:tc>
          <w:tcPr>
            <w:tcW w:w="3024" w:type="dxa"/>
            <w:vAlign w:val="center"/>
          </w:tcPr>
          <w:p>
            <w:pPr>
              <w:pStyle w:val="41"/>
              <w:keepNext w:val="0"/>
              <w:keepLines w:val="0"/>
              <w:pageBreakBefore w:val="0"/>
              <w:kinsoku/>
              <w:wordWrap/>
              <w:bidi w:val="0"/>
              <w:snapToGrid/>
              <w:spacing w:line="240" w:lineRule="auto"/>
              <w:rPr>
                <w:color w:val="FF0000"/>
              </w:rPr>
            </w:pPr>
            <w:r>
              <w:rPr>
                <w:color w:val="FF0000"/>
              </w:rPr>
              <w:t>0.01×10</w:t>
            </w:r>
            <w:r>
              <w:rPr>
                <w:color w:val="FF0000"/>
                <w:vertAlign w:val="superscript"/>
              </w:rPr>
              <w:t>-3</w:t>
            </w:r>
          </w:p>
        </w:tc>
        <w:tc>
          <w:tcPr>
            <w:tcW w:w="3024" w:type="dxa"/>
            <w:vMerge w:val="continue"/>
            <w:vAlign w:val="center"/>
          </w:tcPr>
          <w:p>
            <w:pPr>
              <w:pStyle w:val="41"/>
              <w:keepNext w:val="0"/>
              <w:keepLines w:val="0"/>
              <w:pageBreakBefore w:val="0"/>
              <w:kinsoku/>
              <w:wordWrap/>
              <w:bidi w:val="0"/>
              <w:snapToGrid/>
              <w:spacing w:line="240" w:lineRule="auto"/>
              <w:rPr>
                <w:color w:val="FF0000"/>
              </w:rPr>
            </w:pPr>
          </w:p>
        </w:tc>
      </w:tr>
    </w:tbl>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w:t>
      </w:r>
      <w:r>
        <w:rPr>
          <w:rFonts w:hint="eastAsia" w:ascii="Times New Roman" w:hAnsi="Times New Roman" w:eastAsia="宋体" w:cs="Times New Roman"/>
          <w:color w:val="FF0000"/>
          <w:sz w:val="24"/>
          <w:lang w:val="en-US" w:eastAsia="zh-CN"/>
        </w:rPr>
        <w:t>3</w:t>
      </w:r>
      <w:r>
        <w:rPr>
          <w:rFonts w:ascii="Times New Roman" w:hAnsi="Times New Roman" w:eastAsia="宋体" w:cs="Times New Roman"/>
          <w:color w:val="FF0000"/>
          <w:sz w:val="24"/>
        </w:rPr>
        <w:t>）厂区超低排放改造后大气污染物执行标准</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根据《关于推进实施钢铁行业超低排放的意见》中内容：“推动现有钢铁企业超低排放改造，到2020年底前，重点区域（包括安徽省）钢铁企业超低排放改造取得明显进展，力争60%左右产能完成改造，有序推进其他地区钢铁企业超低排放改造工作；到2025年底前，重点区域钢铁企业超低排放改造基本完成，全国力争80%以上产能完成改造”。</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本次评价中提出芜湖新兴铸管需在2020年底前，完成厂区超低排放改造，改造后大气污染物排放执行相应超低排放标准要求。</w:t>
      </w:r>
    </w:p>
    <w:p>
      <w:pPr>
        <w:pStyle w:val="2"/>
        <w:keepNext w:val="0"/>
        <w:keepLines w:val="0"/>
        <w:pageBreakBefore w:val="0"/>
        <w:kinsoku/>
        <w:wordWrap/>
        <w:bidi w:val="0"/>
        <w:snapToGrid/>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表1.3-1</w:t>
      </w:r>
      <w:r>
        <w:rPr>
          <w:rFonts w:hint="eastAsia" w:ascii="Times New Roman" w:hAnsi="Times New Roman" w:eastAsia="黑体" w:cs="Times New Roman"/>
          <w:color w:val="FF0000"/>
          <w:sz w:val="24"/>
          <w:lang w:val="en-US" w:eastAsia="zh-CN"/>
        </w:rPr>
        <w:t>8</w:t>
      </w:r>
      <w:r>
        <w:rPr>
          <w:rFonts w:ascii="Times New Roman" w:hAnsi="Times New Roman" w:eastAsia="黑体" w:cs="Times New Roman"/>
          <w:color w:val="FF0000"/>
          <w:sz w:val="24"/>
        </w:rPr>
        <w:t xml:space="preserve">  厂区改造后大气污染物排放浓度限值（单位：mg/m</w:t>
      </w:r>
      <w:r>
        <w:rPr>
          <w:rFonts w:ascii="Times New Roman" w:hAnsi="Times New Roman" w:eastAsia="黑体" w:cs="Times New Roman"/>
          <w:color w:val="FF0000"/>
          <w:sz w:val="24"/>
          <w:vertAlign w:val="superscript"/>
        </w:rPr>
        <w:t>3</w:t>
      </w:r>
      <w:r>
        <w:rPr>
          <w:rFonts w:ascii="Times New Roman" w:hAnsi="Times New Roman" w:eastAsia="黑体" w:cs="Times New Roman"/>
          <w:color w:val="FF0000"/>
          <w:sz w:val="24"/>
        </w:rPr>
        <w:t>）</w:t>
      </w:r>
    </w:p>
    <w:tbl>
      <w:tblPr>
        <w:tblStyle w:val="21"/>
        <w:tblW w:w="907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1408"/>
        <w:gridCol w:w="3036"/>
        <w:gridCol w:w="1379"/>
        <w:gridCol w:w="962"/>
        <w:gridCol w:w="1074"/>
        <w:gridCol w:w="121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397" w:hRule="atLeast"/>
          <w:jc w:val="center"/>
        </w:trPr>
        <w:tc>
          <w:tcPr>
            <w:tcW w:w="1408" w:type="dxa"/>
            <w:vMerge w:val="restart"/>
            <w:tcBorders>
              <w:tl2br w:val="nil"/>
              <w:tr2bl w:val="nil"/>
            </w:tcBorders>
            <w:tcMar>
              <w:top w:w="0" w:type="dxa"/>
              <w:left w:w="108" w:type="dxa"/>
              <w:bottom w:w="0" w:type="dxa"/>
              <w:right w:w="10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b/>
                <w:bCs/>
                <w:color w:val="FF0000"/>
                <w:kern w:val="0"/>
                <w:szCs w:val="21"/>
              </w:rPr>
              <w:t>生产工序</w:t>
            </w:r>
          </w:p>
        </w:tc>
        <w:tc>
          <w:tcPr>
            <w:tcW w:w="3036" w:type="dxa"/>
            <w:vMerge w:val="restart"/>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b/>
                <w:bCs/>
                <w:color w:val="FF0000"/>
                <w:kern w:val="0"/>
                <w:szCs w:val="21"/>
              </w:rPr>
              <w:t>生产设施</w:t>
            </w:r>
          </w:p>
        </w:tc>
        <w:tc>
          <w:tcPr>
            <w:tcW w:w="1379" w:type="dxa"/>
            <w:vMerge w:val="restart"/>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b/>
                <w:bCs/>
                <w:color w:val="FF0000"/>
                <w:kern w:val="0"/>
                <w:szCs w:val="21"/>
              </w:rPr>
              <w:t>基准含氧量（%）</w:t>
            </w:r>
          </w:p>
        </w:tc>
        <w:tc>
          <w:tcPr>
            <w:tcW w:w="3248" w:type="dxa"/>
            <w:gridSpan w:val="3"/>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b/>
                <w:bCs/>
                <w:color w:val="FF0000"/>
                <w:kern w:val="0"/>
                <w:szCs w:val="21"/>
              </w:rPr>
              <w:t>污染物项目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397" w:hRule="atLeast"/>
          <w:jc w:val="center"/>
        </w:trPr>
        <w:tc>
          <w:tcPr>
            <w:tcW w:w="1408"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color w:val="FF0000"/>
                <w:kern w:val="0"/>
                <w:szCs w:val="21"/>
              </w:rPr>
            </w:pPr>
          </w:p>
        </w:tc>
        <w:tc>
          <w:tcPr>
            <w:tcW w:w="303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color w:val="FF0000"/>
                <w:kern w:val="0"/>
                <w:szCs w:val="21"/>
              </w:rPr>
            </w:pPr>
          </w:p>
        </w:tc>
        <w:tc>
          <w:tcPr>
            <w:tcW w:w="1379"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color w:val="FF0000"/>
                <w:kern w:val="0"/>
                <w:szCs w:val="21"/>
              </w:rPr>
            </w:pP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b/>
                <w:bCs/>
                <w:color w:val="FF0000"/>
                <w:kern w:val="0"/>
                <w:szCs w:val="21"/>
              </w:rPr>
              <w:t>颗粒物</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b/>
                <w:bCs/>
                <w:color w:val="FF0000"/>
                <w:kern w:val="0"/>
                <w:szCs w:val="21"/>
              </w:rPr>
              <w:t>二氧化硫</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b/>
                <w:bCs/>
                <w:color w:val="FF0000"/>
                <w:kern w:val="0"/>
                <w:szCs w:val="21"/>
              </w:rPr>
              <w:t>氮氧化物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restart"/>
            <w:tcBorders>
              <w:tl2br w:val="nil"/>
              <w:tr2bl w:val="nil"/>
            </w:tcBorders>
            <w:tcMar>
              <w:top w:w="0" w:type="dxa"/>
              <w:left w:w="108" w:type="dxa"/>
              <w:bottom w:w="0" w:type="dxa"/>
              <w:right w:w="10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烧结</w:t>
            </w:r>
          </w:p>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（球团）</w:t>
            </w: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烧结机机头</w:t>
            </w:r>
          </w:p>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球团竖炉</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16</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35</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color w:val="FF0000"/>
                <w:kern w:val="0"/>
                <w:szCs w:val="21"/>
              </w:rPr>
            </w:pP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链篦机回转窑</w:t>
            </w:r>
          </w:p>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带式球团焙烧机</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18</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35</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color w:val="FF0000"/>
                <w:kern w:val="0"/>
                <w:szCs w:val="21"/>
              </w:rPr>
            </w:pP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烧结机机尾</w:t>
            </w:r>
          </w:p>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其他生产设备</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restart"/>
            <w:tcBorders>
              <w:tl2br w:val="nil"/>
              <w:tr2bl w:val="nil"/>
            </w:tcBorders>
            <w:tcMar>
              <w:top w:w="0" w:type="dxa"/>
              <w:left w:w="108" w:type="dxa"/>
              <w:bottom w:w="0" w:type="dxa"/>
              <w:right w:w="10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炼焦</w:t>
            </w: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焦炉烟囱</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8</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30</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color w:val="FF0000"/>
                <w:kern w:val="0"/>
                <w:szCs w:val="21"/>
              </w:rPr>
            </w:pP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装煤、推焦</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hint="eastAsia" w:ascii="Times New Roman" w:hAnsi="Times New Roman" w:eastAsia="宋体" w:cs="Times New Roman"/>
                <w:color w:val="FF0000"/>
                <w:kern w:val="0"/>
                <w:szCs w:val="21"/>
                <w:lang w:eastAsia="zh-CN"/>
              </w:rPr>
            </w:pPr>
            <w:r>
              <w:rPr>
                <w:rFonts w:ascii="Times New Roman" w:hAnsi="Times New Roman" w:eastAsia="宋体" w:cs="Times New Roman"/>
                <w:color w:val="FF0000"/>
                <w:kern w:val="0"/>
                <w:szCs w:val="21"/>
              </w:rPr>
              <w:t>—</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color w:val="FF0000"/>
                <w:kern w:val="0"/>
                <w:szCs w:val="21"/>
              </w:rPr>
            </w:pP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干法熄焦</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50</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restart"/>
            <w:tcBorders>
              <w:tl2br w:val="nil"/>
              <w:tr2bl w:val="nil"/>
            </w:tcBorders>
            <w:tcMar>
              <w:top w:w="0" w:type="dxa"/>
              <w:left w:w="108" w:type="dxa"/>
              <w:bottom w:w="0" w:type="dxa"/>
              <w:right w:w="10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炼铁</w:t>
            </w: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热风炉</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50</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color w:val="FF0000"/>
                <w:kern w:val="0"/>
                <w:szCs w:val="21"/>
              </w:rPr>
            </w:pP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高炉出铁场、高炉矿槽</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tcBorders>
              <w:tl2br w:val="nil"/>
              <w:tr2bl w:val="nil"/>
            </w:tcBorders>
            <w:tcMar>
              <w:top w:w="0" w:type="dxa"/>
              <w:left w:w="108" w:type="dxa"/>
              <w:bottom w:w="0" w:type="dxa"/>
              <w:right w:w="10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炼钢</w:t>
            </w: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铁水预处理、转炉（二次烟气）、电炉、石灰窑、白云石窑</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tcBorders>
              <w:tl2br w:val="nil"/>
              <w:tr2bl w:val="nil"/>
            </w:tcBorders>
            <w:tcMar>
              <w:top w:w="0" w:type="dxa"/>
              <w:left w:w="108" w:type="dxa"/>
              <w:bottom w:w="0" w:type="dxa"/>
              <w:right w:w="10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轧钢</w:t>
            </w: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热处理炉</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8</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50</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restart"/>
            <w:tcBorders>
              <w:tl2br w:val="nil"/>
              <w:tr2bl w:val="nil"/>
            </w:tcBorders>
            <w:tcMar>
              <w:top w:w="0" w:type="dxa"/>
              <w:left w:w="108" w:type="dxa"/>
              <w:bottom w:w="0" w:type="dxa"/>
              <w:right w:w="10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自备电厂</w:t>
            </w: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燃气锅炉</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35</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90" w:hRule="atLeast"/>
          <w:jc w:val="center"/>
        </w:trPr>
        <w:tc>
          <w:tcPr>
            <w:tcW w:w="1408"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color w:val="FF0000"/>
                <w:kern w:val="0"/>
                <w:szCs w:val="21"/>
              </w:rPr>
            </w:pPr>
          </w:p>
        </w:tc>
        <w:tc>
          <w:tcPr>
            <w:tcW w:w="3036"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燃气轮机组</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w:t>
            </w:r>
          </w:p>
        </w:tc>
        <w:tc>
          <w:tcPr>
            <w:tcW w:w="96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w:t>
            </w:r>
          </w:p>
        </w:tc>
        <w:tc>
          <w:tcPr>
            <w:tcW w:w="1074"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35</w:t>
            </w:r>
          </w:p>
        </w:tc>
        <w:tc>
          <w:tcPr>
            <w:tcW w:w="1212" w:type="dxa"/>
            <w:tcBorders>
              <w:tl2br w:val="nil"/>
              <w:tr2bl w:val="nil"/>
            </w:tcBorders>
            <w:tcMar>
              <w:top w:w="0" w:type="dxa"/>
              <w:left w:w="28" w:type="dxa"/>
              <w:bottom w:w="0" w:type="dxa"/>
              <w:right w:w="28" w:type="dxa"/>
            </w:tcMar>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50</w:t>
            </w:r>
          </w:p>
        </w:tc>
      </w:tr>
    </w:tbl>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1.3.3.2废水污染物排放标准</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厂区产生的生产废水、生活污水经处理后全部回用于生产系统，不外排。</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1.3.3.3噪声排放标准</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项目厂界噪声执行《工业企业厂界环境噪声排放标准》（GB12348-2008）3类标准，具体见表1.3-1</w:t>
      </w:r>
      <w:r>
        <w:rPr>
          <w:rFonts w:hint="eastAsia" w:ascii="Times New Roman" w:hAnsi="Times New Roman" w:eastAsia="宋体" w:cs="Times New Roman"/>
          <w:sz w:val="24"/>
          <w:lang w:val="en-US" w:eastAsia="zh-CN"/>
        </w:rPr>
        <w:t>9</w:t>
      </w:r>
      <w:r>
        <w:rPr>
          <w:rFonts w:ascii="Times New Roman" w:hAnsi="Times New Roman" w:eastAsia="宋体" w:cs="Times New Roman"/>
          <w:sz w:val="24"/>
        </w:rPr>
        <w:t>。</w:t>
      </w:r>
    </w:p>
    <w:p>
      <w:pPr>
        <w:pStyle w:val="31"/>
        <w:keepNext w:val="0"/>
        <w:keepLines w:val="0"/>
        <w:pageBreakBefore w:val="0"/>
        <w:kinsoku/>
        <w:wordWrap/>
        <w:bidi w:val="0"/>
        <w:snapToGrid/>
        <w:spacing w:line="360" w:lineRule="auto"/>
        <w:rPr>
          <w:rFonts w:cs="Times New Roman"/>
        </w:rPr>
      </w:pPr>
      <w:r>
        <w:rPr>
          <w:rFonts w:cs="Times New Roman"/>
        </w:rPr>
        <w:t>表1.3-1</w:t>
      </w:r>
      <w:r>
        <w:rPr>
          <w:rFonts w:hint="eastAsia" w:cs="Times New Roman"/>
          <w:lang w:val="en-US" w:eastAsia="zh-CN"/>
        </w:rPr>
        <w:t>9</w:t>
      </w:r>
      <w:r>
        <w:rPr>
          <w:rFonts w:cs="Times New Roman"/>
        </w:rPr>
        <w:t xml:space="preserve">  噪声排放执行标准</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899"/>
        <w:gridCol w:w="1899"/>
        <w:gridCol w:w="2638"/>
        <w:gridCol w:w="2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3798" w:type="dxa"/>
            <w:gridSpan w:val="2"/>
            <w:vAlign w:val="center"/>
          </w:tcPr>
          <w:p>
            <w:pPr>
              <w:pStyle w:val="35"/>
              <w:keepNext w:val="0"/>
              <w:keepLines w:val="0"/>
              <w:pageBreakBefore w:val="0"/>
              <w:kinsoku/>
              <w:wordWrap/>
              <w:bidi w:val="0"/>
              <w:snapToGrid/>
              <w:rPr>
                <w:rFonts w:cs="Times New Roman"/>
                <w:b/>
              </w:rPr>
            </w:pPr>
            <w:r>
              <w:rPr>
                <w:rFonts w:cs="Times New Roman"/>
                <w:b/>
              </w:rPr>
              <w:t>类别</w:t>
            </w:r>
          </w:p>
        </w:tc>
        <w:tc>
          <w:tcPr>
            <w:tcW w:w="2638" w:type="dxa"/>
            <w:vAlign w:val="center"/>
          </w:tcPr>
          <w:p>
            <w:pPr>
              <w:pStyle w:val="35"/>
              <w:keepNext w:val="0"/>
              <w:keepLines w:val="0"/>
              <w:pageBreakBefore w:val="0"/>
              <w:kinsoku/>
              <w:wordWrap/>
              <w:bidi w:val="0"/>
              <w:snapToGrid/>
              <w:rPr>
                <w:rFonts w:cs="Times New Roman"/>
                <w:b/>
              </w:rPr>
            </w:pPr>
            <w:r>
              <w:rPr>
                <w:rFonts w:cs="Times New Roman"/>
                <w:b/>
              </w:rPr>
              <w:t>昼间dB（A）</w:t>
            </w:r>
          </w:p>
        </w:tc>
        <w:tc>
          <w:tcPr>
            <w:tcW w:w="2636" w:type="dxa"/>
            <w:vAlign w:val="center"/>
          </w:tcPr>
          <w:p>
            <w:pPr>
              <w:pStyle w:val="35"/>
              <w:keepNext w:val="0"/>
              <w:keepLines w:val="0"/>
              <w:pageBreakBefore w:val="0"/>
              <w:kinsoku/>
              <w:wordWrap/>
              <w:bidi w:val="0"/>
              <w:snapToGrid/>
              <w:rPr>
                <w:rFonts w:cs="Times New Roman"/>
                <w:b/>
              </w:rPr>
            </w:pPr>
            <w:r>
              <w:rPr>
                <w:rFonts w:cs="Times New Roman"/>
                <w:b/>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3798" w:type="dxa"/>
            <w:gridSpan w:val="2"/>
            <w:vAlign w:val="center"/>
          </w:tcPr>
          <w:p>
            <w:pPr>
              <w:pStyle w:val="35"/>
              <w:keepNext w:val="0"/>
              <w:keepLines w:val="0"/>
              <w:pageBreakBefore w:val="0"/>
              <w:kinsoku/>
              <w:wordWrap/>
              <w:bidi w:val="0"/>
              <w:snapToGrid/>
              <w:rPr>
                <w:rFonts w:cs="Times New Roman"/>
              </w:rPr>
            </w:pPr>
            <w:r>
              <w:rPr>
                <w:rFonts w:cs="Times New Roman"/>
              </w:rPr>
              <w:t>3类标准</w:t>
            </w:r>
          </w:p>
        </w:tc>
        <w:tc>
          <w:tcPr>
            <w:tcW w:w="2638" w:type="dxa"/>
            <w:vAlign w:val="center"/>
          </w:tcPr>
          <w:p>
            <w:pPr>
              <w:pStyle w:val="35"/>
              <w:keepNext w:val="0"/>
              <w:keepLines w:val="0"/>
              <w:pageBreakBefore w:val="0"/>
              <w:kinsoku/>
              <w:wordWrap/>
              <w:bidi w:val="0"/>
              <w:snapToGrid/>
              <w:rPr>
                <w:rFonts w:cs="Times New Roman"/>
              </w:rPr>
            </w:pPr>
            <w:r>
              <w:rPr>
                <w:rFonts w:cs="Times New Roman"/>
              </w:rPr>
              <w:t>65</w:t>
            </w:r>
          </w:p>
        </w:tc>
        <w:tc>
          <w:tcPr>
            <w:tcW w:w="2636" w:type="dxa"/>
            <w:vAlign w:val="center"/>
          </w:tcPr>
          <w:p>
            <w:pPr>
              <w:pStyle w:val="35"/>
              <w:keepNext w:val="0"/>
              <w:keepLines w:val="0"/>
              <w:pageBreakBefore w:val="0"/>
              <w:kinsoku/>
              <w:wordWrap/>
              <w:bidi w:val="0"/>
              <w:snapToGrid/>
              <w:rPr>
                <w:rFonts w:cs="Times New Roman"/>
              </w:rPr>
            </w:pPr>
            <w:r>
              <w:rPr>
                <w:rFonts w:cs="Times New Roma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1899" w:type="dxa"/>
            <w:vAlign w:val="center"/>
          </w:tcPr>
          <w:p>
            <w:pPr>
              <w:pStyle w:val="35"/>
              <w:keepNext w:val="0"/>
              <w:keepLines w:val="0"/>
              <w:pageBreakBefore w:val="0"/>
              <w:kinsoku/>
              <w:wordWrap/>
              <w:bidi w:val="0"/>
              <w:snapToGrid/>
              <w:rPr>
                <w:rFonts w:cs="Times New Roman"/>
              </w:rPr>
            </w:pPr>
            <w:r>
              <w:rPr>
                <w:rFonts w:cs="Times New Roman"/>
              </w:rPr>
              <w:t>标准来源</w:t>
            </w:r>
          </w:p>
        </w:tc>
        <w:tc>
          <w:tcPr>
            <w:tcW w:w="7173" w:type="dxa"/>
            <w:gridSpan w:val="3"/>
            <w:vAlign w:val="center"/>
          </w:tcPr>
          <w:p>
            <w:pPr>
              <w:pStyle w:val="35"/>
              <w:keepNext w:val="0"/>
              <w:keepLines w:val="0"/>
              <w:pageBreakBefore w:val="0"/>
              <w:kinsoku/>
              <w:wordWrap/>
              <w:bidi w:val="0"/>
              <w:snapToGrid/>
              <w:rPr>
                <w:rFonts w:cs="Times New Roman"/>
              </w:rPr>
            </w:pPr>
            <w:r>
              <w:rPr>
                <w:rFonts w:cs="Times New Roman"/>
              </w:rPr>
              <w:t>《工业企业厂界环境噪声排放标准》（GB12348-2008）</w:t>
            </w:r>
          </w:p>
        </w:tc>
      </w:tr>
    </w:tbl>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1.3.3.4固体废物排放标准</w:t>
      </w:r>
    </w:p>
    <w:p>
      <w:pPr>
        <w:keepNext w:val="0"/>
        <w:keepLines w:val="0"/>
        <w:pageBreakBefore w:val="0"/>
        <w:kinsoku/>
        <w:wordWrap/>
        <w:bidi w:val="0"/>
        <w:snapToGrid/>
        <w:spacing w:line="360" w:lineRule="auto"/>
        <w:ind w:firstLine="482"/>
        <w:rPr>
          <w:rFonts w:ascii="Times New Roman" w:hAnsi="Times New Roman" w:eastAsia="宋体" w:cs="Times New Roman"/>
          <w:sz w:val="24"/>
          <w:szCs w:val="24"/>
        </w:rPr>
      </w:pPr>
      <w:r>
        <w:rPr>
          <w:rFonts w:ascii="Times New Roman" w:hAnsi="Times New Roman" w:eastAsia="宋体" w:cs="Times New Roman"/>
          <w:sz w:val="24"/>
          <w:szCs w:val="24"/>
        </w:rPr>
        <w:t>一般工业固体废物和危险固废的暂存及污染控制分别按《一般工业固体废物贮存、处置场污染控制标准》（GB18599-2001）、《危险废物贮存污染控制标准》（GB18597-2001）及《关于发布&lt;一般工业固体废物贮存、处置场污染控制标准&gt;（GB18599-2001）等3项国家污染物控制标准修改单的公告》（环保部公告2013年第36号）进行暂存、控制。</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1.4评价范围及重点保护目标</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1.4.1评价范围</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根据项目污染物排放特点及当地气象条件、自然环境状况，结合各导则的要求，确定各环境要素评价范围见表1.4-1。</w:t>
      </w:r>
    </w:p>
    <w:p>
      <w:pPr>
        <w:pStyle w:val="31"/>
        <w:keepNext w:val="0"/>
        <w:keepLines w:val="0"/>
        <w:pageBreakBefore w:val="0"/>
        <w:kinsoku/>
        <w:wordWrap/>
        <w:bidi w:val="0"/>
        <w:snapToGrid/>
        <w:spacing w:line="360" w:lineRule="auto"/>
        <w:rPr>
          <w:rFonts w:cs="Times New Roman"/>
        </w:rPr>
      </w:pPr>
      <w:r>
        <w:rPr>
          <w:rFonts w:cs="Times New Roman"/>
        </w:rPr>
        <w:t>表1.4-1  环境影响评价范围表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69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blHeader/>
          <w:jc w:val="center"/>
        </w:trPr>
        <w:tc>
          <w:tcPr>
            <w:tcW w:w="2127" w:type="dxa"/>
            <w:vAlign w:val="center"/>
          </w:tcPr>
          <w:p>
            <w:pPr>
              <w:pStyle w:val="35"/>
              <w:keepNext w:val="0"/>
              <w:keepLines w:val="0"/>
              <w:pageBreakBefore w:val="0"/>
              <w:kinsoku/>
              <w:wordWrap/>
              <w:bidi w:val="0"/>
              <w:snapToGrid/>
              <w:spacing w:line="240" w:lineRule="auto"/>
              <w:rPr>
                <w:rFonts w:cs="Times New Roman"/>
                <w:b/>
              </w:rPr>
            </w:pPr>
            <w:r>
              <w:rPr>
                <w:rFonts w:cs="Times New Roman"/>
                <w:b/>
              </w:rPr>
              <w:t>评价内容</w:t>
            </w:r>
          </w:p>
        </w:tc>
        <w:tc>
          <w:tcPr>
            <w:tcW w:w="6945" w:type="dxa"/>
            <w:vAlign w:val="center"/>
          </w:tcPr>
          <w:p>
            <w:pPr>
              <w:pStyle w:val="35"/>
              <w:keepNext w:val="0"/>
              <w:keepLines w:val="0"/>
              <w:pageBreakBefore w:val="0"/>
              <w:kinsoku/>
              <w:wordWrap/>
              <w:bidi w:val="0"/>
              <w:snapToGrid/>
              <w:spacing w:line="240" w:lineRule="auto"/>
              <w:rPr>
                <w:rFonts w:cs="Times New Roman"/>
                <w:b/>
              </w:rPr>
            </w:pPr>
            <w:r>
              <w:rPr>
                <w:rFonts w:cs="Times New Roman"/>
                <w:b/>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127" w:type="dxa"/>
            <w:vAlign w:val="center"/>
          </w:tcPr>
          <w:p>
            <w:pPr>
              <w:pStyle w:val="35"/>
              <w:keepNext w:val="0"/>
              <w:keepLines w:val="0"/>
              <w:pageBreakBefore w:val="0"/>
              <w:kinsoku/>
              <w:wordWrap/>
              <w:bidi w:val="0"/>
              <w:snapToGrid/>
              <w:spacing w:line="240" w:lineRule="auto"/>
              <w:rPr>
                <w:rFonts w:cs="Times New Roman"/>
              </w:rPr>
            </w:pPr>
            <w:r>
              <w:rPr>
                <w:rFonts w:cs="Times New Roman"/>
              </w:rPr>
              <w:t>大气环境影响评价</w:t>
            </w:r>
          </w:p>
        </w:tc>
        <w:tc>
          <w:tcPr>
            <w:tcW w:w="6945" w:type="dxa"/>
            <w:vAlign w:val="center"/>
          </w:tcPr>
          <w:p>
            <w:pPr>
              <w:keepNext w:val="0"/>
              <w:keepLines w:val="0"/>
              <w:pageBreakBefore w:val="0"/>
              <w:widowControl/>
              <w:kinsoku/>
              <w:wordWrap/>
              <w:bidi w:val="0"/>
              <w:snapToGrid/>
              <w:jc w:val="center"/>
              <w:rPr>
                <w:rFonts w:ascii="Times New Roman" w:hAnsi="Times New Roman" w:eastAsia="宋体" w:cs="Times New Roman"/>
              </w:rPr>
            </w:pPr>
            <w:r>
              <w:rPr>
                <w:rFonts w:ascii="Times New Roman" w:hAnsi="Times New Roman" w:eastAsia="宋体" w:cs="Times New Roman"/>
              </w:rPr>
              <w:t>以项目厂址为中心区域，厂界外27km×27km的矩形区域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127" w:type="dxa"/>
            <w:vAlign w:val="center"/>
          </w:tcPr>
          <w:p>
            <w:pPr>
              <w:pStyle w:val="35"/>
              <w:keepNext w:val="0"/>
              <w:keepLines w:val="0"/>
              <w:pageBreakBefore w:val="0"/>
              <w:kinsoku/>
              <w:wordWrap/>
              <w:bidi w:val="0"/>
              <w:snapToGrid/>
              <w:spacing w:line="240" w:lineRule="auto"/>
              <w:rPr>
                <w:rFonts w:cs="Times New Roman"/>
              </w:rPr>
            </w:pPr>
            <w:r>
              <w:rPr>
                <w:rFonts w:cs="Times New Roman"/>
              </w:rPr>
              <w:t>地表水环境影响评价</w:t>
            </w:r>
          </w:p>
        </w:tc>
        <w:tc>
          <w:tcPr>
            <w:tcW w:w="6945" w:type="dxa"/>
            <w:vAlign w:val="center"/>
          </w:tcPr>
          <w:p>
            <w:pPr>
              <w:keepNext w:val="0"/>
              <w:keepLines w:val="0"/>
              <w:pageBreakBefore w:val="0"/>
              <w:widowControl/>
              <w:kinsoku/>
              <w:wordWrap/>
              <w:bidi w:val="0"/>
              <w:snapToGrid/>
              <w:jc w:val="center"/>
              <w:rPr>
                <w:rFonts w:ascii="Times New Roman" w:hAnsi="Times New Roman" w:eastAsia="宋体" w:cs="Times New Roman"/>
              </w:rPr>
            </w:pPr>
            <w:r>
              <w:rPr>
                <w:rFonts w:ascii="Times New Roman" w:hAnsi="Times New Roman" w:eastAsia="宋体" w:cs="Times New Roman"/>
              </w:rPr>
              <w:t>地表水环境风险范围内涉及到的水环境保护目标水域，包括评价范围内的长江（芜湖段）、大龙窝（湖泊）、小江（河流）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127" w:type="dxa"/>
            <w:vAlign w:val="center"/>
          </w:tcPr>
          <w:p>
            <w:pPr>
              <w:pStyle w:val="35"/>
              <w:keepNext w:val="0"/>
              <w:keepLines w:val="0"/>
              <w:pageBreakBefore w:val="0"/>
              <w:kinsoku/>
              <w:wordWrap/>
              <w:bidi w:val="0"/>
              <w:snapToGrid/>
              <w:spacing w:line="240" w:lineRule="auto"/>
              <w:rPr>
                <w:rFonts w:cs="Times New Roman"/>
              </w:rPr>
            </w:pPr>
            <w:r>
              <w:rPr>
                <w:rFonts w:cs="Times New Roman"/>
              </w:rPr>
              <w:t>噪声环境影响评价</w:t>
            </w:r>
          </w:p>
        </w:tc>
        <w:tc>
          <w:tcPr>
            <w:tcW w:w="6945" w:type="dxa"/>
            <w:vAlign w:val="center"/>
          </w:tcPr>
          <w:p>
            <w:pPr>
              <w:keepNext w:val="0"/>
              <w:keepLines w:val="0"/>
              <w:pageBreakBefore w:val="0"/>
              <w:widowControl/>
              <w:kinsoku/>
              <w:wordWrap/>
              <w:bidi w:val="0"/>
              <w:snapToGrid/>
              <w:jc w:val="center"/>
              <w:rPr>
                <w:rFonts w:ascii="Times New Roman" w:hAnsi="Times New Roman" w:eastAsia="宋体" w:cs="Times New Roman"/>
              </w:rPr>
            </w:pPr>
            <w:r>
              <w:rPr>
                <w:rFonts w:ascii="Times New Roman" w:hAnsi="Times New Roman" w:eastAsia="宋体" w:cs="Times New Roman"/>
              </w:rPr>
              <w:t>厂界外0.2km范围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127" w:type="dxa"/>
            <w:vAlign w:val="center"/>
          </w:tcPr>
          <w:p>
            <w:pPr>
              <w:pStyle w:val="35"/>
              <w:keepNext w:val="0"/>
              <w:keepLines w:val="0"/>
              <w:pageBreakBefore w:val="0"/>
              <w:kinsoku/>
              <w:wordWrap/>
              <w:bidi w:val="0"/>
              <w:snapToGrid/>
              <w:spacing w:line="240" w:lineRule="auto"/>
              <w:rPr>
                <w:rFonts w:cs="Times New Roman"/>
              </w:rPr>
            </w:pPr>
            <w:r>
              <w:rPr>
                <w:rFonts w:cs="Times New Roman"/>
              </w:rPr>
              <w:t>地下水环境影响评价</w:t>
            </w:r>
          </w:p>
        </w:tc>
        <w:tc>
          <w:tcPr>
            <w:tcW w:w="6945" w:type="dxa"/>
            <w:vAlign w:val="center"/>
          </w:tcPr>
          <w:p>
            <w:pPr>
              <w:keepNext w:val="0"/>
              <w:keepLines w:val="0"/>
              <w:pageBreakBefore w:val="0"/>
              <w:widowControl/>
              <w:kinsoku/>
              <w:wordWrap/>
              <w:bidi w:val="0"/>
              <w:snapToGrid/>
              <w:jc w:val="center"/>
              <w:rPr>
                <w:rFonts w:ascii="Times New Roman" w:hAnsi="Times New Roman" w:eastAsia="宋体" w:cs="Times New Roman"/>
              </w:rPr>
            </w:pPr>
            <w:r>
              <w:rPr>
                <w:rFonts w:ascii="Times New Roman" w:hAnsi="Times New Roman" w:eastAsia="宋体" w:cs="Times New Roman"/>
              </w:rPr>
              <w:t>小江—洋灯浃—长江段水域围绕的区域，评价区面积35.5km</w:t>
            </w:r>
            <w:r>
              <w:rPr>
                <w:rFonts w:ascii="Times New Roman" w:hAnsi="Times New Roman" w:eastAsia="宋体" w:cs="Times New Roman"/>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127" w:type="dxa"/>
            <w:vAlign w:val="center"/>
          </w:tcPr>
          <w:p>
            <w:pPr>
              <w:pStyle w:val="35"/>
              <w:keepNext w:val="0"/>
              <w:keepLines w:val="0"/>
              <w:pageBreakBefore w:val="0"/>
              <w:kinsoku/>
              <w:wordWrap/>
              <w:bidi w:val="0"/>
              <w:snapToGrid/>
              <w:spacing w:line="240" w:lineRule="auto"/>
              <w:rPr>
                <w:rFonts w:cs="Times New Roman"/>
              </w:rPr>
            </w:pPr>
            <w:r>
              <w:rPr>
                <w:rFonts w:cs="Times New Roman"/>
              </w:rPr>
              <w:t>生态环境影响评价</w:t>
            </w:r>
          </w:p>
        </w:tc>
        <w:tc>
          <w:tcPr>
            <w:tcW w:w="6945" w:type="dxa"/>
            <w:vAlign w:val="center"/>
          </w:tcPr>
          <w:p>
            <w:pPr>
              <w:keepNext w:val="0"/>
              <w:keepLines w:val="0"/>
              <w:pageBreakBefore w:val="0"/>
              <w:widowControl/>
              <w:kinsoku/>
              <w:wordWrap/>
              <w:bidi w:val="0"/>
              <w:snapToGrid/>
              <w:jc w:val="center"/>
              <w:rPr>
                <w:rFonts w:ascii="Times New Roman" w:hAnsi="Times New Roman" w:eastAsia="宋体" w:cs="Times New Roman"/>
                <w:highlight w:val="yellow"/>
              </w:rPr>
            </w:pPr>
            <w:r>
              <w:rPr>
                <w:rFonts w:ascii="Times New Roman" w:hAnsi="Times New Roman" w:eastAsia="宋体" w:cs="Times New Roman"/>
              </w:rPr>
              <w:t>芜湖新兴铸管厂界内，面积约1.37km</w:t>
            </w:r>
            <w:r>
              <w:rPr>
                <w:rFonts w:ascii="Times New Roman" w:hAnsi="Times New Roman" w:eastAsia="宋体" w:cs="Times New Roman"/>
                <w:vertAlign w:val="superscript"/>
              </w:rPr>
              <w:t>2</w:t>
            </w:r>
            <w:r>
              <w:rPr>
                <w:rFonts w:ascii="Times New Roman" w:hAnsi="Times New Roman" w:eastAsia="宋体" w:cs="Times New Roman"/>
              </w:rPr>
              <w:t>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127" w:type="dxa"/>
            <w:vAlign w:val="center"/>
          </w:tcPr>
          <w:p>
            <w:pPr>
              <w:pStyle w:val="35"/>
              <w:keepNext w:val="0"/>
              <w:keepLines w:val="0"/>
              <w:pageBreakBefore w:val="0"/>
              <w:kinsoku/>
              <w:wordWrap/>
              <w:bidi w:val="0"/>
              <w:snapToGrid/>
              <w:spacing w:line="240" w:lineRule="auto"/>
              <w:rPr>
                <w:rFonts w:cs="Times New Roman"/>
              </w:rPr>
            </w:pPr>
            <w:r>
              <w:rPr>
                <w:rFonts w:cs="Times New Roman"/>
              </w:rPr>
              <w:t>风险评价</w:t>
            </w:r>
          </w:p>
        </w:tc>
        <w:tc>
          <w:tcPr>
            <w:tcW w:w="6945" w:type="dxa"/>
            <w:vAlign w:val="center"/>
          </w:tcPr>
          <w:p>
            <w:pPr>
              <w:keepNext w:val="0"/>
              <w:keepLines w:val="0"/>
              <w:pageBreakBefore w:val="0"/>
              <w:widowControl/>
              <w:kinsoku/>
              <w:wordWrap/>
              <w:bidi w:val="0"/>
              <w:snapToGrid/>
              <w:jc w:val="center"/>
              <w:rPr>
                <w:rFonts w:ascii="Times New Roman" w:hAnsi="Times New Roman" w:eastAsia="宋体" w:cs="Times New Roman"/>
              </w:rPr>
            </w:pPr>
            <w:r>
              <w:rPr>
                <w:rFonts w:ascii="Times New Roman" w:hAnsi="Times New Roman" w:eastAsia="宋体" w:cs="Times New Roman"/>
              </w:rPr>
              <w:t xml:space="preserve">大气环境风险评价范围定为距建设项目边界5km的矩形区域 </w:t>
            </w:r>
          </w:p>
          <w:p>
            <w:pPr>
              <w:keepNext w:val="0"/>
              <w:keepLines w:val="0"/>
              <w:pageBreakBefore w:val="0"/>
              <w:kinsoku/>
              <w:wordWrap/>
              <w:bidi w:val="0"/>
              <w:snapToGrid/>
              <w:jc w:val="center"/>
              <w:rPr>
                <w:rFonts w:ascii="Times New Roman" w:hAnsi="Times New Roman" w:eastAsia="宋体" w:cs="Times New Roman"/>
              </w:rPr>
            </w:pPr>
            <w:r>
              <w:rPr>
                <w:rFonts w:ascii="Times New Roman" w:hAnsi="Times New Roman" w:eastAsia="宋体" w:cs="Times New Roman"/>
              </w:rPr>
              <w:t>地表水环境风险评价范围：同地表水环境影响评价范围</w:t>
            </w:r>
          </w:p>
          <w:p>
            <w:pPr>
              <w:keepNext w:val="0"/>
              <w:keepLines w:val="0"/>
              <w:pageBreakBefore w:val="0"/>
              <w:widowControl/>
              <w:kinsoku/>
              <w:wordWrap/>
              <w:bidi w:val="0"/>
              <w:snapToGrid/>
              <w:jc w:val="center"/>
              <w:rPr>
                <w:rFonts w:ascii="Times New Roman" w:hAnsi="Times New Roman" w:eastAsia="宋体" w:cs="Times New Roman"/>
              </w:rPr>
            </w:pPr>
            <w:r>
              <w:rPr>
                <w:rFonts w:ascii="Times New Roman" w:hAnsi="Times New Roman" w:eastAsia="宋体" w:cs="Times New Roman"/>
              </w:rPr>
              <w:t>地下水环境风险评价范围：同地下水环境影响评价范围</w:t>
            </w:r>
          </w:p>
        </w:tc>
      </w:tr>
    </w:tbl>
    <w:p>
      <w:pPr>
        <w:keepNext w:val="0"/>
        <w:keepLines w:val="0"/>
        <w:pageBreakBefore w:val="0"/>
        <w:kinsoku/>
        <w:wordWrap/>
        <w:bidi w:val="0"/>
        <w:snapToGrid/>
        <w:rPr>
          <w:rFonts w:ascii="Times New Roman" w:hAnsi="Times New Roman" w:eastAsia="宋体" w:cs="Times New Roman"/>
          <w:sz w:val="18"/>
          <w:szCs w:val="18"/>
        </w:rPr>
      </w:pPr>
      <w:r>
        <w:rPr>
          <w:rFonts w:ascii="Times New Roman" w:hAnsi="Times New Roman" w:eastAsia="宋体" w:cs="Times New Roman"/>
          <w:sz w:val="18"/>
          <w:szCs w:val="18"/>
        </w:rPr>
        <w:t>注：厂区各评价范围参考《芜湖新兴铸管有限责任公司搬迁技术改造项目现状评价报告》中内容及相关导则要求。</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1.4.2环境保护目标</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项目所在地环境空气主要环境保护目标</w:t>
      </w:r>
      <w:r>
        <w:rPr>
          <w:rFonts w:ascii="Times New Roman" w:hAnsi="Times New Roman" w:eastAsia="宋体" w:cs="Times New Roman"/>
          <w:sz w:val="24"/>
          <w:szCs w:val="20"/>
        </w:rPr>
        <w:t>见表1.4-2和图1.4-1</w:t>
      </w:r>
      <w:r>
        <w:rPr>
          <w:rFonts w:ascii="Times New Roman" w:hAnsi="Times New Roman" w:eastAsia="宋体" w:cs="Times New Roman"/>
          <w:sz w:val="24"/>
        </w:rPr>
        <w:t>。</w:t>
      </w:r>
    </w:p>
    <w:p>
      <w:pPr>
        <w:pStyle w:val="31"/>
        <w:keepNext w:val="0"/>
        <w:keepLines w:val="0"/>
        <w:pageBreakBefore w:val="0"/>
        <w:kinsoku/>
        <w:wordWrap/>
        <w:bidi w:val="0"/>
        <w:snapToGrid/>
        <w:spacing w:line="360" w:lineRule="auto"/>
        <w:rPr>
          <w:rFonts w:cs="Times New Roman"/>
        </w:rPr>
      </w:pPr>
      <w:r>
        <w:rPr>
          <w:rFonts w:cs="Times New Roman"/>
        </w:rPr>
        <w:t>表1.4-2  环境空气保护目标一览表</w:t>
      </w:r>
    </w:p>
    <w:tbl>
      <w:tblPr>
        <w:tblStyle w:val="22"/>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1320"/>
        <w:gridCol w:w="1140"/>
        <w:gridCol w:w="810"/>
        <w:gridCol w:w="1935"/>
        <w:gridCol w:w="690"/>
        <w:gridCol w:w="885"/>
        <w:gridCol w:w="1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vMerge w:val="restart"/>
            <w:tcBorders>
              <w:top w:val="single" w:color="auto" w:sz="12" w:space="0"/>
              <w:left w:val="nil"/>
            </w:tcBorders>
            <w:vAlign w:val="center"/>
          </w:tcPr>
          <w:p>
            <w:pPr>
              <w:pStyle w:val="41"/>
              <w:keepNext w:val="0"/>
              <w:keepLines w:val="0"/>
              <w:pageBreakBefore w:val="0"/>
              <w:kinsoku/>
              <w:wordWrap/>
              <w:bidi w:val="0"/>
              <w:snapToGrid/>
              <w:spacing w:line="240" w:lineRule="auto"/>
              <w:rPr>
                <w:b/>
                <w:bCs/>
                <w:szCs w:val="21"/>
              </w:rPr>
            </w:pPr>
            <w:r>
              <w:rPr>
                <w:b/>
                <w:bCs/>
                <w:szCs w:val="21"/>
              </w:rPr>
              <w:t>名称</w:t>
            </w:r>
          </w:p>
        </w:tc>
        <w:tc>
          <w:tcPr>
            <w:tcW w:w="2460" w:type="dxa"/>
            <w:gridSpan w:val="2"/>
            <w:tcBorders>
              <w:top w:val="single" w:color="auto" w:sz="12" w:space="0"/>
            </w:tcBorders>
            <w:vAlign w:val="center"/>
          </w:tcPr>
          <w:p>
            <w:pPr>
              <w:pStyle w:val="41"/>
              <w:keepNext w:val="0"/>
              <w:keepLines w:val="0"/>
              <w:pageBreakBefore w:val="0"/>
              <w:kinsoku/>
              <w:wordWrap/>
              <w:bidi w:val="0"/>
              <w:snapToGrid/>
              <w:spacing w:line="240" w:lineRule="auto"/>
              <w:rPr>
                <w:rFonts w:hint="eastAsia" w:eastAsia="宋体"/>
                <w:b/>
                <w:bCs/>
                <w:lang w:val="en-US" w:eastAsia="zh-CN"/>
              </w:rPr>
            </w:pPr>
            <w:r>
              <w:rPr>
                <w:b/>
                <w:bCs/>
              </w:rPr>
              <w:t>坐标</w:t>
            </w:r>
            <w:r>
              <w:rPr>
                <w:rFonts w:hint="eastAsia"/>
                <w:b/>
                <w:bCs/>
                <w:lang w:val="en-US" w:eastAsia="zh-CN"/>
              </w:rPr>
              <w:t>*</w:t>
            </w:r>
          </w:p>
        </w:tc>
        <w:tc>
          <w:tcPr>
            <w:tcW w:w="810" w:type="dxa"/>
            <w:vMerge w:val="restart"/>
            <w:tcBorders>
              <w:top w:val="single" w:color="auto" w:sz="12" w:space="0"/>
            </w:tcBorders>
            <w:vAlign w:val="center"/>
          </w:tcPr>
          <w:p>
            <w:pPr>
              <w:pStyle w:val="41"/>
              <w:keepNext w:val="0"/>
              <w:keepLines w:val="0"/>
              <w:pageBreakBefore w:val="0"/>
              <w:kinsoku/>
              <w:wordWrap/>
              <w:bidi w:val="0"/>
              <w:snapToGrid/>
              <w:spacing w:line="240" w:lineRule="auto"/>
              <w:rPr>
                <w:b/>
                <w:bCs/>
                <w:szCs w:val="21"/>
              </w:rPr>
            </w:pPr>
            <w:r>
              <w:rPr>
                <w:b/>
                <w:bCs/>
                <w:szCs w:val="21"/>
              </w:rPr>
              <w:t>保护</w:t>
            </w:r>
          </w:p>
          <w:p>
            <w:pPr>
              <w:pStyle w:val="41"/>
              <w:keepNext w:val="0"/>
              <w:keepLines w:val="0"/>
              <w:pageBreakBefore w:val="0"/>
              <w:kinsoku/>
              <w:wordWrap/>
              <w:bidi w:val="0"/>
              <w:snapToGrid/>
              <w:spacing w:line="240" w:lineRule="auto"/>
              <w:rPr>
                <w:b/>
                <w:bCs/>
                <w:szCs w:val="21"/>
              </w:rPr>
            </w:pPr>
            <w:r>
              <w:rPr>
                <w:b/>
                <w:bCs/>
                <w:szCs w:val="21"/>
              </w:rPr>
              <w:t>对象</w:t>
            </w:r>
          </w:p>
        </w:tc>
        <w:tc>
          <w:tcPr>
            <w:tcW w:w="1935" w:type="dxa"/>
            <w:vMerge w:val="restart"/>
            <w:tcBorders>
              <w:top w:val="single" w:color="auto" w:sz="12" w:space="0"/>
            </w:tcBorders>
            <w:vAlign w:val="center"/>
          </w:tcPr>
          <w:p>
            <w:pPr>
              <w:pStyle w:val="41"/>
              <w:keepNext w:val="0"/>
              <w:keepLines w:val="0"/>
              <w:pageBreakBefore w:val="0"/>
              <w:kinsoku/>
              <w:wordWrap/>
              <w:bidi w:val="0"/>
              <w:snapToGrid/>
              <w:spacing w:line="240" w:lineRule="auto"/>
              <w:rPr>
                <w:b/>
                <w:bCs/>
                <w:szCs w:val="21"/>
              </w:rPr>
            </w:pPr>
            <w:r>
              <w:rPr>
                <w:b/>
                <w:bCs/>
                <w:szCs w:val="21"/>
              </w:rPr>
              <w:t>保护内容</w:t>
            </w:r>
          </w:p>
        </w:tc>
        <w:tc>
          <w:tcPr>
            <w:tcW w:w="690" w:type="dxa"/>
            <w:vMerge w:val="restart"/>
            <w:tcBorders>
              <w:top w:val="single" w:color="auto" w:sz="12" w:space="0"/>
            </w:tcBorders>
            <w:vAlign w:val="center"/>
          </w:tcPr>
          <w:p>
            <w:pPr>
              <w:pStyle w:val="41"/>
              <w:keepNext w:val="0"/>
              <w:keepLines w:val="0"/>
              <w:pageBreakBefore w:val="0"/>
              <w:kinsoku/>
              <w:wordWrap/>
              <w:bidi w:val="0"/>
              <w:snapToGrid/>
              <w:spacing w:line="240" w:lineRule="auto"/>
              <w:rPr>
                <w:b/>
                <w:bCs/>
                <w:szCs w:val="21"/>
              </w:rPr>
            </w:pPr>
            <w:r>
              <w:rPr>
                <w:b/>
                <w:bCs/>
                <w:szCs w:val="21"/>
              </w:rPr>
              <w:t>环境功能区</w:t>
            </w:r>
          </w:p>
        </w:tc>
        <w:tc>
          <w:tcPr>
            <w:tcW w:w="885" w:type="dxa"/>
            <w:vMerge w:val="restart"/>
            <w:tcBorders>
              <w:top w:val="single" w:color="auto" w:sz="12" w:space="0"/>
            </w:tcBorders>
            <w:vAlign w:val="center"/>
          </w:tcPr>
          <w:p>
            <w:pPr>
              <w:pStyle w:val="41"/>
              <w:keepNext w:val="0"/>
              <w:keepLines w:val="0"/>
              <w:pageBreakBefore w:val="0"/>
              <w:kinsoku/>
              <w:wordWrap/>
              <w:bidi w:val="0"/>
              <w:snapToGrid/>
              <w:spacing w:line="240" w:lineRule="auto"/>
              <w:rPr>
                <w:b/>
                <w:bCs/>
                <w:szCs w:val="21"/>
              </w:rPr>
            </w:pPr>
            <w:r>
              <w:rPr>
                <w:b/>
                <w:bCs/>
                <w:szCs w:val="21"/>
              </w:rPr>
              <w:t>相对厂址方位</w:t>
            </w:r>
          </w:p>
        </w:tc>
        <w:tc>
          <w:tcPr>
            <w:tcW w:w="1040" w:type="dxa"/>
            <w:vMerge w:val="restart"/>
            <w:tcBorders>
              <w:top w:val="single" w:color="auto" w:sz="12" w:space="0"/>
              <w:right w:val="nil"/>
            </w:tcBorders>
            <w:vAlign w:val="center"/>
          </w:tcPr>
          <w:p>
            <w:pPr>
              <w:pStyle w:val="41"/>
              <w:keepNext w:val="0"/>
              <w:keepLines w:val="0"/>
              <w:pageBreakBefore w:val="0"/>
              <w:kinsoku/>
              <w:wordWrap/>
              <w:bidi w:val="0"/>
              <w:snapToGrid/>
              <w:spacing w:line="240" w:lineRule="auto"/>
              <w:rPr>
                <w:b/>
                <w:bCs/>
                <w:szCs w:val="21"/>
              </w:rPr>
            </w:pPr>
            <w:r>
              <w:rPr>
                <w:b/>
                <w:bCs/>
                <w:szCs w:val="21"/>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1251" w:type="dxa"/>
            <w:vMerge w:val="continue"/>
            <w:tcBorders>
              <w:left w:val="nil"/>
            </w:tcBorders>
            <w:vAlign w:val="center"/>
          </w:tcPr>
          <w:p>
            <w:pPr>
              <w:pStyle w:val="41"/>
              <w:keepNext w:val="0"/>
              <w:keepLines w:val="0"/>
              <w:pageBreakBefore w:val="0"/>
              <w:kinsoku/>
              <w:wordWrap/>
              <w:bidi w:val="0"/>
              <w:snapToGrid/>
              <w:spacing w:line="240" w:lineRule="auto"/>
              <w:rPr>
                <w:szCs w:val="21"/>
              </w:rPr>
            </w:pPr>
          </w:p>
        </w:tc>
        <w:tc>
          <w:tcPr>
            <w:tcW w:w="1320" w:type="dxa"/>
            <w:vAlign w:val="center"/>
          </w:tcPr>
          <w:p>
            <w:pPr>
              <w:pStyle w:val="41"/>
              <w:keepNext w:val="0"/>
              <w:keepLines w:val="0"/>
              <w:pageBreakBefore w:val="0"/>
              <w:kinsoku/>
              <w:wordWrap/>
              <w:bidi w:val="0"/>
              <w:snapToGrid/>
              <w:spacing w:line="240" w:lineRule="auto"/>
              <w:rPr>
                <w:rFonts w:hint="default" w:eastAsia="宋体"/>
                <w:b/>
                <w:bCs/>
                <w:szCs w:val="21"/>
                <w:lang w:val="en-US" w:eastAsia="zh-CN"/>
              </w:rPr>
            </w:pPr>
            <w:r>
              <w:rPr>
                <w:b/>
                <w:bCs/>
                <w:szCs w:val="21"/>
              </w:rPr>
              <w:t>X</w:t>
            </w:r>
            <w:r>
              <w:rPr>
                <w:rFonts w:hint="eastAsia"/>
                <w:b/>
                <w:bCs/>
                <w:szCs w:val="21"/>
                <w:lang w:val="en-US" w:eastAsia="zh-CN"/>
              </w:rPr>
              <w:t>/m</w:t>
            </w:r>
          </w:p>
        </w:tc>
        <w:tc>
          <w:tcPr>
            <w:tcW w:w="1140" w:type="dxa"/>
            <w:vAlign w:val="center"/>
          </w:tcPr>
          <w:p>
            <w:pPr>
              <w:pStyle w:val="41"/>
              <w:keepNext w:val="0"/>
              <w:keepLines w:val="0"/>
              <w:pageBreakBefore w:val="0"/>
              <w:kinsoku/>
              <w:wordWrap/>
              <w:bidi w:val="0"/>
              <w:snapToGrid/>
              <w:spacing w:line="240" w:lineRule="auto"/>
              <w:rPr>
                <w:rFonts w:hint="default" w:eastAsia="宋体"/>
                <w:b/>
                <w:bCs/>
                <w:szCs w:val="21"/>
                <w:lang w:val="en-US" w:eastAsia="zh-CN"/>
              </w:rPr>
            </w:pPr>
            <w:r>
              <w:rPr>
                <w:b/>
                <w:bCs/>
                <w:szCs w:val="21"/>
              </w:rPr>
              <w:t>Y</w:t>
            </w:r>
            <w:r>
              <w:rPr>
                <w:rFonts w:hint="eastAsia"/>
                <w:b/>
                <w:bCs/>
                <w:szCs w:val="21"/>
                <w:lang w:val="en-US" w:eastAsia="zh-CN"/>
              </w:rPr>
              <w:t>/m</w:t>
            </w:r>
          </w:p>
        </w:tc>
        <w:tc>
          <w:tcPr>
            <w:tcW w:w="810" w:type="dxa"/>
            <w:vMerge w:val="continue"/>
            <w:vAlign w:val="center"/>
          </w:tcPr>
          <w:p>
            <w:pPr>
              <w:pStyle w:val="41"/>
              <w:keepNext w:val="0"/>
              <w:keepLines w:val="0"/>
              <w:pageBreakBefore w:val="0"/>
              <w:kinsoku/>
              <w:wordWrap/>
              <w:bidi w:val="0"/>
              <w:snapToGrid/>
              <w:spacing w:line="240" w:lineRule="auto"/>
              <w:rPr>
                <w:szCs w:val="21"/>
              </w:rPr>
            </w:pPr>
          </w:p>
        </w:tc>
        <w:tc>
          <w:tcPr>
            <w:tcW w:w="1935" w:type="dxa"/>
            <w:vMerge w:val="continue"/>
            <w:vAlign w:val="center"/>
          </w:tcPr>
          <w:p>
            <w:pPr>
              <w:pStyle w:val="41"/>
              <w:keepNext w:val="0"/>
              <w:keepLines w:val="0"/>
              <w:pageBreakBefore w:val="0"/>
              <w:kinsoku/>
              <w:wordWrap/>
              <w:bidi w:val="0"/>
              <w:snapToGrid/>
              <w:spacing w:line="240" w:lineRule="auto"/>
              <w:rPr>
                <w:szCs w:val="21"/>
              </w:rPr>
            </w:pP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Merge w:val="continue"/>
            <w:vAlign w:val="center"/>
          </w:tcPr>
          <w:p>
            <w:pPr>
              <w:pStyle w:val="41"/>
              <w:keepNext w:val="0"/>
              <w:keepLines w:val="0"/>
              <w:pageBreakBefore w:val="0"/>
              <w:kinsoku/>
              <w:wordWrap/>
              <w:bidi w:val="0"/>
              <w:snapToGrid/>
              <w:spacing w:line="240" w:lineRule="auto"/>
              <w:rPr>
                <w:szCs w:val="21"/>
              </w:rPr>
            </w:pPr>
          </w:p>
        </w:tc>
        <w:tc>
          <w:tcPr>
            <w:tcW w:w="1040" w:type="dxa"/>
            <w:vMerge w:val="continue"/>
            <w:tcBorders>
              <w:right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六洲村</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-867</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6046</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260户，1100人</w:t>
            </w:r>
          </w:p>
        </w:tc>
        <w:tc>
          <w:tcPr>
            <w:tcW w:w="690" w:type="dxa"/>
            <w:vMerge w:val="restart"/>
            <w:vAlign w:val="center"/>
          </w:tcPr>
          <w:p>
            <w:pPr>
              <w:pStyle w:val="41"/>
              <w:keepNext w:val="0"/>
              <w:keepLines w:val="0"/>
              <w:pageBreakBefore w:val="0"/>
              <w:kinsoku/>
              <w:wordWrap/>
              <w:bidi w:val="0"/>
              <w:snapToGrid/>
              <w:spacing w:line="240" w:lineRule="auto"/>
              <w:rPr>
                <w:szCs w:val="21"/>
              </w:rPr>
            </w:pPr>
            <w:r>
              <w:rPr>
                <w:szCs w:val="21"/>
              </w:rPr>
              <w:t>环境空气质量二类功能区</w:t>
            </w:r>
          </w:p>
        </w:tc>
        <w:tc>
          <w:tcPr>
            <w:tcW w:w="885" w:type="dxa"/>
            <w:vAlign w:val="center"/>
          </w:tcPr>
          <w:p>
            <w:pPr>
              <w:pStyle w:val="41"/>
              <w:keepNext w:val="0"/>
              <w:keepLines w:val="0"/>
              <w:pageBreakBefore w:val="0"/>
              <w:kinsoku/>
              <w:wordWrap/>
              <w:bidi w:val="0"/>
              <w:snapToGrid/>
              <w:rPr>
                <w:szCs w:val="21"/>
              </w:rPr>
            </w:pPr>
            <w:r>
              <w:rPr>
                <w:szCs w:val="21"/>
              </w:rPr>
              <w:t>N</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华电小区</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2076</w:t>
            </w:r>
          </w:p>
        </w:tc>
        <w:tc>
          <w:tcPr>
            <w:tcW w:w="1140" w:type="dxa"/>
            <w:vAlign w:val="center"/>
          </w:tcPr>
          <w:p>
            <w:pPr>
              <w:pStyle w:val="41"/>
              <w:keepNext w:val="0"/>
              <w:keepLines w:val="0"/>
              <w:pageBreakBefore w:val="0"/>
              <w:kinsoku/>
              <w:wordWrap/>
              <w:bidi w:val="0"/>
              <w:snapToGrid/>
              <w:spacing w:line="240" w:lineRule="auto"/>
              <w:rPr>
                <w:color w:val="FF0000"/>
                <w:szCs w:val="21"/>
              </w:rPr>
            </w:pPr>
            <w:r>
              <w:rPr>
                <w:rFonts w:hint="eastAsia"/>
                <w:color w:val="FF0000"/>
                <w:szCs w:val="21"/>
                <w:lang w:val="en-US" w:eastAsia="zh-CN"/>
              </w:rPr>
              <w:t>1242</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1776户，6216人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NE</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月亮湾小区</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4395</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1683</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1800户，5400人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E</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孙滩村委会</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4968</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-295</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100户，350人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SE</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高安乡</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-343</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-2713</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220户，990人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bottom w:val="single" w:color="auto" w:sz="4" w:space="0"/>
            </w:tcBorders>
            <w:vAlign w:val="center"/>
          </w:tcPr>
          <w:p>
            <w:pPr>
              <w:pStyle w:val="41"/>
              <w:keepNext w:val="0"/>
              <w:keepLines w:val="0"/>
              <w:pageBreakBefore w:val="0"/>
              <w:kinsoku/>
              <w:wordWrap/>
              <w:bidi w:val="0"/>
              <w:snapToGrid/>
              <w:rPr>
                <w:szCs w:val="21"/>
              </w:rPr>
            </w:pPr>
            <w:r>
              <w:rPr>
                <w:szCs w:val="21"/>
              </w:rPr>
              <w:t>协力村</w:t>
            </w:r>
          </w:p>
        </w:tc>
        <w:tc>
          <w:tcPr>
            <w:tcW w:w="1320" w:type="dxa"/>
            <w:tcBorders>
              <w:bottom w:val="single" w:color="auto" w:sz="4" w:space="0"/>
            </w:tcBorders>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-3285</w:t>
            </w:r>
          </w:p>
        </w:tc>
        <w:tc>
          <w:tcPr>
            <w:tcW w:w="1140" w:type="dxa"/>
            <w:tcBorders>
              <w:bottom w:val="single" w:color="auto" w:sz="4" w:space="0"/>
            </w:tcBorders>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1667</w:t>
            </w:r>
          </w:p>
        </w:tc>
        <w:tc>
          <w:tcPr>
            <w:tcW w:w="810" w:type="dxa"/>
            <w:tcBorders>
              <w:bottom w:val="single" w:color="auto" w:sz="4" w:space="0"/>
            </w:tcBorders>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tcBorders>
              <w:bottom w:val="single" w:color="auto" w:sz="4" w:space="0"/>
            </w:tcBorders>
            <w:vAlign w:val="center"/>
          </w:tcPr>
          <w:p>
            <w:pPr>
              <w:pStyle w:val="41"/>
              <w:keepNext w:val="0"/>
              <w:keepLines w:val="0"/>
              <w:pageBreakBefore w:val="0"/>
              <w:kinsoku/>
              <w:wordWrap/>
              <w:bidi w:val="0"/>
              <w:snapToGrid/>
              <w:rPr>
                <w:szCs w:val="21"/>
              </w:rPr>
            </w:pPr>
            <w:r>
              <w:rPr>
                <w:szCs w:val="21"/>
              </w:rPr>
              <w:t>396户，1586人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tcBorders>
              <w:bottom w:val="single" w:color="auto" w:sz="4" w:space="0"/>
            </w:tcBorders>
            <w:vAlign w:val="center"/>
          </w:tcPr>
          <w:p>
            <w:pPr>
              <w:pStyle w:val="41"/>
              <w:keepNext w:val="0"/>
              <w:keepLines w:val="0"/>
              <w:pageBreakBefore w:val="0"/>
              <w:kinsoku/>
              <w:wordWrap/>
              <w:bidi w:val="0"/>
              <w:snapToGrid/>
              <w:rPr>
                <w:szCs w:val="21"/>
              </w:rPr>
            </w:pPr>
            <w:r>
              <w:rPr>
                <w:szCs w:val="21"/>
              </w:rPr>
              <w:t>W</w:t>
            </w:r>
          </w:p>
        </w:tc>
        <w:tc>
          <w:tcPr>
            <w:tcW w:w="1040" w:type="dxa"/>
            <w:tcBorders>
              <w:bottom w:val="single" w:color="auto" w:sz="4" w:space="0"/>
              <w:right w:val="nil"/>
            </w:tcBorders>
            <w:vAlign w:val="center"/>
          </w:tcPr>
          <w:p>
            <w:pPr>
              <w:pStyle w:val="41"/>
              <w:keepNext w:val="0"/>
              <w:keepLines w:val="0"/>
              <w:pageBreakBefore w:val="0"/>
              <w:kinsoku/>
              <w:wordWrap/>
              <w:bidi w:val="0"/>
              <w:snapToGrid/>
              <w:rPr>
                <w:szCs w:val="21"/>
              </w:rPr>
            </w:pPr>
            <w:r>
              <w:rPr>
                <w:szCs w:val="21"/>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top w:val="single" w:color="auto" w:sz="4" w:space="0"/>
              <w:left w:val="nil"/>
            </w:tcBorders>
            <w:vAlign w:val="center"/>
          </w:tcPr>
          <w:p>
            <w:pPr>
              <w:pStyle w:val="41"/>
              <w:keepNext w:val="0"/>
              <w:keepLines w:val="0"/>
              <w:pageBreakBefore w:val="0"/>
              <w:kinsoku/>
              <w:wordWrap/>
              <w:bidi w:val="0"/>
              <w:snapToGrid/>
              <w:rPr>
                <w:szCs w:val="21"/>
              </w:rPr>
            </w:pPr>
            <w:r>
              <w:rPr>
                <w:szCs w:val="21"/>
              </w:rPr>
              <w:t>横山中心小学</w:t>
            </w:r>
          </w:p>
        </w:tc>
        <w:tc>
          <w:tcPr>
            <w:tcW w:w="1320" w:type="dxa"/>
            <w:tcBorders>
              <w:top w:val="single" w:color="auto" w:sz="4" w:space="0"/>
            </w:tcBorders>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4039</w:t>
            </w:r>
          </w:p>
        </w:tc>
        <w:tc>
          <w:tcPr>
            <w:tcW w:w="1140" w:type="dxa"/>
            <w:tcBorders>
              <w:top w:val="single" w:color="auto" w:sz="4" w:space="0"/>
            </w:tcBorders>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-6670</w:t>
            </w:r>
          </w:p>
        </w:tc>
        <w:tc>
          <w:tcPr>
            <w:tcW w:w="810" w:type="dxa"/>
            <w:tcBorders>
              <w:top w:val="single" w:color="auto" w:sz="4" w:space="0"/>
            </w:tcBorders>
            <w:vAlign w:val="center"/>
          </w:tcPr>
          <w:p>
            <w:pPr>
              <w:pStyle w:val="41"/>
              <w:keepNext w:val="0"/>
              <w:keepLines w:val="0"/>
              <w:pageBreakBefore w:val="0"/>
              <w:kinsoku/>
              <w:wordWrap/>
              <w:bidi w:val="0"/>
              <w:snapToGrid/>
              <w:spacing w:line="240" w:lineRule="auto"/>
              <w:rPr>
                <w:szCs w:val="21"/>
              </w:rPr>
            </w:pPr>
            <w:r>
              <w:rPr>
                <w:szCs w:val="21"/>
              </w:rPr>
              <w:t>师生</w:t>
            </w:r>
          </w:p>
        </w:tc>
        <w:tc>
          <w:tcPr>
            <w:tcW w:w="1935" w:type="dxa"/>
            <w:tcBorders>
              <w:top w:val="single" w:color="auto" w:sz="4" w:space="0"/>
            </w:tcBorders>
            <w:vAlign w:val="center"/>
          </w:tcPr>
          <w:p>
            <w:pPr>
              <w:pStyle w:val="41"/>
              <w:keepNext w:val="0"/>
              <w:keepLines w:val="0"/>
              <w:pageBreakBefore w:val="0"/>
              <w:kinsoku/>
              <w:wordWrap/>
              <w:bidi w:val="0"/>
              <w:snapToGrid/>
              <w:rPr>
                <w:szCs w:val="21"/>
              </w:rPr>
            </w:pPr>
            <w:r>
              <w:rPr>
                <w:szCs w:val="21"/>
              </w:rPr>
              <w:t>1020人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tcBorders>
              <w:top w:val="single" w:color="auto" w:sz="4" w:space="0"/>
            </w:tcBorders>
            <w:vAlign w:val="center"/>
          </w:tcPr>
          <w:p>
            <w:pPr>
              <w:pStyle w:val="41"/>
              <w:keepNext w:val="0"/>
              <w:keepLines w:val="0"/>
              <w:pageBreakBefore w:val="0"/>
              <w:kinsoku/>
              <w:wordWrap/>
              <w:bidi w:val="0"/>
              <w:snapToGrid/>
              <w:rPr>
                <w:szCs w:val="21"/>
              </w:rPr>
            </w:pPr>
            <w:r>
              <w:rPr>
                <w:szCs w:val="21"/>
              </w:rPr>
              <w:t>SE</w:t>
            </w:r>
          </w:p>
        </w:tc>
        <w:tc>
          <w:tcPr>
            <w:tcW w:w="1040" w:type="dxa"/>
            <w:tcBorders>
              <w:top w:val="single" w:color="auto" w:sz="4" w:space="0"/>
              <w:right w:val="nil"/>
            </w:tcBorders>
            <w:vAlign w:val="center"/>
          </w:tcPr>
          <w:p>
            <w:pPr>
              <w:pStyle w:val="41"/>
              <w:keepNext w:val="0"/>
              <w:keepLines w:val="0"/>
              <w:pageBreakBefore w:val="0"/>
              <w:kinsoku/>
              <w:wordWrap/>
              <w:bidi w:val="0"/>
              <w:snapToGrid/>
              <w:rPr>
                <w:szCs w:val="21"/>
              </w:rPr>
            </w:pPr>
            <w:r>
              <w:rPr>
                <w:szCs w:val="21"/>
              </w:rPr>
              <w:t>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白象绿洲小区</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2322</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-4511</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2000户，5443人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新港镇</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-6867</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-3924</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13125户，52500人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SW</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黑沙洲乡</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-7828</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1765</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60户，190人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W</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西街村</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5085</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-4642</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124户，380人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SE</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白茆镇</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-7713</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7351</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2712户，10850人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NW</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三山区政府</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12778</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1242</w:t>
            </w:r>
          </w:p>
        </w:tc>
        <w:tc>
          <w:tcPr>
            <w:tcW w:w="810" w:type="dxa"/>
            <w:vAlign w:val="center"/>
          </w:tcPr>
          <w:p>
            <w:pPr>
              <w:pStyle w:val="41"/>
              <w:keepNext w:val="0"/>
              <w:keepLines w:val="0"/>
              <w:pageBreakBefore w:val="0"/>
              <w:kinsoku/>
              <w:wordWrap/>
              <w:bidi w:val="0"/>
              <w:snapToGrid/>
              <w:spacing w:line="240" w:lineRule="auto"/>
              <w:rPr>
                <w:szCs w:val="21"/>
              </w:rPr>
            </w:pPr>
            <w:r>
              <w:rPr>
                <w:szCs w:val="21"/>
              </w:rPr>
              <w:t>工作</w:t>
            </w:r>
          </w:p>
          <w:p>
            <w:pPr>
              <w:pStyle w:val="41"/>
              <w:keepNext w:val="0"/>
              <w:keepLines w:val="0"/>
              <w:pageBreakBefore w:val="0"/>
              <w:kinsoku/>
              <w:wordWrap/>
              <w:bidi w:val="0"/>
              <w:snapToGrid/>
              <w:spacing w:line="240" w:lineRule="auto"/>
              <w:rPr>
                <w:szCs w:val="21"/>
              </w:rPr>
            </w:pPr>
            <w:r>
              <w:rPr>
                <w:szCs w:val="21"/>
              </w:rPr>
              <w:t>人员</w:t>
            </w:r>
          </w:p>
        </w:tc>
        <w:tc>
          <w:tcPr>
            <w:tcW w:w="1935" w:type="dxa"/>
            <w:vAlign w:val="center"/>
          </w:tcPr>
          <w:p>
            <w:pPr>
              <w:pStyle w:val="41"/>
              <w:keepNext w:val="0"/>
              <w:keepLines w:val="0"/>
              <w:pageBreakBefore w:val="0"/>
              <w:kinsoku/>
              <w:wordWrap/>
              <w:bidi w:val="0"/>
              <w:snapToGrid/>
              <w:rPr>
                <w:szCs w:val="21"/>
              </w:rPr>
            </w:pPr>
            <w:r>
              <w:rPr>
                <w:szCs w:val="21"/>
              </w:rPr>
              <w:t>100人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E</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横山村</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3699</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-7324</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876户，2887人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SE</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峨桥镇</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11678</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-5754</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10000户，25000人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SE</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11.60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马坝乡</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556</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-10362</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800户，2000人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芦南街道</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-12517</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-9157</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500户，1300人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SW</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13.10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汤沟镇</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3004</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11142</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400户，1000人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NE</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刘家村</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-9195</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-11904</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158户，474人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SW</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15.17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桃冲村</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-5891</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-12395</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213户，639人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SW</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12.64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潘冲村</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-6280</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-7456</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96户，288人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SW</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磕里村</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-1930</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-8043</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178户，534人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SW</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8.20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left w:val="nil"/>
            </w:tcBorders>
            <w:vAlign w:val="center"/>
          </w:tcPr>
          <w:p>
            <w:pPr>
              <w:pStyle w:val="41"/>
              <w:keepNext w:val="0"/>
              <w:keepLines w:val="0"/>
              <w:pageBreakBefore w:val="0"/>
              <w:kinsoku/>
              <w:wordWrap/>
              <w:bidi w:val="0"/>
              <w:snapToGrid/>
              <w:rPr>
                <w:szCs w:val="21"/>
              </w:rPr>
            </w:pPr>
            <w:r>
              <w:rPr>
                <w:szCs w:val="21"/>
              </w:rPr>
              <w:t>繁昌县（评价范围内涉及到部分）</w:t>
            </w:r>
          </w:p>
        </w:tc>
        <w:tc>
          <w:tcPr>
            <w:tcW w:w="132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5829</w:t>
            </w:r>
          </w:p>
        </w:tc>
        <w:tc>
          <w:tcPr>
            <w:tcW w:w="1140" w:type="dxa"/>
            <w:vAlign w:val="center"/>
          </w:tcPr>
          <w:p>
            <w:pPr>
              <w:pStyle w:val="41"/>
              <w:keepNext w:val="0"/>
              <w:keepLines w:val="0"/>
              <w:pageBreakBefore w:val="0"/>
              <w:kinsoku/>
              <w:wordWrap/>
              <w:bidi w:val="0"/>
              <w:snapToGrid/>
              <w:spacing w:line="240" w:lineRule="auto"/>
              <w:rPr>
                <w:rFonts w:hint="default" w:eastAsia="宋体"/>
                <w:color w:val="FF0000"/>
                <w:szCs w:val="21"/>
                <w:lang w:val="en-US" w:eastAsia="zh-CN"/>
              </w:rPr>
            </w:pPr>
            <w:r>
              <w:rPr>
                <w:rFonts w:hint="eastAsia"/>
                <w:color w:val="FF0000"/>
                <w:szCs w:val="21"/>
                <w:lang w:val="en-US" w:eastAsia="zh-CN"/>
              </w:rPr>
              <w:t>-9713</w:t>
            </w:r>
          </w:p>
        </w:tc>
        <w:tc>
          <w:tcPr>
            <w:tcW w:w="810" w:type="dxa"/>
            <w:vAlign w:val="center"/>
          </w:tcPr>
          <w:p>
            <w:pPr>
              <w:pStyle w:val="41"/>
              <w:keepNext w:val="0"/>
              <w:keepLines w:val="0"/>
              <w:pageBreakBefore w:val="0"/>
              <w:kinsoku/>
              <w:wordWrap/>
              <w:bidi w:val="0"/>
              <w:snapToGrid/>
              <w:spacing w:line="240" w:lineRule="auto"/>
              <w:rPr>
                <w:szCs w:val="21"/>
              </w:rPr>
            </w:pPr>
            <w:r>
              <w:rPr>
                <w:szCs w:val="21"/>
              </w:rPr>
              <w:t>居民</w:t>
            </w:r>
          </w:p>
        </w:tc>
        <w:tc>
          <w:tcPr>
            <w:tcW w:w="1935" w:type="dxa"/>
            <w:vAlign w:val="center"/>
          </w:tcPr>
          <w:p>
            <w:pPr>
              <w:pStyle w:val="41"/>
              <w:keepNext w:val="0"/>
              <w:keepLines w:val="0"/>
              <w:pageBreakBefore w:val="0"/>
              <w:kinsoku/>
              <w:wordWrap/>
              <w:bidi w:val="0"/>
              <w:snapToGrid/>
              <w:rPr>
                <w:szCs w:val="21"/>
              </w:rPr>
            </w:pPr>
            <w:r>
              <w:rPr>
                <w:szCs w:val="21"/>
              </w:rPr>
              <w:t>24233户，72699人</w:t>
            </w:r>
          </w:p>
        </w:tc>
        <w:tc>
          <w:tcPr>
            <w:tcW w:w="690" w:type="dxa"/>
            <w:vMerge w:val="continue"/>
            <w:vAlign w:val="center"/>
          </w:tcPr>
          <w:p>
            <w:pPr>
              <w:pStyle w:val="41"/>
              <w:keepNext w:val="0"/>
              <w:keepLines w:val="0"/>
              <w:pageBreakBefore w:val="0"/>
              <w:kinsoku/>
              <w:wordWrap/>
              <w:bidi w:val="0"/>
              <w:snapToGrid/>
              <w:spacing w:line="240" w:lineRule="auto"/>
              <w:rPr>
                <w:szCs w:val="21"/>
              </w:rPr>
            </w:pPr>
          </w:p>
        </w:tc>
        <w:tc>
          <w:tcPr>
            <w:tcW w:w="885" w:type="dxa"/>
            <w:vAlign w:val="center"/>
          </w:tcPr>
          <w:p>
            <w:pPr>
              <w:pStyle w:val="41"/>
              <w:keepNext w:val="0"/>
              <w:keepLines w:val="0"/>
              <w:pageBreakBefore w:val="0"/>
              <w:kinsoku/>
              <w:wordWrap/>
              <w:bidi w:val="0"/>
              <w:snapToGrid/>
              <w:rPr>
                <w:szCs w:val="21"/>
              </w:rPr>
            </w:pPr>
            <w:r>
              <w:rPr>
                <w:szCs w:val="21"/>
              </w:rPr>
              <w:t>SE</w:t>
            </w:r>
          </w:p>
        </w:tc>
        <w:tc>
          <w:tcPr>
            <w:tcW w:w="1040" w:type="dxa"/>
            <w:tcBorders>
              <w:right w:val="nil"/>
            </w:tcBorders>
            <w:vAlign w:val="center"/>
          </w:tcPr>
          <w:p>
            <w:pPr>
              <w:pStyle w:val="41"/>
              <w:keepNext w:val="0"/>
              <w:keepLines w:val="0"/>
              <w:pageBreakBefore w:val="0"/>
              <w:kinsoku/>
              <w:wordWrap/>
              <w:bidi w:val="0"/>
              <w:snapToGrid/>
              <w:rPr>
                <w:szCs w:val="21"/>
              </w:rPr>
            </w:pPr>
            <w:r>
              <w:rPr>
                <w:szCs w:val="21"/>
              </w:rPr>
              <w:t>10.38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71" w:type="dxa"/>
            <w:gridSpan w:val="8"/>
            <w:tcBorders>
              <w:left w:val="nil"/>
              <w:bottom w:val="single" w:color="auto" w:sz="12" w:space="0"/>
              <w:right w:val="nil"/>
            </w:tcBorders>
            <w:vAlign w:val="center"/>
          </w:tcPr>
          <w:p>
            <w:pPr>
              <w:pStyle w:val="41"/>
              <w:keepNext w:val="0"/>
              <w:keepLines w:val="0"/>
              <w:pageBreakBefore w:val="0"/>
              <w:kinsoku/>
              <w:wordWrap/>
              <w:bidi w:val="0"/>
              <w:snapToGrid/>
              <w:jc w:val="left"/>
              <w:rPr>
                <w:rFonts w:hint="eastAsia" w:eastAsia="宋体"/>
                <w:szCs w:val="21"/>
                <w:lang w:eastAsia="zh-CN"/>
              </w:rPr>
            </w:pPr>
            <w:r>
              <w:rPr>
                <w:rFonts w:hint="eastAsia"/>
                <w:color w:val="FF0000"/>
                <w:szCs w:val="21"/>
                <w:lang w:eastAsia="zh-CN"/>
              </w:rPr>
              <w:t>注：</w:t>
            </w:r>
            <w:r>
              <w:rPr>
                <w:rFonts w:hint="eastAsia"/>
                <w:color w:val="FF0000"/>
                <w:szCs w:val="21"/>
                <w:lang w:val="en-US" w:eastAsia="zh-CN"/>
              </w:rPr>
              <w:t>*</w:t>
            </w:r>
            <w:r>
              <w:rPr>
                <w:rFonts w:hint="eastAsia"/>
                <w:color w:val="FF0000"/>
                <w:szCs w:val="21"/>
                <w:lang w:eastAsia="zh-CN"/>
              </w:rPr>
              <w:t>以厂区西南角为坐标原点，坐标为经度118.145213和维度31.221206。</w:t>
            </w:r>
          </w:p>
        </w:tc>
      </w:tr>
    </w:tbl>
    <w:p>
      <w:pPr>
        <w:pStyle w:val="31"/>
        <w:keepNext w:val="0"/>
        <w:keepLines w:val="0"/>
        <w:pageBreakBefore w:val="0"/>
        <w:kinsoku/>
        <w:wordWrap/>
        <w:bidi w:val="0"/>
        <w:snapToGrid/>
        <w:spacing w:line="360" w:lineRule="auto"/>
        <w:ind w:left="-840" w:leftChars="-400"/>
        <w:rPr>
          <w:rFonts w:cs="Times New Roman"/>
        </w:rPr>
      </w:pPr>
      <w:r>
        <w:rPr>
          <w:rFonts w:cs="Times New Roman"/>
        </w:rPr>
        <w:drawing>
          <wp:inline distT="0" distB="0" distL="114300" distR="114300">
            <wp:extent cx="6395085" cy="4660265"/>
            <wp:effectExtent l="0" t="0" r="5715" b="6985"/>
            <wp:docPr id="7" name="图片 7" descr="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28"/>
                    <pic:cNvPicPr>
                      <a:picLocks noChangeAspect="1"/>
                    </pic:cNvPicPr>
                  </pic:nvPicPr>
                  <pic:blipFill>
                    <a:blip r:embed="rId13"/>
                    <a:stretch>
                      <a:fillRect/>
                    </a:stretch>
                  </pic:blipFill>
                  <pic:spPr>
                    <a:xfrm>
                      <a:off x="0" y="0"/>
                      <a:ext cx="6395085" cy="4660265"/>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图1.4-1  环境空气保护目标示意图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项目所在地地表水、地下水、噪声、环境风险主要环境保护目标</w:t>
      </w:r>
      <w:r>
        <w:rPr>
          <w:rFonts w:ascii="Times New Roman" w:hAnsi="Times New Roman" w:eastAsia="宋体" w:cs="Times New Roman"/>
          <w:sz w:val="24"/>
          <w:szCs w:val="20"/>
        </w:rPr>
        <w:t>见表1.4-3和图1.4-2</w:t>
      </w:r>
      <w:r>
        <w:rPr>
          <w:rFonts w:ascii="Times New Roman" w:hAnsi="Times New Roman" w:eastAsia="宋体" w:cs="Times New Roman"/>
          <w:sz w:val="24"/>
        </w:rPr>
        <w:t>。</w:t>
      </w:r>
    </w:p>
    <w:p>
      <w:pPr>
        <w:pStyle w:val="31"/>
        <w:keepNext w:val="0"/>
        <w:keepLines w:val="0"/>
        <w:pageBreakBefore w:val="0"/>
        <w:kinsoku/>
        <w:wordWrap/>
        <w:bidi w:val="0"/>
        <w:snapToGrid/>
        <w:spacing w:line="360" w:lineRule="auto"/>
        <w:rPr>
          <w:rFonts w:cs="Times New Roman"/>
        </w:rPr>
      </w:pPr>
      <w:r>
        <w:rPr>
          <w:rFonts w:cs="Times New Roman"/>
        </w:rPr>
        <w:t>表1.4-3  地表水、地下水、噪声、环境风险保护目标一览表</w:t>
      </w:r>
    </w:p>
    <w:tbl>
      <w:tblPr>
        <w:tblStyle w:val="21"/>
        <w:tblW w:w="907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99"/>
        <w:gridCol w:w="1005"/>
        <w:gridCol w:w="1597"/>
        <w:gridCol w:w="1905"/>
        <w:gridCol w:w="1267"/>
        <w:gridCol w:w="1349"/>
        <w:gridCol w:w="134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tblHeader/>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序号</w:t>
            </w:r>
          </w:p>
        </w:tc>
        <w:tc>
          <w:tcPr>
            <w:tcW w:w="1005"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环境</w:t>
            </w:r>
          </w:p>
          <w:p>
            <w:pPr>
              <w:pStyle w:val="41"/>
              <w:keepNext w:val="0"/>
              <w:keepLines w:val="0"/>
              <w:pageBreakBefore w:val="0"/>
              <w:kinsoku/>
              <w:wordWrap/>
              <w:bidi w:val="0"/>
              <w:snapToGrid/>
              <w:spacing w:line="240" w:lineRule="auto"/>
              <w:rPr>
                <w:b/>
                <w:bCs/>
                <w:szCs w:val="21"/>
              </w:rPr>
            </w:pPr>
            <w:r>
              <w:rPr>
                <w:b/>
                <w:bCs/>
                <w:szCs w:val="21"/>
              </w:rPr>
              <w:t>要素</w:t>
            </w:r>
          </w:p>
        </w:tc>
        <w:tc>
          <w:tcPr>
            <w:tcW w:w="1597"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敏感点</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规模</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与厂区位置关系</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距离厂界最近距离(km)</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环境功能区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w:t>
            </w:r>
          </w:p>
        </w:tc>
        <w:tc>
          <w:tcPr>
            <w:tcW w:w="1005"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地表水</w:t>
            </w: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长江芜湖段</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大型河流</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0.30</w:t>
            </w:r>
          </w:p>
        </w:tc>
        <w:tc>
          <w:tcPr>
            <w:tcW w:w="1349"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地表水环境质量III类功能区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w:t>
            </w:r>
          </w:p>
        </w:tc>
        <w:tc>
          <w:tcPr>
            <w:tcW w:w="1005"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小江</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小型河流</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S</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0.05</w:t>
            </w:r>
          </w:p>
        </w:tc>
        <w:tc>
          <w:tcPr>
            <w:tcW w:w="1349"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w:t>
            </w:r>
          </w:p>
        </w:tc>
        <w:tc>
          <w:tcPr>
            <w:tcW w:w="1005"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大龙窝</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小型湖泊</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E</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7.00</w:t>
            </w:r>
          </w:p>
        </w:tc>
        <w:tc>
          <w:tcPr>
            <w:tcW w:w="1349"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4</w:t>
            </w:r>
          </w:p>
        </w:tc>
        <w:tc>
          <w:tcPr>
            <w:tcW w:w="10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地下水</w:t>
            </w: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厂区及下游地下水</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《地下水质量标准》（GB/T14848-2017）III类标准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5</w:t>
            </w:r>
          </w:p>
        </w:tc>
        <w:tc>
          <w:tcPr>
            <w:tcW w:w="10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噪声</w:t>
            </w: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厂界外1m</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声环境质量标准3类区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6</w:t>
            </w:r>
          </w:p>
        </w:tc>
        <w:tc>
          <w:tcPr>
            <w:tcW w:w="1005"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环境</w:t>
            </w:r>
          </w:p>
          <w:p>
            <w:pPr>
              <w:pStyle w:val="41"/>
              <w:keepNext w:val="0"/>
              <w:keepLines w:val="0"/>
              <w:pageBreakBefore w:val="0"/>
              <w:kinsoku/>
              <w:wordWrap/>
              <w:bidi w:val="0"/>
              <w:snapToGrid/>
              <w:spacing w:line="240" w:lineRule="auto"/>
              <w:rPr>
                <w:szCs w:val="21"/>
              </w:rPr>
            </w:pPr>
            <w:r>
              <w:rPr>
                <w:szCs w:val="21"/>
              </w:rPr>
              <w:t>风险</w:t>
            </w: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西街村</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124户，380人</w:t>
            </w:r>
          </w:p>
        </w:tc>
        <w:tc>
          <w:tcPr>
            <w:tcW w:w="1267" w:type="dxa"/>
            <w:tcBorders>
              <w:tl2br w:val="nil"/>
              <w:tr2bl w:val="nil"/>
            </w:tcBorders>
            <w:vAlign w:val="center"/>
          </w:tcPr>
          <w:p>
            <w:pPr>
              <w:pStyle w:val="41"/>
              <w:keepNext w:val="0"/>
              <w:keepLines w:val="0"/>
              <w:pageBreakBefore w:val="0"/>
              <w:kinsoku/>
              <w:wordWrap/>
              <w:bidi w:val="0"/>
              <w:snapToGrid/>
              <w:rPr>
                <w:szCs w:val="21"/>
              </w:rPr>
            </w:pPr>
            <w:r>
              <w:rPr>
                <w:szCs w:val="21"/>
              </w:rPr>
              <w:t>SE</w:t>
            </w:r>
          </w:p>
        </w:tc>
        <w:tc>
          <w:tcPr>
            <w:tcW w:w="1349" w:type="dxa"/>
            <w:tcBorders>
              <w:tl2br w:val="nil"/>
              <w:tr2bl w:val="nil"/>
            </w:tcBorders>
            <w:vAlign w:val="center"/>
          </w:tcPr>
          <w:p>
            <w:pPr>
              <w:pStyle w:val="41"/>
              <w:keepNext w:val="0"/>
              <w:keepLines w:val="0"/>
              <w:pageBreakBefore w:val="0"/>
              <w:kinsoku/>
              <w:wordWrap/>
              <w:bidi w:val="0"/>
              <w:snapToGrid/>
              <w:rPr>
                <w:szCs w:val="21"/>
              </w:rPr>
            </w:pPr>
            <w:r>
              <w:rPr>
                <w:szCs w:val="21"/>
              </w:rPr>
              <w:t>3.85</w:t>
            </w:r>
          </w:p>
        </w:tc>
        <w:tc>
          <w:tcPr>
            <w:tcW w:w="1349"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7</w:t>
            </w:r>
          </w:p>
        </w:tc>
        <w:tc>
          <w:tcPr>
            <w:tcW w:w="1005"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华电小区</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1776户，6216人</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NE</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1.02</w:t>
            </w:r>
          </w:p>
        </w:tc>
        <w:tc>
          <w:tcPr>
            <w:tcW w:w="1349"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8</w:t>
            </w:r>
          </w:p>
        </w:tc>
        <w:tc>
          <w:tcPr>
            <w:tcW w:w="1005"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月亮湾小区</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1800户，5400人</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E</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2.80</w:t>
            </w:r>
          </w:p>
        </w:tc>
        <w:tc>
          <w:tcPr>
            <w:tcW w:w="1349"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9</w:t>
            </w:r>
          </w:p>
        </w:tc>
        <w:tc>
          <w:tcPr>
            <w:tcW w:w="1005"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孙滩村委会</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100户，350人</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SE</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3.00</w:t>
            </w:r>
          </w:p>
        </w:tc>
        <w:tc>
          <w:tcPr>
            <w:tcW w:w="1349"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10</w:t>
            </w:r>
          </w:p>
        </w:tc>
        <w:tc>
          <w:tcPr>
            <w:tcW w:w="1005"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高安乡</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220户，990人</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S</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2.90</w:t>
            </w:r>
          </w:p>
        </w:tc>
        <w:tc>
          <w:tcPr>
            <w:tcW w:w="1349"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11</w:t>
            </w:r>
          </w:p>
        </w:tc>
        <w:tc>
          <w:tcPr>
            <w:tcW w:w="1005"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协力村</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396户，1586人</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2.55</w:t>
            </w:r>
          </w:p>
        </w:tc>
        <w:tc>
          <w:tcPr>
            <w:tcW w:w="1349"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59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12</w:t>
            </w:r>
          </w:p>
        </w:tc>
        <w:tc>
          <w:tcPr>
            <w:tcW w:w="1005"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59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白象绿洲小区</w:t>
            </w:r>
          </w:p>
        </w:tc>
        <w:tc>
          <w:tcPr>
            <w:tcW w:w="190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1020人</w:t>
            </w:r>
          </w:p>
        </w:tc>
        <w:tc>
          <w:tcPr>
            <w:tcW w:w="126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SE</w:t>
            </w:r>
          </w:p>
        </w:tc>
        <w:tc>
          <w:tcPr>
            <w:tcW w:w="13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3.65</w:t>
            </w:r>
          </w:p>
        </w:tc>
        <w:tc>
          <w:tcPr>
            <w:tcW w:w="1349"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bl>
    <w:p>
      <w:pPr>
        <w:pStyle w:val="2"/>
        <w:keepNext w:val="0"/>
        <w:keepLines w:val="0"/>
        <w:pageBreakBefore w:val="0"/>
        <w:kinsoku/>
        <w:wordWrap/>
        <w:bidi w:val="0"/>
        <w:snapToGrid/>
        <w:spacing w:after="0" w:line="360" w:lineRule="auto"/>
        <w:ind w:left="-840" w:leftChars="-400"/>
        <w:rPr>
          <w:rFonts w:ascii="Times New Roman" w:hAnsi="Times New Roman" w:eastAsia="宋体" w:cs="Times New Roman"/>
          <w:sz w:val="24"/>
        </w:rPr>
      </w:pPr>
      <w:r>
        <w:rPr>
          <w:rFonts w:ascii="Times New Roman" w:hAnsi="Times New Roman" w:eastAsia="宋体" w:cs="Times New Roman"/>
          <w:sz w:val="24"/>
        </w:rPr>
        <w:drawing>
          <wp:inline distT="0" distB="0" distL="114300" distR="114300">
            <wp:extent cx="6393815" cy="4658360"/>
            <wp:effectExtent l="0" t="0" r="6985" b="8890"/>
            <wp:docPr id="10" name="图片 10" descr="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28"/>
                    <pic:cNvPicPr>
                      <a:picLocks noChangeAspect="1"/>
                    </pic:cNvPicPr>
                  </pic:nvPicPr>
                  <pic:blipFill>
                    <a:blip r:embed="rId14"/>
                    <a:stretch>
                      <a:fillRect/>
                    </a:stretch>
                  </pic:blipFill>
                  <pic:spPr>
                    <a:xfrm>
                      <a:off x="0" y="0"/>
                      <a:ext cx="6393815" cy="4658360"/>
                    </a:xfrm>
                    <a:prstGeom prst="rect">
                      <a:avLst/>
                    </a:prstGeom>
                  </pic:spPr>
                </pic:pic>
              </a:graphicData>
            </a:graphic>
          </wp:inline>
        </w:drawing>
      </w:r>
    </w:p>
    <w:p>
      <w:pPr>
        <w:pStyle w:val="31"/>
        <w:keepNext w:val="0"/>
        <w:keepLines w:val="0"/>
        <w:pageBreakBefore w:val="0"/>
        <w:kinsoku/>
        <w:wordWrap/>
        <w:bidi w:val="0"/>
        <w:snapToGrid/>
        <w:spacing w:line="360" w:lineRule="auto"/>
        <w:rPr>
          <w:rFonts w:eastAsia="宋体" w:cs="Times New Roman"/>
          <w:bCs/>
          <w:szCs w:val="24"/>
        </w:rPr>
      </w:pPr>
      <w:r>
        <w:rPr>
          <w:rFonts w:cs="Times New Roman"/>
        </w:rPr>
        <w:t>图1.4-2  地表水、地下水、噪声及环境风险保护目标示意图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ascii="Times New Roman" w:hAnsi="Times New Roman" w:eastAsia="黑体" w:cs="Times New Roman"/>
          <w:sz w:val="44"/>
          <w:szCs w:val="44"/>
        </w:rPr>
        <w:t>2建设项目过程回顾</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2.1环评及环保措施落实情况</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2.1.1项目发展历程及环保审批情况</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于2003年4月27日正式挂牌，由新兴铸管股份有限公司（出资60%）和新兴铸管集团有限公司（出资40%）共同出资，重组原芜湖钢铁厂和芜湖焦化制气有限公司后成立的，为新兴铸管股份有限公司的全资子公司。公司注册资金5亿元，经营范围为离心球墨铸铁管、钢铁冶炼及压延加工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芜湖新兴铸管老厂区位于安徽省芜湖市弋江区，属于市中心区。碍于城市日益严格的环保要求及周围场地的限制，弋江生产区已没有发展空间。芜湖新兴铸管为了企业的发展，于2015年10月搬迁至三山经济开发区。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芜湖新兴铸管现有厂区拥有焦化、烧结、炼铁、铸管、炼钢、轧钢等生产工艺装备以及燃气系统、动力系统等生产辅助设施。具有198万t铁水、150万t钢水、</w:t>
      </w:r>
      <w:r>
        <w:rPr>
          <w:rFonts w:ascii="Times New Roman" w:hAnsi="Times New Roman" w:eastAsia="宋体" w:cs="Times New Roman"/>
          <w:sz w:val="24"/>
        </w:rPr>
        <w:t>80万t球墨铸铁管、</w:t>
      </w:r>
      <w:r>
        <w:rPr>
          <w:rFonts w:ascii="Times New Roman" w:hAnsi="Times New Roman" w:eastAsia="宋体" w:cs="Times New Roman"/>
          <w:bCs/>
          <w:sz w:val="24"/>
          <w:szCs w:val="24"/>
        </w:rPr>
        <w:t>80万t线材及90万t棒</w:t>
      </w:r>
      <w:r>
        <w:rPr>
          <w:rFonts w:ascii="Times New Roman" w:hAnsi="Times New Roman" w:eastAsia="宋体" w:cs="Times New Roman"/>
          <w:bCs/>
          <w:sz w:val="24"/>
          <w:szCs w:val="24"/>
          <w:highlight w:val="none"/>
        </w:rPr>
        <w:t>材的生产能力，拥有职工5500人。2018年生产铁水</w:t>
      </w:r>
      <w:r>
        <w:rPr>
          <w:rFonts w:hint="eastAsia" w:ascii="Times New Roman" w:hAnsi="Times New Roman" w:eastAsia="宋体" w:cs="Times New Roman"/>
          <w:bCs/>
          <w:sz w:val="24"/>
          <w:szCs w:val="24"/>
          <w:highlight w:val="none"/>
          <w:lang w:val="en-US" w:eastAsia="zh-CN"/>
        </w:rPr>
        <w:t>196.2</w:t>
      </w:r>
      <w:r>
        <w:rPr>
          <w:rFonts w:ascii="Times New Roman" w:hAnsi="Times New Roman" w:eastAsia="宋体" w:cs="Times New Roman"/>
          <w:bCs/>
          <w:sz w:val="24"/>
          <w:szCs w:val="24"/>
          <w:highlight w:val="none"/>
        </w:rPr>
        <w:t>万t，钢水</w:t>
      </w:r>
      <w:r>
        <w:rPr>
          <w:rFonts w:hint="eastAsia" w:ascii="Times New Roman" w:hAnsi="Times New Roman" w:eastAsia="宋体" w:cs="Times New Roman"/>
          <w:bCs/>
          <w:sz w:val="24"/>
          <w:szCs w:val="24"/>
          <w:highlight w:val="none"/>
          <w:lang w:val="en-US" w:eastAsia="zh-CN"/>
        </w:rPr>
        <w:t>143.85</w:t>
      </w:r>
      <w:r>
        <w:rPr>
          <w:rFonts w:ascii="Times New Roman" w:hAnsi="Times New Roman" w:eastAsia="宋体" w:cs="Times New Roman"/>
          <w:bCs/>
          <w:sz w:val="24"/>
          <w:szCs w:val="24"/>
          <w:highlight w:val="none"/>
        </w:rPr>
        <w:t>万t，连铸坯1</w:t>
      </w:r>
      <w:r>
        <w:rPr>
          <w:rFonts w:hint="eastAsia" w:ascii="Times New Roman" w:hAnsi="Times New Roman" w:eastAsia="宋体" w:cs="Times New Roman"/>
          <w:bCs/>
          <w:sz w:val="24"/>
          <w:szCs w:val="24"/>
          <w:highlight w:val="none"/>
          <w:lang w:val="en-US" w:eastAsia="zh-CN"/>
        </w:rPr>
        <w:t>41.51</w:t>
      </w:r>
      <w:r>
        <w:rPr>
          <w:rFonts w:ascii="Times New Roman" w:hAnsi="Times New Roman" w:eastAsia="宋体" w:cs="Times New Roman"/>
          <w:bCs/>
          <w:sz w:val="24"/>
          <w:szCs w:val="24"/>
          <w:highlight w:val="none"/>
        </w:rPr>
        <w:t>万t，球墨铸管</w:t>
      </w:r>
      <w:r>
        <w:rPr>
          <w:rFonts w:hint="eastAsia" w:ascii="Times New Roman" w:hAnsi="Times New Roman" w:eastAsia="宋体" w:cs="Times New Roman"/>
          <w:bCs/>
          <w:sz w:val="24"/>
          <w:szCs w:val="24"/>
          <w:highlight w:val="none"/>
          <w:lang w:val="en-US" w:eastAsia="zh-CN"/>
        </w:rPr>
        <w:t>65</w:t>
      </w:r>
      <w:r>
        <w:rPr>
          <w:rFonts w:ascii="Times New Roman" w:hAnsi="Times New Roman" w:eastAsia="宋体" w:cs="Times New Roman"/>
          <w:bCs/>
          <w:sz w:val="24"/>
          <w:szCs w:val="24"/>
          <w:highlight w:val="none"/>
        </w:rPr>
        <w:t>万t，铁水及钢水产量分别达产能的</w:t>
      </w:r>
      <w:r>
        <w:rPr>
          <w:rFonts w:hint="eastAsia" w:ascii="Times New Roman" w:hAnsi="Times New Roman" w:eastAsia="宋体" w:cs="Times New Roman"/>
          <w:bCs/>
          <w:sz w:val="24"/>
          <w:szCs w:val="24"/>
          <w:highlight w:val="none"/>
          <w:lang w:val="en-US" w:eastAsia="zh-CN"/>
        </w:rPr>
        <w:t>99.09</w:t>
      </w:r>
      <w:r>
        <w:rPr>
          <w:rFonts w:ascii="Times New Roman" w:hAnsi="Times New Roman" w:eastAsia="宋体" w:cs="Times New Roman"/>
          <w:bCs/>
          <w:sz w:val="24"/>
          <w:szCs w:val="24"/>
          <w:highlight w:val="none"/>
        </w:rPr>
        <w:t>%、</w:t>
      </w:r>
      <w:r>
        <w:rPr>
          <w:rFonts w:hint="eastAsia" w:ascii="Times New Roman" w:hAnsi="Times New Roman" w:eastAsia="宋体" w:cs="Times New Roman"/>
          <w:bCs/>
          <w:sz w:val="24"/>
          <w:szCs w:val="24"/>
          <w:highlight w:val="none"/>
          <w:lang w:val="en-US" w:eastAsia="zh-CN"/>
        </w:rPr>
        <w:t>94.34</w:t>
      </w:r>
      <w:r>
        <w:rPr>
          <w:rFonts w:ascii="Times New Roman" w:hAnsi="Times New Roman" w:eastAsia="宋体" w:cs="Times New Roman"/>
          <w:bCs/>
          <w:sz w:val="24"/>
          <w:szCs w:val="24"/>
          <w:highlight w:val="none"/>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现有厂区建设项目主要生产规模及环评批复、验收情况见表2.1-1所示。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1"/>
        <w:keepNext w:val="0"/>
        <w:keepLines w:val="0"/>
        <w:pageBreakBefore w:val="0"/>
        <w:kinsoku/>
        <w:wordWrap/>
        <w:bidi w:val="0"/>
        <w:snapToGrid/>
        <w:spacing w:line="360" w:lineRule="auto"/>
        <w:rPr>
          <w:rFonts w:cs="Times New Roman"/>
        </w:rPr>
      </w:pPr>
      <w:r>
        <w:rPr>
          <w:rFonts w:cs="Times New Roman"/>
        </w:rPr>
        <w:t>表2.1-1  芜湖新兴铸管现有厂区主要工程建设内容及环评、验收批复文号一览表</w:t>
      </w:r>
    </w:p>
    <w:tbl>
      <w:tblPr>
        <w:tblStyle w:val="22"/>
        <w:tblW w:w="1417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5"/>
        <w:gridCol w:w="2822"/>
        <w:gridCol w:w="5895"/>
        <w:gridCol w:w="2325"/>
        <w:gridCol w:w="24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序号</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项目名称</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主要建设内容</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环评批复及日期</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验收批复及日期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芜湖新兴铸管有限责任公司搬迁技术改造项目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对弋江区老厂区生产设施进行搬迁改造，主要包括新建1座原料场、2台180m</w:t>
            </w:r>
            <w:r>
              <w:rPr>
                <w:rFonts w:ascii="Times New Roman" w:hAnsi="Times New Roman" w:eastAsia="宋体" w:cs="Times New Roman"/>
                <w:szCs w:val="21"/>
                <w:vertAlign w:val="superscript"/>
              </w:rPr>
              <w:t>2</w:t>
            </w:r>
            <w:r>
              <w:rPr>
                <w:rFonts w:ascii="Times New Roman" w:hAnsi="Times New Roman" w:eastAsia="宋体" w:cs="Times New Roman"/>
                <w:szCs w:val="21"/>
              </w:rPr>
              <w:t>烧结机、2座1280m</w:t>
            </w:r>
            <w:r>
              <w:rPr>
                <w:rFonts w:ascii="Times New Roman" w:hAnsi="Times New Roman" w:eastAsia="宋体" w:cs="Times New Roman"/>
                <w:szCs w:val="21"/>
                <w:vertAlign w:val="superscript"/>
              </w:rPr>
              <w:t>3</w:t>
            </w:r>
            <w:r>
              <w:rPr>
                <w:rFonts w:ascii="Times New Roman" w:hAnsi="Times New Roman" w:eastAsia="宋体" w:cs="Times New Roman"/>
                <w:szCs w:val="21"/>
              </w:rPr>
              <w:t>高炉、2座120t转炉及其配套精炼及连铸设施、1条银亮材生产线、1条精品线材生产线、1条普通线材生产线、1条铸钢生产线、1条大型锻造生产线、1条汽车工程锻件生产线，新建石灰系统、燃气系统、制气系统、余热回收、污水处理等配套公辅工程，搬迁并改造老厂区电炉炼钢、球磨铸铁管生产线、棒材生产线和径向锻造生产线</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原环境保护部 环审[2013]300号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2013年12月2日</w:t>
            </w:r>
          </w:p>
        </w:tc>
        <w:tc>
          <w:tcPr>
            <w:tcW w:w="2406" w:type="dxa"/>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szCs w:val="21"/>
                <w:lang w:eastAsia="zh-CN"/>
              </w:rPr>
            </w:pPr>
            <w:r>
              <w:rPr>
                <w:rFonts w:hint="eastAsia" w:ascii="Times New Roman" w:hAnsi="Times New Roman" w:eastAsia="宋体" w:cs="Times New Roman"/>
                <w:color w:val="FF0000"/>
                <w:szCs w:val="21"/>
                <w:lang w:eastAsia="zh-CN"/>
              </w:rPr>
              <w:t>焦化内容于焦化技改中验收，烧结内容于烧结技改中验收，其余均于现状评价中验收，具体见下表所示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芜湖新兴铸管有限责任公司80万吨铸管搬迁升级改造项目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建设水冷球墨铸管生产线3条，年产DN80~1400球铁管60万吨，热膜球墨铸管生产线1条，年产DN1100~2600球铁管20万吨；即：300吨混铁炉1座、15吨工频电炉3座</w:t>
            </w:r>
            <w:r>
              <w:rPr>
                <w:rFonts w:hint="eastAsia" w:ascii="Times New Roman" w:hAnsi="Times New Roman" w:eastAsia="宋体" w:cs="Times New Roman"/>
                <w:szCs w:val="21"/>
                <w:lang w:eastAsia="zh-CN"/>
              </w:rPr>
              <w:t>（水冷，一拖二）</w:t>
            </w:r>
            <w:r>
              <w:rPr>
                <w:rFonts w:ascii="Times New Roman" w:hAnsi="Times New Roman" w:eastAsia="宋体" w:cs="Times New Roman"/>
                <w:szCs w:val="21"/>
              </w:rPr>
              <w:t>、8台水冷离心机、15吨工频电炉2座</w:t>
            </w:r>
            <w:r>
              <w:rPr>
                <w:rFonts w:hint="eastAsia" w:ascii="Times New Roman" w:hAnsi="Times New Roman" w:eastAsia="宋体" w:cs="Times New Roman"/>
                <w:szCs w:val="21"/>
                <w:lang w:eastAsia="zh-CN"/>
              </w:rPr>
              <w:t>（热膜，一拖二）</w:t>
            </w:r>
            <w:r>
              <w:rPr>
                <w:rFonts w:ascii="Times New Roman" w:hAnsi="Times New Roman" w:eastAsia="宋体" w:cs="Times New Roman"/>
                <w:szCs w:val="21"/>
              </w:rPr>
              <w:t>、2台热膜离心机等，形成年产80万吨球墨铸铁管的生产能力</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环行审[2014]20号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2014年4月29日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环验[2017]123号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2017年7月31日（在搬迁项目现状评价验收中同步验收）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芜湖新兴铸管有限责任公司能源综合利用发电工程</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利用高炉、焦炉、转炉系统的煤气及干熄焦余热锅炉产生的高温蒸气，配套建设2台130t/h燃气锅炉、2台2×25MW抽凝机组和1×25MW纯凝机组，配3×30MW发电机组，形成年发电量40560万kWh、年供电量35376万kWh</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环行审[2015]281号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2015年10月31日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环验[2017]70号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2017年5月3日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芜湖新兴铸管有限责任公司2×58孔焦炉技术改造项目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每个焦炉增加8个炭化室和8个燃烧室孔，将2座50孔6m焦炉改为2座58孔6m焦炉。新建焦炉装煤、堆焦过程逸散烟尘的捕集、处理装置</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环行审[2016]78号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2016年11月23日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环验[2017]10号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2017年1月10日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5</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芜湖新兴铸管有限责任公司2×265m</w:t>
            </w:r>
            <w:r>
              <w:rPr>
                <w:rFonts w:ascii="Times New Roman" w:hAnsi="Times New Roman" w:eastAsia="宋体" w:cs="Times New Roman"/>
                <w:szCs w:val="21"/>
                <w:vertAlign w:val="superscript"/>
              </w:rPr>
              <w:t>2</w:t>
            </w:r>
            <w:r>
              <w:rPr>
                <w:rFonts w:ascii="Times New Roman" w:hAnsi="Times New Roman" w:eastAsia="宋体" w:cs="Times New Roman"/>
                <w:szCs w:val="21"/>
              </w:rPr>
              <w:t>烧结机技术改造项目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将180m</w:t>
            </w:r>
            <w:r>
              <w:rPr>
                <w:rFonts w:ascii="Times New Roman" w:hAnsi="Times New Roman" w:eastAsia="宋体" w:cs="Times New Roman"/>
                <w:szCs w:val="21"/>
                <w:vertAlign w:val="superscript"/>
              </w:rPr>
              <w:t>2</w:t>
            </w:r>
            <w:r>
              <w:rPr>
                <w:rFonts w:ascii="Times New Roman" w:hAnsi="Times New Roman" w:eastAsia="宋体" w:cs="Times New Roman"/>
                <w:szCs w:val="21"/>
              </w:rPr>
              <w:t>烧结机改造为265m</w:t>
            </w:r>
            <w:r>
              <w:rPr>
                <w:rFonts w:ascii="Times New Roman" w:hAnsi="Times New Roman" w:eastAsia="宋体" w:cs="Times New Roman"/>
                <w:szCs w:val="21"/>
                <w:vertAlign w:val="superscript"/>
              </w:rPr>
              <w:t>2</w:t>
            </w:r>
            <w:r>
              <w:rPr>
                <w:rFonts w:ascii="Times New Roman" w:hAnsi="Times New Roman" w:eastAsia="宋体" w:cs="Times New Roman"/>
                <w:szCs w:val="21"/>
              </w:rPr>
              <w:t>烧结机，具体改造内容如下：1）对现有配料、混合、烧结系统（含布料装置、烧结机台车、单辊破碎机等）重新设计选型；2）对现有整粒、成品系统进行改造；3）对现有环冷机重新设计选型；4）对相关能源供应设备、设施及电气装置等配套升级改造；5）对相关环保设施进行改造和建设，包括：规模变大带来的重新选型；增设烧结机机头烟气脱硝设施；机尾电除尘系统改造为电袋复合除尘系统；将现有整粒除尘系统拆除，将其并入烧结机机尾除尘系统</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环行审[2016]79号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2016年11月23日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环验[2017]11号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2017年1月10日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6</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芜湖新兴铸管有限责任公司35t/h锅炉搬迁改造项目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针对现有部分剩余煤气点燃外排放现象，对弋江区老厂区停产后的一台35t/h燃气锅炉实施搬迁改造，将剩余煤气燃烧产生的热能用于余热发电项目或生产</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环行审[2017]108号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2017年3月31日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环验[2017]198号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2017年10月18日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7</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芜湖新兴铸管有限责任公司连铸机技术改造项目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在不添加现有转炉、电炉等炼钢设备和不新增炼钢产能的前提下，降低普碳钢的比例、扩大特殊钢的比例，增设1套10机10流的特殊钢方坯连铸机和1套6机6流的特殊钢园连铸机</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环行审[2017]109号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2017年3月31日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环验[2017]200号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2017年10月18日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8</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芜湖新兴铸管有限责任公司中棒技术改造项目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轧钢系统已成设一条小规格棒材生产线、两条高速线材生产线、一条大棒生产线，原搬迁技术改造项目环评批复的银亮材生产线因市场需求不旺、暂缓实施；为此，该公司进行内部产品结构调整，在轧钢车间原银亮材生产线区域内实施中棒技术改造项目，对现有钢材产品结构进行调整：缩减线材产量、增加特殊钢棒材的产量，建成后形成一条年产30万t中棒的生产能力</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环行审[2017]110号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2017年3月31日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环验[2017]201号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2017年10月18日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9</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芜湖新兴铸管有限责任公司矿渣微粉技术改造项目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购置皮带机、斗提机、除铁器、立磨、汽车形装机等相应设备，对高炉水渣改建二条矿渣微粉生产线，形成年产150万t矿渣微粉生产线项目</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环行审[2017]111号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2017年3月31日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环验[2017]199号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2017年10月18日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10</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芜湖新兴铸管有限责任公司焦化废水升级提标改造项目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对焦化废水处理站进行升级提标改造，主要在现有焦化废水预处理工序后面新增XL-强化预处理系统（AS装置）1套，将现有焦化废水处理的曝气头更换为XL-H悬插管式曝气装置。在现有焦化废水处理站最终出水处扩建1套每小时100m</w:t>
            </w:r>
            <w:r>
              <w:rPr>
                <w:rFonts w:ascii="Times New Roman" w:hAnsi="Times New Roman" w:eastAsia="宋体" w:cs="Times New Roman"/>
                <w:szCs w:val="21"/>
                <w:vertAlign w:val="superscript"/>
              </w:rPr>
              <w:t>3</w:t>
            </w:r>
            <w:r>
              <w:rPr>
                <w:rFonts w:ascii="Times New Roman" w:hAnsi="Times New Roman" w:eastAsia="宋体" w:cs="Times New Roman"/>
                <w:szCs w:val="21"/>
              </w:rPr>
              <w:t>的焦化废水中水处理系统，年再生水可达57.6万t</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环行审[2017]169号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2017年5月26日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企业自主验收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11</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芜湖新兴铸管有限责任公司搬迁技术改造项目现状评价</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环行审[2017]37号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2017年7月12日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环验[2017]123号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2017年7月31日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4" w:hRule="atLeast"/>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12</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芜湖新兴铸管有限责任公司三山制氧10000Nm</w:t>
            </w:r>
            <w:r>
              <w:rPr>
                <w:rFonts w:ascii="Times New Roman" w:hAnsi="Times New Roman" w:eastAsia="宋体" w:cs="Times New Roman"/>
                <w:szCs w:val="21"/>
                <w:vertAlign w:val="superscript"/>
              </w:rPr>
              <w:t>3</w:t>
            </w:r>
            <w:r>
              <w:rPr>
                <w:rFonts w:ascii="Times New Roman" w:hAnsi="Times New Roman" w:eastAsia="宋体" w:cs="Times New Roman"/>
                <w:szCs w:val="21"/>
              </w:rPr>
              <w:t>/h空分设备搬迁改造项目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现拥有两套15000Nm</w:t>
            </w:r>
            <w:r>
              <w:rPr>
                <w:rFonts w:ascii="Times New Roman" w:hAnsi="Times New Roman" w:eastAsia="宋体" w:cs="Times New Roman"/>
                <w:szCs w:val="21"/>
                <w:vertAlign w:val="superscript"/>
              </w:rPr>
              <w:t>3</w:t>
            </w:r>
            <w:r>
              <w:rPr>
                <w:rFonts w:ascii="Times New Roman" w:hAnsi="Times New Roman" w:eastAsia="宋体" w:cs="Times New Roman"/>
                <w:szCs w:val="21"/>
              </w:rPr>
              <w:t>/h制氧机组，总制氧量为30000Nm</w:t>
            </w:r>
            <w:r>
              <w:rPr>
                <w:rFonts w:ascii="Times New Roman" w:hAnsi="Times New Roman" w:eastAsia="宋体" w:cs="Times New Roman"/>
                <w:szCs w:val="21"/>
                <w:vertAlign w:val="superscript"/>
              </w:rPr>
              <w:t>3</w:t>
            </w:r>
            <w:r>
              <w:rPr>
                <w:rFonts w:ascii="Times New Roman" w:hAnsi="Times New Roman" w:eastAsia="宋体" w:cs="Times New Roman"/>
                <w:szCs w:val="21"/>
              </w:rPr>
              <w:t>/h，拟搬迁弋江老厂区的一套10000Nm</w:t>
            </w:r>
            <w:r>
              <w:rPr>
                <w:rFonts w:ascii="Times New Roman" w:hAnsi="Times New Roman" w:eastAsia="宋体" w:cs="Times New Roman"/>
                <w:szCs w:val="21"/>
                <w:vertAlign w:val="superscript"/>
              </w:rPr>
              <w:t>3</w:t>
            </w:r>
            <w:r>
              <w:rPr>
                <w:rFonts w:ascii="Times New Roman" w:hAnsi="Times New Roman" w:eastAsia="宋体" w:cs="Times New Roman"/>
                <w:szCs w:val="21"/>
              </w:rPr>
              <w:t>/h制氧机组，作为现有制氧机组的备用机组。根据市场调节，厂区满负荷运行时，开启两套15000Nm</w:t>
            </w:r>
            <w:r>
              <w:rPr>
                <w:rFonts w:ascii="Times New Roman" w:hAnsi="Times New Roman" w:eastAsia="宋体" w:cs="Times New Roman"/>
                <w:szCs w:val="21"/>
                <w:vertAlign w:val="superscript"/>
              </w:rPr>
              <w:t>3</w:t>
            </w:r>
            <w:r>
              <w:rPr>
                <w:rFonts w:ascii="Times New Roman" w:hAnsi="Times New Roman" w:eastAsia="宋体" w:cs="Times New Roman"/>
                <w:szCs w:val="21"/>
              </w:rPr>
              <w:t>/h制氧机组；厂区减产运行时，开启一套15000Nm</w:t>
            </w:r>
            <w:r>
              <w:rPr>
                <w:rFonts w:ascii="Times New Roman" w:hAnsi="Times New Roman" w:eastAsia="宋体" w:cs="Times New Roman"/>
                <w:szCs w:val="21"/>
                <w:vertAlign w:val="superscript"/>
              </w:rPr>
              <w:t>3</w:t>
            </w:r>
            <w:r>
              <w:rPr>
                <w:rFonts w:ascii="Times New Roman" w:hAnsi="Times New Roman" w:eastAsia="宋体" w:cs="Times New Roman"/>
                <w:szCs w:val="21"/>
              </w:rPr>
              <w:t>/h制氧机组和10000Nm</w:t>
            </w:r>
            <w:r>
              <w:rPr>
                <w:rFonts w:ascii="Times New Roman" w:hAnsi="Times New Roman" w:eastAsia="宋体" w:cs="Times New Roman"/>
                <w:szCs w:val="21"/>
                <w:vertAlign w:val="superscript"/>
              </w:rPr>
              <w:t>3</w:t>
            </w:r>
            <w:r>
              <w:rPr>
                <w:rFonts w:ascii="Times New Roman" w:hAnsi="Times New Roman" w:eastAsia="宋体" w:cs="Times New Roman"/>
                <w:szCs w:val="21"/>
              </w:rPr>
              <w:t>/h制氧机组</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环行审[2017]399号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2017年12月31日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企业自主验收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13</w:t>
            </w:r>
          </w:p>
        </w:tc>
        <w:tc>
          <w:tcPr>
            <w:tcW w:w="28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芜湖新兴铸管有限责任公司焦炉烟气控硝及脱硫脱硝项目</w:t>
            </w:r>
          </w:p>
        </w:tc>
        <w:tc>
          <w:tcPr>
            <w:tcW w:w="589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采用新型催化法脱硫+低温SCR脱硝装置处理焦炉烟气中的烟尘、SO</w:t>
            </w:r>
            <w:r>
              <w:rPr>
                <w:rFonts w:ascii="Times New Roman" w:hAnsi="Times New Roman" w:eastAsia="宋体" w:cs="Times New Roman"/>
                <w:szCs w:val="21"/>
                <w:vertAlign w:val="subscript"/>
              </w:rPr>
              <w:t>2</w:t>
            </w:r>
            <w:r>
              <w:rPr>
                <w:rFonts w:ascii="Times New Roman" w:hAnsi="Times New Roman" w:eastAsia="宋体" w:cs="Times New Roman"/>
                <w:szCs w:val="21"/>
              </w:rPr>
              <w:t>、NOx</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芜湖市环保局 芜环评审[2018]527号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2018年10月15日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工程建设中，</w:t>
            </w:r>
            <w:r>
              <w:rPr>
                <w:rFonts w:ascii="Times New Roman" w:hAnsi="Times New Roman" w:eastAsia="宋体" w:cs="Times New Roman"/>
                <w:color w:val="FF0000"/>
                <w:szCs w:val="21"/>
              </w:rPr>
              <w:t>暂未验收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5"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14</w:t>
            </w:r>
          </w:p>
        </w:tc>
        <w:tc>
          <w:tcPr>
            <w:tcW w:w="2822" w:type="dxa"/>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szCs w:val="21"/>
                <w:lang w:eastAsia="zh-CN"/>
              </w:rPr>
            </w:pPr>
            <w:r>
              <w:rPr>
                <w:rFonts w:ascii="Times New Roman" w:hAnsi="Times New Roman" w:eastAsia="宋体" w:cs="Times New Roman"/>
                <w:szCs w:val="21"/>
              </w:rPr>
              <w:t>芜湖新兴铸管有限责任公司</w:t>
            </w:r>
            <w:r>
              <w:rPr>
                <w:rFonts w:hint="eastAsia" w:ascii="Times New Roman" w:hAnsi="Times New Roman" w:eastAsia="宋体" w:cs="Times New Roman"/>
                <w:szCs w:val="21"/>
                <w:lang w:eastAsia="zh-CN"/>
              </w:rPr>
              <w:t>烧结机活性焦脱硫脱硝项目</w:t>
            </w:r>
          </w:p>
        </w:tc>
        <w:tc>
          <w:tcPr>
            <w:tcW w:w="5895"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szCs w:val="21"/>
                <w:lang w:val="en-US" w:eastAsia="zh-CN"/>
              </w:rPr>
            </w:pPr>
            <w:r>
              <w:rPr>
                <w:rFonts w:ascii="Times New Roman" w:hAnsi="Times New Roman" w:eastAsia="宋体" w:cs="Times New Roman"/>
                <w:szCs w:val="21"/>
              </w:rPr>
              <w:t>对2×265m</w:t>
            </w:r>
            <w:r>
              <w:rPr>
                <w:rFonts w:ascii="Times New Roman" w:hAnsi="Times New Roman" w:eastAsia="宋体" w:cs="Times New Roman"/>
                <w:szCs w:val="21"/>
                <w:vertAlign w:val="superscript"/>
              </w:rPr>
              <w:t>2</w:t>
            </w:r>
            <w:r>
              <w:rPr>
                <w:rFonts w:ascii="Times New Roman" w:hAnsi="Times New Roman" w:eastAsia="宋体" w:cs="Times New Roman"/>
                <w:szCs w:val="21"/>
              </w:rPr>
              <w:t>烧结机机头烟气进行SO</w:t>
            </w:r>
            <w:r>
              <w:rPr>
                <w:rFonts w:ascii="Times New Roman" w:hAnsi="Times New Roman" w:eastAsia="宋体" w:cs="Times New Roman"/>
                <w:szCs w:val="21"/>
                <w:vertAlign w:val="subscript"/>
              </w:rPr>
              <w:t>2</w:t>
            </w:r>
            <w:r>
              <w:rPr>
                <w:rFonts w:ascii="Times New Roman" w:hAnsi="Times New Roman" w:eastAsia="宋体" w:cs="Times New Roman"/>
                <w:szCs w:val="21"/>
              </w:rPr>
              <w:t>、NO</w:t>
            </w:r>
            <w:r>
              <w:rPr>
                <w:rFonts w:ascii="Times New Roman" w:hAnsi="Times New Roman" w:eastAsia="宋体" w:cs="Times New Roman"/>
                <w:szCs w:val="21"/>
                <w:vertAlign w:val="subscript"/>
              </w:rPr>
              <w:t>X</w:t>
            </w:r>
            <w:r>
              <w:rPr>
                <w:rFonts w:ascii="Times New Roman" w:hAnsi="Times New Roman" w:eastAsia="宋体" w:cs="Times New Roman"/>
                <w:szCs w:val="21"/>
              </w:rPr>
              <w:t>、颗粒物超低排放改造</w:t>
            </w:r>
            <w:r>
              <w:rPr>
                <w:rFonts w:hint="eastAsia" w:ascii="Times New Roman" w:hAnsi="Times New Roman" w:eastAsia="宋体" w:cs="Times New Roman"/>
                <w:szCs w:val="21"/>
                <w:lang w:eastAsia="zh-CN"/>
              </w:rPr>
              <w:t>，改造内容主要包括（</w:t>
            </w:r>
            <w:r>
              <w:rPr>
                <w:rFonts w:hint="eastAsia" w:ascii="Times New Roman" w:hAnsi="Times New Roman" w:eastAsia="宋体" w:cs="Times New Roman"/>
                <w:szCs w:val="21"/>
                <w:lang w:val="en-US" w:eastAsia="zh-CN"/>
              </w:rPr>
              <w:t>1</w:t>
            </w:r>
            <w:r>
              <w:rPr>
                <w:rFonts w:hint="eastAsia" w:ascii="Times New Roman" w:hAnsi="Times New Roman" w:eastAsia="宋体" w:cs="Times New Roman"/>
                <w:szCs w:val="21"/>
                <w:lang w:eastAsia="zh-CN"/>
              </w:rPr>
              <w:t>）对现有2套H</w:t>
            </w:r>
            <w:r>
              <w:rPr>
                <w:rFonts w:hint="eastAsia" w:ascii="Times New Roman" w:hAnsi="Times New Roman" w:eastAsia="宋体" w:cs="Times New Roman"/>
                <w:szCs w:val="21"/>
                <w:vertAlign w:val="subscript"/>
                <w:lang w:eastAsia="zh-CN"/>
              </w:rPr>
              <w:t>2</w:t>
            </w:r>
            <w:r>
              <w:rPr>
                <w:rFonts w:hint="eastAsia" w:ascii="Times New Roman" w:hAnsi="Times New Roman" w:eastAsia="宋体" w:cs="Times New Roman"/>
                <w:szCs w:val="21"/>
                <w:lang w:eastAsia="zh-CN"/>
              </w:rPr>
              <w:t>-SCR脱硝系统+石灰石石膏湿法脱硫系统进行拆除，（</w:t>
            </w:r>
            <w:r>
              <w:rPr>
                <w:rFonts w:hint="eastAsia" w:ascii="Times New Roman" w:hAnsi="Times New Roman" w:eastAsia="宋体" w:cs="Times New Roman"/>
                <w:szCs w:val="21"/>
                <w:lang w:val="en-US" w:eastAsia="zh-CN"/>
              </w:rPr>
              <w:t>2</w:t>
            </w:r>
            <w:r>
              <w:rPr>
                <w:rFonts w:hint="eastAsia" w:ascii="Times New Roman" w:hAnsi="Times New Roman" w:eastAsia="宋体" w:cs="Times New Roman"/>
                <w:szCs w:val="21"/>
                <w:lang w:eastAsia="zh-CN"/>
              </w:rPr>
              <w:t>）对现有2根70m高脱硫塔烟囱进行拆除，保留现有150m高烟囱，保留现有2套双室四电场静电除尘器，（</w:t>
            </w:r>
            <w:r>
              <w:rPr>
                <w:rFonts w:hint="eastAsia" w:ascii="Times New Roman" w:hAnsi="Times New Roman" w:eastAsia="宋体" w:cs="Times New Roman"/>
                <w:szCs w:val="21"/>
                <w:lang w:val="en-US" w:eastAsia="zh-CN"/>
              </w:rPr>
              <w:t>3</w:t>
            </w:r>
            <w:r>
              <w:rPr>
                <w:rFonts w:hint="eastAsia" w:ascii="Times New Roman" w:hAnsi="Times New Roman" w:eastAsia="宋体" w:cs="Times New Roman"/>
                <w:szCs w:val="21"/>
                <w:lang w:eastAsia="zh-CN"/>
              </w:rPr>
              <w:t>）采用活性炭脱硫脱硝一体化技术，对2套265m</w:t>
            </w:r>
            <w:r>
              <w:rPr>
                <w:rFonts w:hint="eastAsia" w:ascii="Times New Roman" w:hAnsi="Times New Roman" w:eastAsia="宋体" w:cs="Times New Roman"/>
                <w:szCs w:val="21"/>
                <w:vertAlign w:val="superscript"/>
                <w:lang w:eastAsia="zh-CN"/>
              </w:rPr>
              <w:t>2</w:t>
            </w:r>
            <w:r>
              <w:rPr>
                <w:rFonts w:hint="eastAsia" w:ascii="Times New Roman" w:hAnsi="Times New Roman" w:eastAsia="宋体" w:cs="Times New Roman"/>
                <w:szCs w:val="21"/>
                <w:lang w:eastAsia="zh-CN"/>
              </w:rPr>
              <w:t>烧结机分别建设一套活性炭脱硫脱硝净化再生装置，同步合建一套制酸、供氨系统，（</w:t>
            </w:r>
            <w:r>
              <w:rPr>
                <w:rFonts w:hint="eastAsia" w:ascii="Times New Roman" w:hAnsi="Times New Roman" w:eastAsia="宋体" w:cs="Times New Roman"/>
                <w:szCs w:val="21"/>
                <w:lang w:val="en-US" w:eastAsia="zh-CN"/>
              </w:rPr>
              <w:t>4</w:t>
            </w:r>
            <w:r>
              <w:rPr>
                <w:rFonts w:hint="eastAsia" w:ascii="Times New Roman" w:hAnsi="Times New Roman" w:eastAsia="宋体" w:cs="Times New Roman"/>
                <w:szCs w:val="21"/>
                <w:lang w:eastAsia="zh-CN"/>
              </w:rPr>
              <w:t>）对相关能源供应设备、设施及电气装置等配套升级改造，（</w:t>
            </w:r>
            <w:r>
              <w:rPr>
                <w:rFonts w:hint="eastAsia" w:ascii="Times New Roman" w:hAnsi="Times New Roman" w:eastAsia="宋体" w:cs="Times New Roman"/>
                <w:szCs w:val="21"/>
                <w:lang w:val="en-US" w:eastAsia="zh-CN"/>
              </w:rPr>
              <w:t>5</w:t>
            </w:r>
            <w:r>
              <w:rPr>
                <w:rFonts w:hint="eastAsia" w:ascii="Times New Roman" w:hAnsi="Times New Roman" w:eastAsia="宋体" w:cs="Times New Roman"/>
                <w:szCs w:val="21"/>
                <w:lang w:eastAsia="zh-CN"/>
              </w:rPr>
              <w:t>）在2条活性炭输送系统上分别建设1套布袋除尘装置+15米高排气筒</w:t>
            </w:r>
          </w:p>
        </w:tc>
        <w:tc>
          <w:tcPr>
            <w:tcW w:w="23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芜湖市</w:t>
            </w:r>
            <w:r>
              <w:rPr>
                <w:rFonts w:hint="eastAsia" w:ascii="Times New Roman" w:hAnsi="Times New Roman" w:eastAsia="宋体" w:cs="Times New Roman"/>
                <w:szCs w:val="21"/>
                <w:lang w:eastAsia="zh-CN"/>
              </w:rPr>
              <w:t>生态环境局</w:t>
            </w:r>
            <w:r>
              <w:rPr>
                <w:rFonts w:ascii="Times New Roman" w:hAnsi="Times New Roman" w:eastAsia="宋体" w:cs="Times New Roman"/>
                <w:szCs w:val="21"/>
              </w:rPr>
              <w:t xml:space="preserve"> 芜环评审[201</w:t>
            </w:r>
            <w:r>
              <w:rPr>
                <w:rFonts w:hint="eastAsia" w:ascii="Times New Roman" w:hAnsi="Times New Roman" w:eastAsia="宋体" w:cs="Times New Roman"/>
                <w:szCs w:val="21"/>
                <w:lang w:val="en-US" w:eastAsia="zh-CN"/>
              </w:rPr>
              <w:t>9</w:t>
            </w:r>
            <w:r>
              <w:rPr>
                <w:rFonts w:ascii="Times New Roman" w:hAnsi="Times New Roman" w:eastAsia="宋体" w:cs="Times New Roman"/>
                <w:szCs w:val="21"/>
              </w:rPr>
              <w:t>]</w:t>
            </w:r>
            <w:r>
              <w:rPr>
                <w:rFonts w:hint="eastAsia" w:ascii="Times New Roman" w:hAnsi="Times New Roman" w:eastAsia="宋体" w:cs="Times New Roman"/>
                <w:szCs w:val="21"/>
                <w:lang w:val="en-US" w:eastAsia="zh-CN"/>
              </w:rPr>
              <w:t>233</w:t>
            </w:r>
            <w:r>
              <w:rPr>
                <w:rFonts w:ascii="Times New Roman" w:hAnsi="Times New Roman" w:eastAsia="宋体" w:cs="Times New Roman"/>
                <w:szCs w:val="21"/>
              </w:rPr>
              <w:t>号</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201</w:t>
            </w:r>
            <w:r>
              <w:rPr>
                <w:rFonts w:hint="eastAsia" w:ascii="Times New Roman" w:hAnsi="Times New Roman" w:eastAsia="宋体" w:cs="Times New Roman"/>
                <w:szCs w:val="21"/>
                <w:lang w:val="en-US" w:eastAsia="zh-CN"/>
              </w:rPr>
              <w:t>9</w:t>
            </w:r>
            <w:r>
              <w:rPr>
                <w:rFonts w:ascii="Times New Roman" w:hAnsi="Times New Roman" w:eastAsia="宋体" w:cs="Times New Roman"/>
                <w:szCs w:val="21"/>
              </w:rPr>
              <w:t>年</w:t>
            </w:r>
            <w:r>
              <w:rPr>
                <w:rFonts w:hint="eastAsia" w:ascii="Times New Roman" w:hAnsi="Times New Roman" w:eastAsia="宋体" w:cs="Times New Roman"/>
                <w:szCs w:val="21"/>
                <w:lang w:val="en-US" w:eastAsia="zh-CN"/>
              </w:rPr>
              <w:t>6</w:t>
            </w:r>
            <w:r>
              <w:rPr>
                <w:rFonts w:ascii="Times New Roman" w:hAnsi="Times New Roman" w:eastAsia="宋体" w:cs="Times New Roman"/>
                <w:szCs w:val="21"/>
              </w:rPr>
              <w:t>月</w:t>
            </w:r>
            <w:r>
              <w:rPr>
                <w:rFonts w:hint="eastAsia" w:ascii="Times New Roman" w:hAnsi="Times New Roman" w:eastAsia="宋体" w:cs="Times New Roman"/>
                <w:szCs w:val="21"/>
                <w:lang w:val="en-US" w:eastAsia="zh-CN"/>
              </w:rPr>
              <w:t>3</w:t>
            </w:r>
            <w:r>
              <w:rPr>
                <w:rFonts w:ascii="Times New Roman" w:hAnsi="Times New Roman" w:eastAsia="宋体" w:cs="Times New Roman"/>
                <w:szCs w:val="21"/>
              </w:rPr>
              <w:t>日</w:t>
            </w:r>
          </w:p>
        </w:tc>
        <w:tc>
          <w:tcPr>
            <w:tcW w:w="24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工程建设中，</w:t>
            </w:r>
            <w:r>
              <w:rPr>
                <w:rFonts w:ascii="Times New Roman" w:hAnsi="Times New Roman" w:eastAsia="宋体" w:cs="Times New Roman"/>
                <w:color w:val="FF0000"/>
                <w:szCs w:val="21"/>
              </w:rPr>
              <w:t>暂未验收</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pStyle w:val="2"/>
        <w:keepNext w:val="0"/>
        <w:keepLines w:val="0"/>
        <w:pageBreakBefore w:val="0"/>
        <w:kinsoku/>
        <w:wordWrap/>
        <w:bidi w:val="0"/>
        <w:snapToGrid/>
        <w:rPr>
          <w:rFonts w:ascii="Times New Roman" w:hAnsi="Times New Roman" w:eastAsia="宋体" w:cs="Times New Roman"/>
          <w:bCs/>
          <w:sz w:val="24"/>
          <w:szCs w:val="24"/>
        </w:rPr>
      </w:pPr>
    </w:p>
    <w:p>
      <w:pPr>
        <w:pStyle w:val="2"/>
        <w:keepNext w:val="0"/>
        <w:keepLines w:val="0"/>
        <w:pageBreakBefore w:val="0"/>
        <w:kinsoku/>
        <w:wordWrap/>
        <w:bidi w:val="0"/>
        <w:snapToGrid/>
        <w:rPr>
          <w:rFonts w:ascii="Times New Roman" w:hAnsi="Times New Roman" w:eastAsia="宋体" w:cs="Times New Roman"/>
          <w:bCs/>
          <w:sz w:val="24"/>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2.1.2环保措施落实情况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结合现有厂区项目环评批复进而分析项目环评批复要求落实情况，详见表2.1-2。</w:t>
      </w:r>
    </w:p>
    <w:p>
      <w:pPr>
        <w:pStyle w:val="31"/>
        <w:keepNext w:val="0"/>
        <w:keepLines w:val="0"/>
        <w:pageBreakBefore w:val="0"/>
        <w:kinsoku/>
        <w:wordWrap/>
        <w:bidi w:val="0"/>
        <w:snapToGrid/>
        <w:spacing w:line="360" w:lineRule="auto"/>
        <w:rPr>
          <w:rFonts w:cs="Times New Roman"/>
        </w:rPr>
      </w:pPr>
      <w:r>
        <w:rPr>
          <w:rFonts w:cs="Times New Roman"/>
        </w:rPr>
        <w:t>表2.1-2  芜湖新兴铸管现有厂区项目环保措施落实情况一览表</w:t>
      </w:r>
    </w:p>
    <w:tbl>
      <w:tblPr>
        <w:tblStyle w:val="22"/>
        <w:tblW w:w="1417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0"/>
        <w:gridCol w:w="5848"/>
        <w:gridCol w:w="4395"/>
        <w:gridCol w:w="1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tcBorders>
              <w:top w:val="single" w:color="auto" w:sz="12" w:space="0"/>
              <w:left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项目名称</w:t>
            </w:r>
          </w:p>
        </w:tc>
        <w:tc>
          <w:tcPr>
            <w:tcW w:w="5848" w:type="dxa"/>
            <w:tcBorders>
              <w:top w:val="single" w:color="auto" w:sz="12" w:space="0"/>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环评批复要求</w:t>
            </w:r>
          </w:p>
        </w:tc>
        <w:tc>
          <w:tcPr>
            <w:tcW w:w="4395" w:type="dxa"/>
            <w:tcBorders>
              <w:top w:val="single" w:color="auto" w:sz="12" w:space="0"/>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实际建设情况</w:t>
            </w:r>
          </w:p>
        </w:tc>
        <w:tc>
          <w:tcPr>
            <w:tcW w:w="1400" w:type="dxa"/>
            <w:tcBorders>
              <w:top w:val="single" w:color="auto" w:sz="12" w:space="0"/>
              <w:right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restart"/>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芜湖新兴铸管有限责任公司搬迁技术改造项目现状评价</w:t>
            </w: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搬迁项目防护距离为焦炉外扩1000m、高炉外扩1200m范围的包络线。建设单位需积极配合有关部门做好规划控制工作，该项目防护距离内不得规划居民区、学校、医院等环境敏感建筑物，并设置足够距离的环境防护隔离带，减轻区域内环境风险，协调好工业发展与城市建设的关系，避免因产业发展对城市建设、居民生活等造成不利环境影响</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项目现已搬迁完成，焦炉外1000m、高炉外1200米的卫生防护距离内无居民区、学校、医院等环境敏感建筑</w:t>
            </w:r>
            <w:r>
              <w:rPr>
                <w:rFonts w:ascii="Times New Roman" w:hAnsi="Times New Roman" w:eastAsia="宋体" w:cs="Times New Roman"/>
                <w:szCs w:val="21"/>
                <w:highlight w:val="none"/>
              </w:rPr>
              <w:t>物。见</w:t>
            </w:r>
            <w:r>
              <w:rPr>
                <w:rFonts w:hint="eastAsia" w:ascii="Times New Roman" w:hAnsi="Times New Roman" w:eastAsia="宋体" w:cs="Times New Roman"/>
                <w:szCs w:val="21"/>
                <w:highlight w:val="none"/>
                <w:lang w:eastAsia="zh-CN"/>
              </w:rPr>
              <w:t>图</w:t>
            </w:r>
            <w:r>
              <w:rPr>
                <w:rFonts w:hint="eastAsia" w:ascii="Times New Roman" w:hAnsi="Times New Roman" w:eastAsia="宋体" w:cs="Times New Roman"/>
                <w:szCs w:val="21"/>
                <w:highlight w:val="none"/>
                <w:lang w:val="en-US" w:eastAsia="zh-CN"/>
              </w:rPr>
              <w:t>6.1-3厂区大气环境防护距离</w:t>
            </w:r>
            <w:r>
              <w:rPr>
                <w:rFonts w:ascii="Times New Roman" w:hAnsi="Times New Roman" w:eastAsia="宋体" w:cs="Times New Roman"/>
                <w:szCs w:val="21"/>
                <w:highlight w:val="none"/>
              </w:rPr>
              <w:t>包络线图</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严格对照国家、省级《大气污染防治行动计划》，认真落实</w:t>
            </w:r>
            <w:r>
              <w:rPr>
                <w:rFonts w:hint="eastAsia" w:ascii="Times New Roman" w:hAnsi="Times New Roman" w:eastAsia="宋体" w:cs="Times New Roman"/>
                <w:szCs w:val="21"/>
                <w:lang w:eastAsia="zh-CN"/>
              </w:rPr>
              <w:t>芜湖</w:t>
            </w:r>
            <w:r>
              <w:rPr>
                <w:rFonts w:ascii="Times New Roman" w:hAnsi="Times New Roman" w:eastAsia="宋体" w:cs="Times New Roman"/>
                <w:szCs w:val="21"/>
              </w:rPr>
              <w:t>市《大气污染防治行动实施方案》，加强各类粉尘、废气、异味等污染治理工作，进一步优化治理方案，加强设备的维护与保养，落实正常工况的良好运行，确保稳定达标排放</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企业严格按照国家有关标准规范要求进行生产，并加强对生产过程中产生的粉尘、废气的治理工作，并且针对不同工段以及工艺设计了不同的处理方式，企业定期对处理设施进行维护和保养，确保了设施的良好运行，保证污染物稳定达标排放</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综合原料场设置防风抑尘网和喷水抑尘设施，输送、转运各产尘部位设置密闭罩，采用袋式除尘器处理处置，粉尘、废气排放执行《炼铁工业大气污染物排放标准》（GB28663-2012）中限值要求。烧结机生产应采用铺底料工艺，以减少烟气原始含尘浓度，同时对烧结机各产尘点均设密闭罩，抽风强制除尘，以控制其烟、粉尘的排放。针对烧结机机头烧结生产过程中产生的含尘、SO</w:t>
            </w:r>
            <w:r>
              <w:rPr>
                <w:rFonts w:ascii="Times New Roman" w:hAnsi="Times New Roman" w:eastAsia="宋体" w:cs="Times New Roman"/>
                <w:color w:val="000000"/>
                <w:szCs w:val="21"/>
                <w:vertAlign w:val="subscript"/>
              </w:rPr>
              <w:t>2</w:t>
            </w:r>
            <w:r>
              <w:rPr>
                <w:rFonts w:ascii="Times New Roman" w:hAnsi="Times New Roman" w:eastAsia="宋体" w:cs="Times New Roman"/>
                <w:color w:val="000000"/>
                <w:szCs w:val="21"/>
              </w:rPr>
              <w:t>、NO</w:t>
            </w:r>
            <w:r>
              <w:rPr>
                <w:rFonts w:ascii="Times New Roman" w:hAnsi="Times New Roman" w:eastAsia="宋体" w:cs="Times New Roman"/>
                <w:color w:val="000000"/>
                <w:szCs w:val="21"/>
                <w:vertAlign w:val="subscript"/>
              </w:rPr>
              <w:t>X</w:t>
            </w:r>
            <w:r>
              <w:rPr>
                <w:rFonts w:ascii="Times New Roman" w:hAnsi="Times New Roman" w:eastAsia="宋体" w:cs="Times New Roman"/>
                <w:color w:val="000000"/>
                <w:szCs w:val="21"/>
              </w:rPr>
              <w:t>和二噁英的废气，2台烧结机各设一套H2-SCR脱硝系统＋双室四电场静电除尘器净化＋湿式石灰石石膏法脱硫系统处理处置，净化后废气由高70米烟囱排放；针对烧结机尾产生的含尘废气，2台烧结机各设置1台电袋复合除尘器（1电加3布袋）净化，净化后废气经45米高烟囱排放；针对燃料破碎、配料及转运等产生的含尘废气，2台烧结机共设置1套防爆型袋式除尘净化器和1套袋式除尘器净化，净化后废气经40米高烟囱排放；所有含尘废气外排执行《钢铁烧结、球团工业大气污染物排放标准》（GB28662-2012）新建企业排放限值要求。焦化系统需采用逸散烟尘收集系统，避免煤尘、焦尘外逸，特别是熄焦工段应采用干法熄焦工艺，湿法熄焦只作为干熄法出现故障或检修时使用；炼焦、推焦、出焦、熄焦、筛焦等工艺产生的废气，宜采用袋式除尘技术处理处置，废气排放执行《炼焦化学工业污染物排放标准》（GB16171-2012）新建企业排放标准要求。高炉煤气以及原煤仓、高炉原料、燃料转运、高炉出铁等处产生的废气，采用袋式除尘器处理，废气排放执行《炼铁工业大气污染物排放标准》（GB28663-2012）新建企业排放标准要求。转炉一次烟气采用干法电除尘净化处理并回收煤气，转炉二次烟气、铁水预处理、拆炉、拆包、地下料仓、连铸中间罐倾翻以及电炉冶炼、LF精炼炉冶炼、石灰石上料破碎筛分、回转窑窑头、窑尾等处产生的废气均采用袋式除尘器处理，废气排放执行《炼钢工业大气污染物排放标准》（GB28664-2012）。混铁炉、工频炉入料、增温调制、喂丝球化、离心浇注等过程产生的废气，采用袋式除尘器处理；熔化锌丝喷到铸管表面时产生的废气，采用重力加袋式除尘相结合的净化系统处理。废气排放执行《大气污染物综合排放标准》（GB16297-1996）限值要求；针对三乙胺尾气执行《冷芯盒射芯机技术条件》（JB/T5316-2006）中相关要求。发电站锅炉以煤气为燃料，产生的烟气经60米高排气筒排放，废气排放执行《火电厂大气污染物排放标准》（GB13223-2011）中相关限值要求和《锅炉大气污染物排放标准》（GB13271-2014）中相关要求。项目中所有排气筒都应符合环保要求</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综合原料场设置防风抑尘网，定期定时喷水抑尘，在生产时，输送和转运等工段设置密闭罩，并采用袋式除尘器对收集粉尘进行处置最终分别通过22m和15m的排气筒排放，其污染物排放均能符合《炼铁工业大气污染物排放标准》（GB28663-2012）中相关限值要求。</w:t>
            </w:r>
          </w:p>
          <w:p>
            <w:pPr>
              <w:keepNext w:val="0"/>
              <w:keepLines w:val="0"/>
              <w:pageBreakBefore w:val="0"/>
              <w:kinsoku/>
              <w:wordWrap/>
              <w:bidi w:val="0"/>
              <w:snapToGrid/>
              <w:jc w:val="center"/>
              <w:rPr>
                <w:rFonts w:ascii="Times New Roman" w:hAnsi="Times New Roman" w:eastAsia="宋体" w:cs="Times New Roman"/>
                <w:strike/>
                <w:color w:val="000000"/>
                <w:szCs w:val="21"/>
              </w:rPr>
            </w:pPr>
            <w:r>
              <w:rPr>
                <w:rFonts w:ascii="Times New Roman" w:hAnsi="Times New Roman" w:eastAsia="宋体" w:cs="Times New Roman"/>
                <w:color w:val="000000"/>
                <w:szCs w:val="21"/>
              </w:rPr>
              <w:t>烧结机采用用铺底料工艺进行生产，从源头上减少了烟气的排放，并且对烧结机中个产尘点进行密闭，抽风强制除尘处理；烧结机机头采用H2-SCR脱硝系统＋双室四电场静电除尘器净化＋湿式石灰石石膏法脱硫系统处理，净化后的废气由高70米排气筒排放；2台烧结机各设置1台电袋复合除尘器（1电加3布袋）净化，净化后废气经45米高烟囱排放；燃料破碎、配料及转运等产生的含尘废气，通过1套防爆型袋式除尘净化器+1套袋式除尘器净化后，经40米高烟囱排放。烧结过程中产生的废气实现了达标排放。</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焦化系统因其工艺采用逸散烟尘收集系统，</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炼焦、推焦、出焦、熄焦、筛焦等工艺产生的废气，采用袋式除尘技术处理处置后高空排放，其废气能够达到《炼焦化学工业污染物排放标准》（GB16171-2012）新建企业排放标准要求。</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高炉煤气以及原煤仓、高炉原料、燃料转运、高炉出铁等处产生的废气，采用袋式除尘器处理后排放能够满足《炼铁工业大气污染物排放标准》（GB28663-2012）新建企业排放标准要求。</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转炉一次烟气采用干法电除尘净化处理并回收煤气，转炉二次烟气、铁水预处理、拆炉、拆包、地下料仓、连铸中间罐倾翻以及电炉冶炼、LF精炼炉冶炼、石灰石上料破碎筛分、回转窑窑头、窑尾等处产生的废气均采用袋式除尘器处理，满足《炼钢工业大气污染物排放标准》（GB28664-2012）中相关标准要求。</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混铁炉、工频炉入料、增温调制、喂丝球化、离心浇注等过程产生的废气，采用袋式除尘器处理；熔化锌丝喷到铸管表面时产生的废气，采用重力加袋式除尘相结合的净化系统处理，经处理排放的废气符合《大气污染物综合排放标准》（GB16297-1996）限值要求。</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发电站</w:t>
            </w:r>
            <w:r>
              <w:rPr>
                <w:rFonts w:hint="eastAsia" w:ascii="Times New Roman" w:hAnsi="Times New Roman" w:eastAsia="宋体" w:cs="Times New Roman"/>
                <w:color w:val="000000"/>
                <w:szCs w:val="21"/>
              </w:rPr>
              <w:t>2</w:t>
            </w:r>
            <w:r>
              <w:rPr>
                <w:rFonts w:ascii="Times New Roman" w:hAnsi="Times New Roman" w:eastAsia="宋体" w:cs="Times New Roman"/>
                <w:color w:val="000000"/>
                <w:szCs w:val="21"/>
              </w:rPr>
              <w:t>台</w:t>
            </w:r>
            <w:r>
              <w:rPr>
                <w:rFonts w:hint="eastAsia" w:ascii="Times New Roman" w:hAnsi="Times New Roman" w:eastAsia="宋体" w:cs="Times New Roman"/>
                <w:color w:val="000000"/>
                <w:szCs w:val="21"/>
              </w:rPr>
              <w:t>130t/h</w:t>
            </w:r>
            <w:r>
              <w:rPr>
                <w:rFonts w:ascii="Times New Roman" w:hAnsi="Times New Roman" w:eastAsia="宋体" w:cs="Times New Roman"/>
                <w:color w:val="000000"/>
                <w:szCs w:val="21"/>
              </w:rPr>
              <w:t>锅炉和</w:t>
            </w:r>
            <w:r>
              <w:rPr>
                <w:rFonts w:hint="eastAsia" w:ascii="Times New Roman" w:hAnsi="Times New Roman" w:eastAsia="宋体" w:cs="Times New Roman"/>
                <w:color w:val="000000"/>
                <w:szCs w:val="21"/>
              </w:rPr>
              <w:t>1台</w:t>
            </w:r>
            <w:r>
              <w:rPr>
                <w:rFonts w:hint="eastAsia" w:ascii="Times New Roman" w:hAnsi="Times New Roman" w:eastAsia="宋体" w:cs="Times New Roman"/>
                <w:color w:val="000000"/>
                <w:szCs w:val="21"/>
                <w:lang w:val="en-US" w:eastAsia="zh-CN"/>
              </w:rPr>
              <w:t>6</w:t>
            </w:r>
            <w:r>
              <w:rPr>
                <w:rFonts w:hint="eastAsia" w:ascii="Times New Roman" w:hAnsi="Times New Roman" w:eastAsia="宋体" w:cs="Times New Roman"/>
                <w:color w:val="000000"/>
                <w:szCs w:val="21"/>
              </w:rPr>
              <w:t>0t/</w:t>
            </w:r>
            <w:r>
              <w:rPr>
                <w:rFonts w:ascii="Times New Roman" w:hAnsi="Times New Roman" w:eastAsia="宋体" w:cs="Times New Roman"/>
                <w:color w:val="000000"/>
                <w:szCs w:val="21"/>
              </w:rPr>
              <w:t>h过热炉以清洁煤气为</w:t>
            </w:r>
            <w:r>
              <w:rPr>
                <w:rFonts w:ascii="Times New Roman" w:hAnsi="Times New Roman" w:eastAsia="宋体" w:cs="Times New Roman"/>
                <w:color w:val="000000"/>
                <w:szCs w:val="21"/>
                <w:highlight w:val="none"/>
              </w:rPr>
              <w:t>燃料，产生的烟气经60米高排气筒排放，排放</w:t>
            </w:r>
            <w:r>
              <w:rPr>
                <w:rFonts w:ascii="Times New Roman" w:hAnsi="Times New Roman" w:eastAsia="宋体" w:cs="Times New Roman"/>
                <w:color w:val="000000"/>
                <w:szCs w:val="21"/>
              </w:rPr>
              <w:t>废气满足《火电厂大气污染物排放标准》（GB13223-2011）中相关标准。</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三乙胺尾气采用2%-4%的稀磷酸溶液在封闭的净化器中喷淋吸收处理</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按照“清污分流、雨污分流、分质处理、一水多用”的原则，进一步优化全厂生产用水和废水处理处置方案，最大限度减少新鲜水消耗量和废水排放量。进一步强化全厂综合污水处理站综合物化处理和深度除盐能力，优化项目排水系统，确保当地水环境安全。</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烧结、石灰焙烧车间、炼铁工序高炉、离心铸管机冷却水、转炉煤气冷却器冷却水和轧钢加热炉、轧机等产生的废水均经处理后循环使用，不外排。</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炼钢车间真空处理装置、连铸结晶器、铸管水压试验、水泥砂浆设备冲洗水、轧钢轧辊冷却、冲氧化铁皮废水、锻造机组冷却水等浊环水系统，均经各自污水净化装置处理后，再经冷却塔冷却后循环使用。</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含酚、氰的煤气冷凝水、蒸氨废水送酚氰废水处理站处理。焦化酚氰废水经深度净化处理后的出水，送高炉冲渣及烧结配料使用，不排入环境。</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浓盐水经反渗透系统处理后，出水作为生产用水补水，产生的浓盐水用于原料场洒水、炼铁浊环系统和转炉炼钢泼渣用水。</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项目建设需按环境管理规范要求做好分区防腐防渗工作，强化重点区域的地下水污染防治，在优化项目水重复利用效率的前提下，除雨水经收集沉淀外排外，还应注重其它污废水处理处置后可利用方式、方法</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厂区内实行“清污分流、雨污分流、分质处理、一水多用”。针对不同种类的废水采用不同的处理方式，很大程度上的减少了新鲜水消耗量和废水排放量。</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石灰焙烧生产用水主要为设备间接冷却水，经冷却后循环使用；高炉水冲渣产生的冲渣水经冷却塔冷却后循环使用，铸铁机冷却水经平流沉淀池沉淀后循环使用；离心铸管机、液压站等间接冷却水经冷却后循环使用。</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炼钢车间真空处理装置产生的含少量SS废水，经过滤、冷却后循环使用；连铸坯二次喷淋冷却、冲氧化铁皮等用水，经一次铁皮沉淀池沉淀，部分返回冲铁皮，其余部分送化学除油器进一步去除细小铁皮和油，再经高速过滤器过滤、冷却塔冷却后循环使用。过滤器反洗水进入泥浆浓缩池，上清水返回沉淀池。一次铁皮沉淀池、化学除油器底部沉淀的污泥脱水后送烧结作配料使用。</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焦化酚氰废水</w:t>
            </w:r>
            <w:r>
              <w:rPr>
                <w:rFonts w:hint="eastAsia" w:ascii="Times New Roman" w:hAnsi="Times New Roman" w:eastAsia="宋体" w:cs="Times New Roman"/>
                <w:color w:val="000000"/>
                <w:szCs w:val="21"/>
                <w:lang w:eastAsia="zh-CN"/>
              </w:rPr>
              <w:t>目前已进行提标升级改造，</w:t>
            </w:r>
            <w:r>
              <w:rPr>
                <w:rFonts w:ascii="Times New Roman" w:hAnsi="Times New Roman" w:eastAsia="宋体" w:cs="Times New Roman"/>
                <w:color w:val="000000"/>
                <w:szCs w:val="21"/>
              </w:rPr>
              <w:t>经深度净化处理后的出水，</w:t>
            </w:r>
            <w:r>
              <w:rPr>
                <w:rFonts w:hint="eastAsia" w:ascii="Times New Roman" w:hAnsi="Times New Roman" w:eastAsia="宋体" w:cs="Times New Roman"/>
                <w:color w:val="000000"/>
                <w:szCs w:val="21"/>
              </w:rPr>
              <w:t>30</w:t>
            </w:r>
            <w:r>
              <w:rPr>
                <w:rFonts w:ascii="Times New Roman" w:hAnsi="Times New Roman" w:eastAsia="宋体" w:cs="Times New Roman"/>
                <w:color w:val="000000"/>
                <w:szCs w:val="21"/>
              </w:rPr>
              <w:t>%的浓盐水作为高炉冲渣水的补充水使用</w:t>
            </w:r>
            <w:r>
              <w:rPr>
                <w:rFonts w:hint="eastAsia" w:ascii="Times New Roman" w:hAnsi="Times New Roman" w:eastAsia="宋体" w:cs="Times New Roman"/>
                <w:color w:val="000000"/>
                <w:szCs w:val="21"/>
              </w:rPr>
              <w:t>，</w:t>
            </w:r>
            <w:r>
              <w:rPr>
                <w:rFonts w:ascii="Times New Roman" w:hAnsi="Times New Roman" w:eastAsia="宋体" w:cs="Times New Roman"/>
                <w:color w:val="000000"/>
                <w:szCs w:val="21"/>
              </w:rPr>
              <w:t>其余</w:t>
            </w:r>
            <w:r>
              <w:rPr>
                <w:rFonts w:hint="eastAsia" w:ascii="Times New Roman" w:hAnsi="Times New Roman" w:eastAsia="宋体" w:cs="Times New Roman"/>
                <w:color w:val="000000"/>
                <w:szCs w:val="21"/>
              </w:rPr>
              <w:t>70</w:t>
            </w:r>
            <w:r>
              <w:rPr>
                <w:rFonts w:ascii="Times New Roman" w:hAnsi="Times New Roman" w:eastAsia="宋体" w:cs="Times New Roman"/>
                <w:color w:val="000000"/>
                <w:szCs w:val="21"/>
              </w:rPr>
              <w:t>%</w:t>
            </w:r>
            <w:r>
              <w:rPr>
                <w:rFonts w:hint="eastAsia" w:ascii="Times New Roman" w:hAnsi="Times New Roman" w:eastAsia="宋体" w:cs="Times New Roman"/>
                <w:color w:val="000000"/>
                <w:szCs w:val="21"/>
              </w:rPr>
              <w:t>的</w:t>
            </w:r>
            <w:r>
              <w:rPr>
                <w:rFonts w:ascii="Times New Roman" w:hAnsi="Times New Roman" w:eastAsia="宋体" w:cs="Times New Roman"/>
                <w:color w:val="000000"/>
                <w:szCs w:val="21"/>
              </w:rPr>
              <w:t>中水进入焦化新水管网，作为循环水系统的补充水使用，不排入环境。</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浓盐水经反渗透系统处理后，出水作为生产用水补水，产生的浓盐水用于原料场洒水、炼铁浊环系统、转炉炼钢焖渣和电炉炼钢泼渣用水。全厂生产、生活系统废水经处理后循环使用不外排</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加强固体废物环境管理。分类收集处理处置固体废弃物，落实回收利用途径，不得产生二次污染。《报告书》中列明属危险废物的，建设单位必须委托有相应资质的单位按照国家有关规定妥善处理处置，固体废物临时堆场和危险废物暂存场，须分别满足《一般工业固体废物贮存、处置场污染控制标准》（GB18599-2001）和《危险废物贮存污染控制标准》（GB18597-2001）的相应要求。设置好危险废物识别标识，做好相关防护工作，转运需严格执行危险废物转移联单制度管理要求</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全厂各工序除尘系统收集的除尘灰与连铸、轧钢加热炉及水处理系统收集的氧化铁皮全部返回烧结配料；高炉渣经炉前水淬后作为</w:t>
            </w:r>
            <w:r>
              <w:rPr>
                <w:rFonts w:hint="eastAsia" w:ascii="Times New Roman" w:hAnsi="Times New Roman" w:eastAsia="宋体" w:cs="Times New Roman"/>
                <w:color w:val="000000"/>
                <w:szCs w:val="21"/>
              </w:rPr>
              <w:t>生产矿渣微粉</w:t>
            </w:r>
            <w:r>
              <w:rPr>
                <w:rFonts w:hint="eastAsia" w:ascii="Times New Roman" w:hAnsi="Times New Roman" w:eastAsia="宋体" w:cs="Times New Roman"/>
                <w:color w:val="000000"/>
                <w:szCs w:val="21"/>
                <w:lang w:eastAsia="zh-CN"/>
              </w:rPr>
              <w:t>的原料</w:t>
            </w:r>
            <w:r>
              <w:rPr>
                <w:rFonts w:ascii="Times New Roman" w:hAnsi="Times New Roman" w:eastAsia="宋体" w:cs="Times New Roman"/>
                <w:color w:val="000000"/>
                <w:szCs w:val="21"/>
              </w:rPr>
              <w:t>；转炉、精炼炉产生的钢渣经热泼、焖渣后，与连铸注余渣一并经破碎并回收其中</w:t>
            </w:r>
            <w:r>
              <w:rPr>
                <w:rFonts w:ascii="Times New Roman" w:hAnsi="Times New Roman" w:eastAsia="宋体" w:cs="Times New Roman"/>
                <w:color w:val="000000"/>
                <w:szCs w:val="21"/>
                <w:highlight w:val="none"/>
              </w:rPr>
              <w:t>废钢后外卖；各工序产生的废油送公司废油暂存场暂存</w:t>
            </w:r>
            <w:r>
              <w:rPr>
                <w:rFonts w:ascii="Times New Roman" w:hAnsi="Times New Roman" w:eastAsia="宋体" w:cs="Times New Roman"/>
                <w:color w:val="000000"/>
                <w:szCs w:val="21"/>
              </w:rPr>
              <w:t>，由公司统一送</w:t>
            </w:r>
            <w:r>
              <w:rPr>
                <w:rFonts w:hint="eastAsia" w:ascii="Times New Roman" w:hAnsi="Times New Roman" w:eastAsia="宋体"/>
                <w:color w:val="auto"/>
              </w:rPr>
              <w:t>马鞍山市关东润滑油有限责任公司</w:t>
            </w:r>
            <w:r>
              <w:rPr>
                <w:rFonts w:ascii="Times New Roman" w:hAnsi="Times New Roman" w:eastAsia="宋体" w:cs="Times New Roman"/>
                <w:color w:val="000000"/>
                <w:szCs w:val="21"/>
              </w:rPr>
              <w:t>处理。</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固体废物临时堆场和危险废物暂存场的建设均满足《一般工业固体废物贮存、处置场污染控制标准》（GB18599-2001）和《危险废物贮存污染控制标准》（GB18597-2001）要求</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选用低噪声、振动小的设备，优化总图布局，合理分布各类高噪声源，并采取有效的减振、隔声、消音等降噪措施。厂界噪声执行《工业企业厂界环境噪声排放标准》（GB12348-2008）3类标准；施工期噪声执行《建筑施工场界环境噪声排放标准》（GB12523-2011）中相关规定。进一步优化运输路线，强化运输、装卸过程中噪声预防和治理，严防噪声扰民</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选用低噪声、振动小的设备，并采取建筑隔声。此外，还针对一些噪声值相对较高的设备及气体放散源采取设消声器，基础设减振，风机进出口与管道之间为软连接，设置专用鼓风机房或设置在建筑物内，公司厂界噪声可满足《工业企业厂界环境噪声排放标准》（GB12348-2008）3类标准要求</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加强环境风险预防和控制，制定并落实突发环境风险应急预案和事故风险防范措施，并适时更新升级，环境风险应急预案应报环保部门备案。加强维护和管理，杜绝生产过程中跑、冒、滴、漏现象的发生，确保污染治理设施正常运行。加强危险化学品使用和贮运过程管理，防止污染事故发生。按《报告书》要求，科学设置事故和消防废水收集系统，储罐区应设置满足应急要求的围堰，以保障出现事故时废水不外排。配备相应的应急物资与设备，并保持一定冗余量，定期开展环境应急培训和演练</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公司严格落实各项环境风险防范措施，并在全厂综合污水处理中心设置了4000m³的事故池及焦化酚氰废水处理站设置了2600m³的事故池，以保障出现事故时废水不外排。</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储罐区设置了满足防范要求的围堰，确保了发生事故</w:t>
            </w:r>
            <w:r>
              <w:rPr>
                <w:rFonts w:hint="eastAsia" w:ascii="Times New Roman" w:hAnsi="Times New Roman" w:eastAsia="宋体" w:cs="Times New Roman"/>
                <w:color w:val="000000"/>
                <w:szCs w:val="21"/>
                <w:lang w:eastAsia="zh-CN"/>
              </w:rPr>
              <w:t>时</w:t>
            </w:r>
            <w:r>
              <w:rPr>
                <w:rFonts w:ascii="Times New Roman" w:hAnsi="Times New Roman" w:eastAsia="宋体" w:cs="Times New Roman"/>
                <w:color w:val="000000"/>
                <w:szCs w:val="21"/>
              </w:rPr>
              <w:t>废水不外排。</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公司加大风险监控力度，建立了全厂环境风险防范与应急管理体系，并制定了《芜湖新兴铸管有限责任公司（三山区）突发环境事件应急预案》，并于2018年1月19日在芜湖市环境保护局备案（备案编号340208-2018-001-M）。</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公司定期开展环境风险应急演练，并落实各项应急管理措施以及风险防范措施，以防止各类环境风险事故发生</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进一步优化生产工艺和环境保护设施设计，定期开展清洁生产审核，不断提高清洁生产水平，保证企业清洁生产指标达到国内同行业先进水平。规范排污口标准化建设，安装污染物自动连续监测系统，并与环保部门联网，排气筒应按规范要求预留永久性监测口，按《报告书》中明确的环境监测要求，落实环境监测工作。项目主要污染物及特征污染物排放指标不得超过我局核定的总量控制指标</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项目不同工段采用的生产工艺和环保设计均经过专业人士考察设计，企业定期自检，并开展清洁生产审核，不断提高自身的清洁生产水平，确保自身为国内同行业的先进水平。</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排污口设置规范、有标志牌。烧结机机头及机尾、炼铁出铁场和供料除尘、炼钢转炉二次除尘、焦炉烟囱、发电锅炉烟囱安装有污染物在线监测系统，并与省</w:t>
            </w:r>
            <w:r>
              <w:rPr>
                <w:rFonts w:hint="eastAsia" w:ascii="Times New Roman" w:hAnsi="Times New Roman" w:eastAsia="宋体" w:cs="Times New Roman"/>
                <w:color w:val="000000"/>
                <w:szCs w:val="21"/>
                <w:lang w:eastAsia="zh-CN"/>
              </w:rPr>
              <w:t>生态环境</w:t>
            </w:r>
            <w:r>
              <w:rPr>
                <w:rFonts w:ascii="Times New Roman" w:hAnsi="Times New Roman" w:eastAsia="宋体" w:cs="Times New Roman"/>
                <w:color w:val="000000"/>
                <w:szCs w:val="21"/>
              </w:rPr>
              <w:t>厅联网。排气筒已按规范要求留有永久性监测口。项目各污染物排放总量小于环保局核定的总量</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你公司应建立畅通的公众参与平台，及时解决公众提出的环境问题，满足公众合理的环境诉求。定期发布企业环境信息，并主动接受社会监督</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企业在项目建设前期就在网络以及公示栏处进行了有关情况的公告。</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公司官网有企业24h在线电话，便于周围群众及时反馈信息，主动接受社会监督</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项目实施过程中应按照“达标排放、清洁生产、总量控制”原则，严格执行配套建设的环境保护设施与主体工程同时设计、同时施工、同时投产使用的环境保护“三同时”制度。你单位接此批文后应立即向我局申报环境保护验收。并适时开展环境影响后评价工作</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企业生产一直以“达标排放、清洁生产、总量控制”为原则，并严格执行环境保护“三同时”制度。</w:t>
            </w:r>
          </w:p>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项目在接到批文后，积极主动向环保局申请环境保护验收</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restart"/>
            <w:tcBorders>
              <w:lef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芜湖新兴铸管有限责任公司三山制氧10000Nm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/h空分设备搬迁改造项目</w:t>
            </w:r>
          </w:p>
        </w:tc>
        <w:tc>
          <w:tcPr>
            <w:tcW w:w="5848" w:type="dxa"/>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按“清污分流、雨污分流”的原则建设。各类清洗废水、循环冷却用水及生活污水经厂区内污水处理设施处理后全都回用于企业生产之中，不外排</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项目无生产废水产生，大修时产生的循环冷却水，进入厂区</w:t>
            </w:r>
            <w:r>
              <w:rPr>
                <w:rFonts w:hint="eastAsia" w:ascii="Times New Roman" w:hAnsi="Times New Roman" w:eastAsia="宋体" w:cs="Times New Roman"/>
                <w:color w:val="FF0000"/>
                <w:szCs w:val="21"/>
                <w:lang w:eastAsia="zh-CN"/>
              </w:rPr>
              <w:t>全厂</w:t>
            </w:r>
            <w:r>
              <w:rPr>
                <w:rFonts w:ascii="Times New Roman" w:hAnsi="Times New Roman" w:eastAsia="宋体" w:cs="Times New Roman"/>
                <w:color w:val="FF0000"/>
                <w:szCs w:val="21"/>
              </w:rPr>
              <w:t>污水处理站进行处理，处理达标后全部回用不外排</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5848" w:type="dxa"/>
            <w:vAlign w:val="center"/>
          </w:tcPr>
          <w:p>
            <w:pPr>
              <w:pStyle w:val="41"/>
              <w:keepNext w:val="0"/>
              <w:keepLines w:val="0"/>
              <w:pageBreakBefore w:val="0"/>
              <w:kinsoku/>
              <w:wordWrap/>
              <w:bidi w:val="0"/>
              <w:snapToGrid/>
              <w:spacing w:line="240" w:lineRule="auto"/>
              <w:rPr>
                <w:color w:val="FF0000"/>
                <w:szCs w:val="21"/>
              </w:rPr>
            </w:pPr>
            <w:r>
              <w:rPr>
                <w:bCs/>
                <w:color w:val="FF0000"/>
              </w:rPr>
              <w:t>强化自动监控设备管理，减少制氧气化放空过程中的无组织排放量，强化安全生产工作，确保区域内环境空气质量总体水平不降低，单个元素量不集聚</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rPr>
              <w:t>制氧过程中会有少量无害废气产生，通过加强生产过程中配有的自动监控管理设备管理，确保</w:t>
            </w:r>
            <w:r>
              <w:rPr>
                <w:rFonts w:ascii="Times New Roman" w:hAnsi="Times New Roman" w:eastAsia="宋体" w:cs="Times New Roman"/>
                <w:bCs/>
                <w:color w:val="FF0000"/>
              </w:rPr>
              <w:t>区域内环境空气质量总体水平不降低</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5848" w:type="dxa"/>
            <w:vAlign w:val="center"/>
          </w:tcPr>
          <w:p>
            <w:pPr>
              <w:pStyle w:val="41"/>
              <w:keepNext w:val="0"/>
              <w:keepLines w:val="0"/>
              <w:pageBreakBefore w:val="0"/>
              <w:kinsoku/>
              <w:wordWrap/>
              <w:bidi w:val="0"/>
              <w:snapToGrid/>
              <w:spacing w:line="240" w:lineRule="auto"/>
              <w:rPr>
                <w:color w:val="FF0000"/>
                <w:szCs w:val="21"/>
              </w:rPr>
            </w:pPr>
            <w:r>
              <w:rPr>
                <w:bCs/>
                <w:color w:val="FF0000"/>
              </w:rPr>
              <w:t>优化厂区总平面布置图，选用低噪生产设备。对过滤分离系统等产噪设备应分别采取基础减振、消声、隔声等措施降低噪声，噪声外排执行《工业企业厂界噪声排放标准》（GB12348-2008）中的3类标准要求；加强施工期环境管理，采取有效措施控制噪声对周围环境的影响，施工期噪声执行《建筑施工厂界环境噪声排放标准》（GB18597-2001）限值要求</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rPr>
              <w:t>项目通过优化厂区布置以及采用减振、隔声等措施降低噪声对周边环境的影响</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pStyle w:val="41"/>
              <w:keepNext w:val="0"/>
              <w:keepLines w:val="0"/>
              <w:pageBreakBefore w:val="0"/>
              <w:kinsoku/>
              <w:wordWrap/>
              <w:bidi w:val="0"/>
              <w:snapToGrid/>
              <w:spacing w:line="240" w:lineRule="auto"/>
              <w:rPr>
                <w:color w:val="FF0000"/>
                <w:szCs w:val="21"/>
              </w:rPr>
            </w:pPr>
            <w:r>
              <w:rPr>
                <w:bCs/>
                <w:color w:val="FF0000"/>
              </w:rPr>
              <w:t>按固体废物“资源化、减量化、无害化”处理处置原则，属危险废物的，建设单位必须委托有相应资质的单位按照国家有关规定妥善处理处置，公司内临时贮存设施建设需符合《危险废物贮存污染控制标准》（GB18597-2001）中有关规定</w:t>
            </w:r>
          </w:p>
        </w:tc>
        <w:tc>
          <w:tcPr>
            <w:tcW w:w="4395" w:type="dxa"/>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rPr>
              <w:t>项目废物为过滤杂质和废分子筛根据根据固体废物鉴别导则鉴别为一般固废，过滤杂质由环卫统一清运，废分子筛由厂家回收处置</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tcBorders>
              <w:bottom w:val="single" w:color="auto" w:sz="4" w:space="0"/>
            </w:tcBorders>
            <w:vAlign w:val="center"/>
          </w:tcPr>
          <w:p>
            <w:pPr>
              <w:pStyle w:val="41"/>
              <w:keepNext w:val="0"/>
              <w:keepLines w:val="0"/>
              <w:pageBreakBefore w:val="0"/>
              <w:kinsoku/>
              <w:wordWrap/>
              <w:bidi w:val="0"/>
              <w:snapToGrid/>
              <w:spacing w:line="240" w:lineRule="auto"/>
              <w:rPr>
                <w:color w:val="FF0000"/>
                <w:szCs w:val="21"/>
              </w:rPr>
            </w:pPr>
            <w:r>
              <w:rPr>
                <w:bCs/>
                <w:color w:val="FF0000"/>
              </w:rPr>
              <w:t>加强环境风险防范，制定事故情况下的环境应急预案，事故发生是须立即启动应急预案，落实各项事故应急处理措施和应急物资准备工作。运营期间应加强对管线、仪表的安全检测，及时消除安全隐患</w:t>
            </w:r>
          </w:p>
        </w:tc>
        <w:tc>
          <w:tcPr>
            <w:tcW w:w="4395" w:type="dxa"/>
            <w:tcBorders>
              <w:bottom w:val="single" w:color="auto" w:sz="4" w:space="0"/>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rPr>
              <w:t>企业加强风险管理，制定了全厂区的应急预案，确保生产的安全，及时</w:t>
            </w:r>
            <w:r>
              <w:rPr>
                <w:rFonts w:ascii="Times New Roman" w:hAnsi="Times New Roman" w:eastAsia="宋体" w:cs="Times New Roman"/>
                <w:bCs/>
                <w:color w:val="FF0000"/>
              </w:rPr>
              <w:t>消除安全隐患</w:t>
            </w:r>
          </w:p>
        </w:tc>
        <w:tc>
          <w:tcPr>
            <w:tcW w:w="1400" w:type="dxa"/>
            <w:tcBorders>
              <w:bottom w:val="single" w:color="auto" w:sz="4" w:space="0"/>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tcBorders>
              <w:top w:val="single" w:color="auto" w:sz="4" w:space="0"/>
              <w:bottom w:val="single" w:color="auto" w:sz="4" w:space="0"/>
            </w:tcBorders>
            <w:vAlign w:val="center"/>
          </w:tcPr>
          <w:p>
            <w:pPr>
              <w:pStyle w:val="41"/>
              <w:keepNext w:val="0"/>
              <w:keepLines w:val="0"/>
              <w:pageBreakBefore w:val="0"/>
              <w:kinsoku/>
              <w:wordWrap/>
              <w:bidi w:val="0"/>
              <w:snapToGrid/>
              <w:spacing w:line="240" w:lineRule="auto"/>
              <w:rPr>
                <w:color w:val="FF0000"/>
                <w:szCs w:val="21"/>
              </w:rPr>
            </w:pPr>
            <w:r>
              <w:rPr>
                <w:bCs/>
                <w:color w:val="FF0000"/>
              </w:rPr>
              <w:t>进一步优化管线设计和施工方案，本项目在生产过程中涉及使用的有毒、有害、易燃、医保化学品，应按照有关部门要求进行安全评价，未通过安全评价，本项目不得投入生产</w:t>
            </w:r>
          </w:p>
        </w:tc>
        <w:tc>
          <w:tcPr>
            <w:tcW w:w="4395" w:type="dxa"/>
            <w:tcBorders>
              <w:top w:val="single" w:color="auto" w:sz="4" w:space="0"/>
              <w:bottom w:val="single" w:color="auto" w:sz="4" w:space="0"/>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rPr>
              <w:t>项目原料为氧气、辅料为分子筛均不是有毒有害的物</w:t>
            </w:r>
            <w:r>
              <w:rPr>
                <w:rFonts w:ascii="Times New Roman" w:hAnsi="Times New Roman" w:eastAsia="宋体" w:cs="Times New Roman"/>
                <w:color w:val="FF0000"/>
                <w:highlight w:val="none"/>
              </w:rPr>
              <w:t>质。项目已经于2018.</w:t>
            </w:r>
            <w:r>
              <w:rPr>
                <w:rFonts w:hint="eastAsia" w:ascii="Times New Roman" w:hAnsi="Times New Roman" w:eastAsia="宋体" w:cs="Times New Roman"/>
                <w:color w:val="FF0000"/>
                <w:highlight w:val="none"/>
                <w:lang w:val="en-US" w:eastAsia="zh-CN"/>
              </w:rPr>
              <w:t>1</w:t>
            </w:r>
            <w:r>
              <w:rPr>
                <w:rFonts w:ascii="Times New Roman" w:hAnsi="Times New Roman" w:eastAsia="宋体" w:cs="Times New Roman"/>
                <w:color w:val="FF0000"/>
                <w:highlight w:val="none"/>
              </w:rPr>
              <w:t>.</w:t>
            </w:r>
            <w:r>
              <w:rPr>
                <w:rFonts w:hint="eastAsia" w:ascii="Times New Roman" w:hAnsi="Times New Roman" w:eastAsia="宋体" w:cs="Times New Roman"/>
                <w:color w:val="FF0000"/>
                <w:highlight w:val="none"/>
                <w:lang w:val="en-US" w:eastAsia="zh-CN"/>
              </w:rPr>
              <w:t>6</w:t>
            </w:r>
            <w:r>
              <w:rPr>
                <w:rFonts w:ascii="Times New Roman" w:hAnsi="Times New Roman" w:eastAsia="宋体" w:cs="Times New Roman"/>
                <w:color w:val="FF0000"/>
                <w:highlight w:val="none"/>
              </w:rPr>
              <w:t>通过了</w:t>
            </w:r>
            <w:r>
              <w:rPr>
                <w:rFonts w:hint="eastAsia" w:ascii="Times New Roman" w:hAnsi="Times New Roman" w:eastAsia="宋体" w:cs="Times New Roman"/>
                <w:color w:val="FF0000"/>
                <w:highlight w:val="none"/>
                <w:lang w:eastAsia="zh-CN"/>
              </w:rPr>
              <w:t>安全设施竣工验收（见附件</w:t>
            </w:r>
            <w:r>
              <w:rPr>
                <w:rFonts w:hint="eastAsia" w:ascii="Times New Roman" w:hAnsi="Times New Roman" w:eastAsia="宋体" w:cs="Times New Roman"/>
                <w:color w:val="FF0000"/>
                <w:highlight w:val="none"/>
                <w:lang w:val="en-US" w:eastAsia="zh-CN"/>
              </w:rPr>
              <w:t>10</w:t>
            </w:r>
            <w:r>
              <w:rPr>
                <w:rFonts w:hint="eastAsia" w:ascii="Times New Roman" w:hAnsi="Times New Roman" w:eastAsia="宋体" w:cs="Times New Roman"/>
                <w:color w:val="FF0000"/>
                <w:highlight w:val="none"/>
                <w:lang w:eastAsia="zh-CN"/>
              </w:rPr>
              <w:t>）</w:t>
            </w:r>
          </w:p>
        </w:tc>
        <w:tc>
          <w:tcPr>
            <w:tcW w:w="1400" w:type="dxa"/>
            <w:tcBorders>
              <w:top w:val="single" w:color="auto" w:sz="4" w:space="0"/>
              <w:bottom w:val="single" w:color="auto" w:sz="4" w:space="0"/>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restart"/>
            <w:tcBorders>
              <w:lef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芜湖新兴铸管有限责任公司能源综合利用发电工程</w:t>
            </w:r>
          </w:p>
        </w:tc>
        <w:tc>
          <w:tcPr>
            <w:tcW w:w="5848" w:type="dxa"/>
            <w:tcBorders>
              <w:top w:val="single" w:color="auto" w:sz="4" w:space="0"/>
              <w:bottom w:val="single" w:color="auto" w:sz="4" w:space="0"/>
            </w:tcBorders>
            <w:vAlign w:val="center"/>
          </w:tcPr>
          <w:p>
            <w:pPr>
              <w:pStyle w:val="41"/>
              <w:keepNext w:val="0"/>
              <w:keepLines w:val="0"/>
              <w:pageBreakBefore w:val="0"/>
              <w:kinsoku/>
              <w:wordWrap/>
              <w:bidi w:val="0"/>
              <w:snapToGrid/>
              <w:spacing w:line="240" w:lineRule="auto"/>
              <w:rPr>
                <w:bCs/>
                <w:color w:val="FF0000"/>
                <w:szCs w:val="22"/>
              </w:rPr>
            </w:pPr>
            <w:r>
              <w:rPr>
                <w:rFonts w:hint="eastAsia"/>
                <w:bCs/>
                <w:color w:val="FF0000"/>
                <w:szCs w:val="22"/>
              </w:rPr>
              <w:t>加强废气治理工作，经过除尘、净化、稳压后的高炉煤气、转炉煤气、焦炉煤气方可直接利用</w:t>
            </w:r>
          </w:p>
        </w:tc>
        <w:tc>
          <w:tcPr>
            <w:tcW w:w="4395" w:type="dxa"/>
            <w:tcBorders>
              <w:top w:val="single" w:color="auto" w:sz="4" w:space="0"/>
              <w:bottom w:val="single" w:color="auto" w:sz="4" w:space="0"/>
            </w:tcBorders>
            <w:vAlign w:val="center"/>
          </w:tcPr>
          <w:p>
            <w:pPr>
              <w:pStyle w:val="41"/>
              <w:keepNext w:val="0"/>
              <w:keepLines w:val="0"/>
              <w:pageBreakBefore w:val="0"/>
              <w:kinsoku/>
              <w:wordWrap/>
              <w:bidi w:val="0"/>
              <w:snapToGrid/>
              <w:spacing w:line="240" w:lineRule="auto"/>
              <w:rPr>
                <w:bCs/>
                <w:color w:val="FF0000"/>
                <w:szCs w:val="22"/>
              </w:rPr>
            </w:pPr>
            <w:r>
              <w:rPr>
                <w:rFonts w:hint="eastAsia"/>
                <w:bCs/>
                <w:color w:val="FF0000"/>
                <w:szCs w:val="22"/>
              </w:rPr>
              <w:t>项目所用的煤气均是经过除尘、净化、稳压后的清洁煤气。（1）高炉产生的荒煤气经过重力除尘、布袋除尘；（2）焦炉产生的荒煤气经过氨水洗涤、电捕焦油、脱硫、硫铵、蒸氨、粗苯回收等净化处理；（3）炼钢转炉产生的荒煤气经过洗涤、布袋除尘。处理后的清洁煤气在锅炉内燃烧后经过60m排气筒排放</w:t>
            </w:r>
          </w:p>
        </w:tc>
        <w:tc>
          <w:tcPr>
            <w:tcW w:w="1400" w:type="dxa"/>
            <w:tcBorders>
              <w:top w:val="single" w:color="auto" w:sz="4" w:space="0"/>
              <w:bottom w:val="single" w:color="auto" w:sz="4" w:space="0"/>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5848" w:type="dxa"/>
            <w:tcBorders>
              <w:top w:val="single" w:color="auto" w:sz="4" w:space="0"/>
              <w:bottom w:val="single" w:color="auto" w:sz="4" w:space="0"/>
            </w:tcBorders>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厂区应实施雨污分流、清污分流、一水多用，并提高冷却后随循环利用率。经预处理后的循环水系统排污水、热力系统排污水、化学排污水、辅助生产系统排污水，应全部回用，不得外排</w:t>
            </w:r>
          </w:p>
        </w:tc>
        <w:tc>
          <w:tcPr>
            <w:tcW w:w="4395" w:type="dxa"/>
            <w:tcBorders>
              <w:top w:val="single" w:color="auto" w:sz="4" w:space="0"/>
              <w:bottom w:val="single" w:color="auto" w:sz="4" w:space="0"/>
            </w:tcBorders>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厂区内部有完善的雨污分流系统，废水在项目区域经过中和、降温处理后通过厂区污水管网排入该公司综合污水处理站处理后作为高炉冲渣水的补充水使用，不外排</w:t>
            </w:r>
          </w:p>
        </w:tc>
        <w:tc>
          <w:tcPr>
            <w:tcW w:w="1400" w:type="dxa"/>
            <w:tcBorders>
              <w:top w:val="single" w:color="auto" w:sz="4" w:space="0"/>
              <w:bottom w:val="single" w:color="auto" w:sz="4" w:space="0"/>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5848" w:type="dxa"/>
            <w:tcBorders>
              <w:top w:val="single" w:color="auto" w:sz="4" w:space="0"/>
            </w:tcBorders>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优化总图布置，选用低噪生产设备。对余热锅炉、冷却塔、汽轮机、凝汽机、发电机等产噪声设备，应针对性的分别采取隔声、消声、减振措施降低噪声、振动，噪声外排执行《工业企业厂界噪声标准》（GB12348-2008）中</w:t>
            </w:r>
            <w:r>
              <w:rPr>
                <w:rFonts w:hint="eastAsia"/>
                <w:bCs/>
                <w:color w:val="FF0000"/>
                <w:szCs w:val="22"/>
                <w:lang w:val="en-US" w:eastAsia="zh-CN"/>
              </w:rPr>
              <w:t>III</w:t>
            </w:r>
            <w:r>
              <w:rPr>
                <w:rFonts w:hint="eastAsia"/>
                <w:bCs/>
                <w:color w:val="FF0000"/>
                <w:szCs w:val="22"/>
              </w:rPr>
              <w:t>类限值；合理安排检修时间，重视排气噪声对外环境的影响，并采取切实可行的治理、管理措施，避免产生扰民现象。施工期噪声外排执行《建筑施工厂界噪声限值》（GB12523-2011）中有关规定</w:t>
            </w:r>
          </w:p>
        </w:tc>
        <w:tc>
          <w:tcPr>
            <w:tcW w:w="4395" w:type="dxa"/>
            <w:tcBorders>
              <w:top w:val="single" w:color="auto" w:sz="4" w:space="0"/>
            </w:tcBorders>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（1）对于鼓风机等产生的机械噪声，采取基础减震以及在车间内壁安装吸声材料降低机械噪声的措施</w:t>
            </w:r>
            <w:r>
              <w:rPr>
                <w:rFonts w:hint="eastAsia"/>
                <w:bCs/>
                <w:color w:val="FF0000"/>
                <w:szCs w:val="22"/>
                <w:lang w:eastAsia="zh-CN"/>
              </w:rPr>
              <w:t>；</w:t>
            </w:r>
            <w:r>
              <w:rPr>
                <w:rFonts w:hint="eastAsia"/>
                <w:bCs/>
                <w:color w:val="FF0000"/>
                <w:szCs w:val="22"/>
              </w:rPr>
              <w:t>（2）对于空气动力性噪声，在蒸汽（空气）出口处加装消声器、采用阻尼材料包扎等降噪措施</w:t>
            </w:r>
            <w:r>
              <w:rPr>
                <w:rFonts w:hint="eastAsia"/>
                <w:bCs/>
                <w:color w:val="FF0000"/>
                <w:szCs w:val="22"/>
                <w:lang w:eastAsia="zh-CN"/>
              </w:rPr>
              <w:t>；</w:t>
            </w:r>
            <w:r>
              <w:rPr>
                <w:rFonts w:hint="eastAsia"/>
                <w:bCs/>
                <w:color w:val="FF0000"/>
                <w:szCs w:val="22"/>
              </w:rPr>
              <w:t>（3）对泵类与管道连接处采取软连接，减轻管道因共振而产生的噪声（4）施工期严格执行《建筑施工厂界噪声限值》（GB12523-2011）中有关规定，对外界影响较小</w:t>
            </w:r>
          </w:p>
        </w:tc>
        <w:tc>
          <w:tcPr>
            <w:tcW w:w="1400" w:type="dxa"/>
            <w:tcBorders>
              <w:top w:val="single" w:color="auto" w:sz="4" w:space="0"/>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pStyle w:val="41"/>
              <w:keepNext w:val="0"/>
              <w:keepLines w:val="0"/>
              <w:pageBreakBefore w:val="0"/>
              <w:kinsoku/>
              <w:wordWrap/>
              <w:bidi w:val="0"/>
              <w:snapToGrid/>
              <w:spacing w:line="240" w:lineRule="auto"/>
              <w:rPr>
                <w:bCs/>
                <w:color w:val="FF0000"/>
                <w:szCs w:val="22"/>
              </w:rPr>
            </w:pPr>
            <w:r>
              <w:rPr>
                <w:rFonts w:hint="eastAsia"/>
                <w:bCs/>
                <w:color w:val="FF0000"/>
                <w:szCs w:val="22"/>
              </w:rPr>
              <w:t>废水经沉淀处理后产生的污泥应返回生产或妥善处理</w:t>
            </w:r>
          </w:p>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处置，避免产生二次污染</w:t>
            </w:r>
          </w:p>
        </w:tc>
        <w:tc>
          <w:tcPr>
            <w:tcW w:w="4395" w:type="dxa"/>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公司综合污水处理站产生的少量污泥产生，全部由公司集中收集作烧结原料使用</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restart"/>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FF0000"/>
                <w:szCs w:val="21"/>
              </w:rPr>
              <w:t>芜湖新兴铸管有限责任公司2×58孔焦炉技术改造项目</w:t>
            </w:r>
          </w:p>
        </w:tc>
        <w:tc>
          <w:tcPr>
            <w:tcW w:w="5848" w:type="dxa"/>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进一步优化工程设计和污染防治设施，加强运行管理，不断提高清洁生产水平，从源头控制污染。本次技改将增设1套焦炉装煤、出焦过程中逸散烟尘的收集处理装置，用于控制炉门、集气管、装煤孔等处泄露的烟尘、SO</w:t>
            </w:r>
            <w:r>
              <w:rPr>
                <w:rFonts w:hint="eastAsia"/>
                <w:bCs/>
                <w:color w:val="FF0000"/>
                <w:szCs w:val="22"/>
                <w:vertAlign w:val="subscript"/>
              </w:rPr>
              <w:t>2</w:t>
            </w:r>
            <w:r>
              <w:rPr>
                <w:rFonts w:hint="eastAsia"/>
                <w:bCs/>
                <w:color w:val="FF0000"/>
                <w:szCs w:val="22"/>
              </w:rPr>
              <w:t>、BaP等有害物质，将其收集到的含尘烟气送入除尘地面站，经袋式除尘器净化后废气由30米高烟囱排放，含尘废气外排放执行《炼焦化学工业污染物排放标准》（GB16171-2012）新建企业排放浓度限值要求</w:t>
            </w:r>
          </w:p>
        </w:tc>
        <w:tc>
          <w:tcPr>
            <w:tcW w:w="4395" w:type="dxa"/>
            <w:vAlign w:val="center"/>
          </w:tcPr>
          <w:p>
            <w:pPr>
              <w:pStyle w:val="41"/>
              <w:keepNext w:val="0"/>
              <w:keepLines w:val="0"/>
              <w:pageBreakBefore w:val="0"/>
              <w:kinsoku/>
              <w:wordWrap/>
              <w:bidi w:val="0"/>
              <w:snapToGrid/>
              <w:spacing w:line="240" w:lineRule="auto"/>
              <w:rPr>
                <w:rFonts w:hint="eastAsia" w:eastAsia="宋体"/>
                <w:bCs/>
                <w:color w:val="FF0000"/>
                <w:szCs w:val="22"/>
                <w:lang w:val="en-US" w:eastAsia="zh-CN"/>
              </w:rPr>
            </w:pPr>
            <w:r>
              <w:rPr>
                <w:rFonts w:hint="eastAsia"/>
                <w:bCs/>
                <w:color w:val="FF0000"/>
                <w:szCs w:val="22"/>
                <w:lang w:val="en-US" w:eastAsia="zh-CN"/>
              </w:rPr>
              <w:t>厂区已建设一套</w:t>
            </w:r>
            <w:r>
              <w:rPr>
                <w:rFonts w:hint="eastAsia"/>
                <w:bCs/>
                <w:color w:val="FF0000"/>
                <w:szCs w:val="22"/>
              </w:rPr>
              <w:t>焦炉装煤、出焦过程中逸散烟尘的收集处理装置</w:t>
            </w:r>
            <w:r>
              <w:rPr>
                <w:rFonts w:hint="eastAsia"/>
                <w:bCs/>
                <w:color w:val="FF0000"/>
                <w:szCs w:val="22"/>
                <w:lang w:eastAsia="zh-CN"/>
              </w:rPr>
              <w:t>，验收数据表明收集后的</w:t>
            </w:r>
            <w:r>
              <w:rPr>
                <w:rFonts w:hint="eastAsia"/>
                <w:bCs/>
                <w:color w:val="FF0000"/>
                <w:szCs w:val="22"/>
              </w:rPr>
              <w:t>含尘烟气</w:t>
            </w:r>
            <w:r>
              <w:rPr>
                <w:rFonts w:hint="eastAsia"/>
                <w:bCs/>
                <w:color w:val="FF0000"/>
                <w:szCs w:val="22"/>
                <w:lang w:eastAsia="zh-CN"/>
              </w:rPr>
              <w:t>经除尘地面站</w:t>
            </w:r>
            <w:r>
              <w:rPr>
                <w:rFonts w:hint="eastAsia"/>
                <w:bCs/>
                <w:color w:val="FF0000"/>
                <w:szCs w:val="22"/>
              </w:rPr>
              <w:t>袋式除尘器净化后</w:t>
            </w:r>
            <w:r>
              <w:rPr>
                <w:rFonts w:hint="eastAsia"/>
                <w:bCs/>
                <w:color w:val="FF0000"/>
                <w:szCs w:val="22"/>
                <w:lang w:eastAsia="zh-CN"/>
              </w:rPr>
              <w:t>，可满足</w:t>
            </w:r>
            <w:r>
              <w:rPr>
                <w:rFonts w:hint="eastAsia"/>
                <w:bCs/>
                <w:color w:val="FF0000"/>
                <w:szCs w:val="22"/>
              </w:rPr>
              <w:t>《炼焦化学工业污染物排放标准》（GB16171-2012）新建企业排放浓度限值要求</w:t>
            </w:r>
          </w:p>
        </w:tc>
        <w:tc>
          <w:tcPr>
            <w:tcW w:w="1400"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严格落实水污染防治措施。加强项目用水管理，针对技改工程产生的酚氰废水经处理后应全部用于高炉冲渣和烧结配料，不得外排。按照“分区防渗”原则，分别对不同区域采取防渗处理措施，防止污染土壤和地下</w:t>
            </w:r>
          </w:p>
        </w:tc>
        <w:tc>
          <w:tcPr>
            <w:tcW w:w="4395" w:type="dxa"/>
            <w:vAlign w:val="center"/>
          </w:tcPr>
          <w:p>
            <w:pPr>
              <w:pStyle w:val="41"/>
              <w:keepNext w:val="0"/>
              <w:keepLines w:val="0"/>
              <w:pageBreakBefore w:val="0"/>
              <w:kinsoku/>
              <w:wordWrap/>
              <w:bidi w:val="0"/>
              <w:snapToGrid/>
              <w:spacing w:line="240" w:lineRule="auto"/>
              <w:rPr>
                <w:rFonts w:hint="eastAsia" w:eastAsia="宋体"/>
                <w:bCs/>
                <w:color w:val="FF0000"/>
                <w:szCs w:val="22"/>
                <w:lang w:val="en-US" w:eastAsia="zh-CN"/>
              </w:rPr>
            </w:pPr>
            <w:r>
              <w:rPr>
                <w:rFonts w:hint="eastAsia"/>
                <w:bCs/>
                <w:color w:val="FF0000"/>
                <w:szCs w:val="22"/>
                <w:lang w:val="en-US" w:eastAsia="zh-CN"/>
              </w:rPr>
              <w:t>技改后，焦化环节产生的</w:t>
            </w:r>
            <w:r>
              <w:rPr>
                <w:rFonts w:hint="eastAsia"/>
                <w:bCs/>
                <w:color w:val="FF0000"/>
                <w:szCs w:val="22"/>
              </w:rPr>
              <w:t>酚氰废水</w:t>
            </w:r>
            <w:r>
              <w:rPr>
                <w:rFonts w:hint="eastAsia"/>
                <w:bCs/>
                <w:color w:val="FF0000"/>
                <w:szCs w:val="22"/>
                <w:lang w:eastAsia="zh-CN"/>
              </w:rPr>
              <w:t>经处理后，全部用于</w:t>
            </w:r>
            <w:r>
              <w:rPr>
                <w:rFonts w:hint="eastAsia"/>
                <w:bCs/>
                <w:color w:val="FF0000"/>
                <w:szCs w:val="22"/>
              </w:rPr>
              <w:t>高炉冲渣和烧结配料</w:t>
            </w:r>
            <w:r>
              <w:rPr>
                <w:rFonts w:hint="eastAsia"/>
                <w:bCs/>
                <w:color w:val="FF0000"/>
                <w:szCs w:val="22"/>
                <w:lang w:eastAsia="zh-CN"/>
              </w:rPr>
              <w:t>，不外排。同时，已对焦化环节包括酚氰废水处理站进行了分区防渗措施，焦化酚氰废水处理站水池采用C25防水混凝土，设计抗渗等级为P6，水池内表面抹水泥基渗透结晶防渗涂层。并在砼中掺膨胀型防水剂防止渗漏</w:t>
            </w:r>
          </w:p>
        </w:tc>
        <w:tc>
          <w:tcPr>
            <w:tcW w:w="1400" w:type="dxa"/>
            <w:tcBorders>
              <w:right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根据《报告书》的结论，本焦炉经技术改造后，焦炉炉体边界应设置1000米环境防护距离。你公司应积极协调当地政府做好防护距离内用地规划控制工作，防护距离内不得规划、建设学校、医院、住宅等环境敏感建筑以及农副食品加工、食品医药制造等敏感行业</w:t>
            </w:r>
          </w:p>
        </w:tc>
        <w:tc>
          <w:tcPr>
            <w:tcW w:w="4395" w:type="dxa"/>
            <w:vAlign w:val="center"/>
          </w:tcPr>
          <w:p>
            <w:pPr>
              <w:pStyle w:val="41"/>
              <w:keepNext w:val="0"/>
              <w:keepLines w:val="0"/>
              <w:pageBreakBefore w:val="0"/>
              <w:kinsoku/>
              <w:wordWrap/>
              <w:bidi w:val="0"/>
              <w:snapToGrid/>
              <w:spacing w:line="240" w:lineRule="auto"/>
              <w:rPr>
                <w:rFonts w:hint="default"/>
                <w:bCs/>
                <w:color w:val="FF0000"/>
                <w:szCs w:val="22"/>
                <w:lang w:val="en-US" w:eastAsia="zh-CN"/>
              </w:rPr>
            </w:pPr>
            <w:r>
              <w:rPr>
                <w:rFonts w:hint="eastAsia"/>
                <w:bCs/>
                <w:color w:val="FF0000"/>
                <w:szCs w:val="22"/>
                <w:lang w:val="en-US" w:eastAsia="zh-CN"/>
              </w:rPr>
              <w:t>技改后，通过在焦化工序增设焦炉逸散烟尘收集处理装置后，焦化工序卫生防护距离核算为1000m，根据现场实际调查，该防护距离内无学校、医院、住宅等环境敏感建筑</w:t>
            </w:r>
            <w:r>
              <w:rPr>
                <w:rFonts w:ascii="Times New Roman" w:hAnsi="Times New Roman" w:eastAsia="宋体" w:cs="Times New Roman"/>
                <w:color w:val="FF0000"/>
                <w:szCs w:val="21"/>
                <w:highlight w:val="none"/>
              </w:rPr>
              <w:t>。</w:t>
            </w:r>
            <w:r>
              <w:rPr>
                <w:rFonts w:hint="eastAsia" w:cs="Times New Roman"/>
                <w:color w:val="FF0000"/>
                <w:szCs w:val="21"/>
                <w:highlight w:val="none"/>
                <w:lang w:eastAsia="zh-CN"/>
              </w:rPr>
              <w:t>详细可</w:t>
            </w:r>
            <w:r>
              <w:rPr>
                <w:rFonts w:ascii="Times New Roman" w:hAnsi="Times New Roman" w:eastAsia="宋体" w:cs="Times New Roman"/>
                <w:color w:val="FF0000"/>
                <w:szCs w:val="21"/>
                <w:highlight w:val="none"/>
              </w:rPr>
              <w:t>见</w:t>
            </w:r>
            <w:r>
              <w:rPr>
                <w:rFonts w:hint="eastAsia" w:ascii="Times New Roman" w:hAnsi="Times New Roman" w:eastAsia="宋体" w:cs="Times New Roman"/>
                <w:color w:val="FF0000"/>
                <w:szCs w:val="21"/>
                <w:highlight w:val="none"/>
                <w:lang w:eastAsia="zh-CN"/>
              </w:rPr>
              <w:t>图</w:t>
            </w:r>
            <w:r>
              <w:rPr>
                <w:rFonts w:hint="eastAsia" w:ascii="Times New Roman" w:hAnsi="Times New Roman" w:eastAsia="宋体" w:cs="Times New Roman"/>
                <w:color w:val="FF0000"/>
                <w:szCs w:val="21"/>
                <w:highlight w:val="none"/>
                <w:lang w:val="en-US" w:eastAsia="zh-CN"/>
              </w:rPr>
              <w:t>6.1-3厂区大气环境防护距离</w:t>
            </w:r>
            <w:r>
              <w:rPr>
                <w:rFonts w:ascii="Times New Roman" w:hAnsi="Times New Roman" w:eastAsia="宋体" w:cs="Times New Roman"/>
                <w:color w:val="FF0000"/>
                <w:szCs w:val="21"/>
                <w:highlight w:val="none"/>
              </w:rPr>
              <w:t>包络线图</w:t>
            </w:r>
          </w:p>
        </w:tc>
        <w:tc>
          <w:tcPr>
            <w:tcW w:w="1400" w:type="dxa"/>
            <w:tcBorders>
              <w:right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restart"/>
            <w:tcBorders>
              <w:lef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芜湖新兴铸管有限责任公司2×265m</w:t>
            </w:r>
            <w:r>
              <w:rPr>
                <w:rFonts w:ascii="Times New Roman" w:hAnsi="Times New Roman" w:eastAsia="宋体" w:cs="Times New Roman"/>
                <w:color w:val="FF0000"/>
                <w:szCs w:val="21"/>
                <w:vertAlign w:val="superscript"/>
              </w:rPr>
              <w:t>2</w:t>
            </w:r>
            <w:r>
              <w:rPr>
                <w:rFonts w:ascii="Times New Roman" w:hAnsi="Times New Roman" w:eastAsia="宋体" w:cs="Times New Roman"/>
                <w:color w:val="FF0000"/>
                <w:szCs w:val="21"/>
              </w:rPr>
              <w:t>烧结机技术改造项目</w:t>
            </w:r>
          </w:p>
        </w:tc>
        <w:tc>
          <w:tcPr>
            <w:tcW w:w="5848" w:type="dxa"/>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进一步优化工程设计和污染防治设施，加强运行管理，不断提高清洁生产水平，从源头控制污染。烧结机生产应采用铺底料工艺，以减少烟气原始含尘浓度，同时对烧结机各产尘点均设密闭罩，抽风强制除尘，以控制其烟、粉尘的排放。针对烧结机机头生产过程中产生的含尘、SO</w:t>
            </w:r>
            <w:r>
              <w:rPr>
                <w:rFonts w:hint="eastAsia"/>
                <w:bCs/>
                <w:color w:val="FF0000"/>
                <w:szCs w:val="22"/>
                <w:vertAlign w:val="subscript"/>
              </w:rPr>
              <w:t>2</w:t>
            </w:r>
            <w:r>
              <w:rPr>
                <w:rFonts w:hint="eastAsia"/>
                <w:bCs/>
                <w:color w:val="FF0000"/>
                <w:szCs w:val="22"/>
              </w:rPr>
              <w:t>、NOx和二噁英的废气，2台烧结机各设一套H</w:t>
            </w:r>
            <w:r>
              <w:rPr>
                <w:rFonts w:hint="eastAsia"/>
                <w:bCs/>
                <w:color w:val="FF0000"/>
                <w:szCs w:val="22"/>
                <w:vertAlign w:val="subscript"/>
              </w:rPr>
              <w:t>2</w:t>
            </w:r>
            <w:r>
              <w:rPr>
                <w:rFonts w:hint="eastAsia"/>
                <w:bCs/>
                <w:color w:val="FF0000"/>
                <w:szCs w:val="22"/>
              </w:rPr>
              <w:t>-SCR脱硝系统＋双室四电场静电除尘器净化＋湿式石灰石石膏法脱硝处理处置，净化后废气由高70米烟囱排放；针对烧结机尾产生的含尘废气，2台烧结机各设置1台电袋复合除尘器（1电加3布袋）净化，净化后废气经45米高烟囱排放；针对燃料破碎、配料转运等产生的含尘废气，2台烧结机共设置一套防爆型袋式除尘净化器和1套袋式除尘净化器净化，净化后烟气经40米高烟囱排放；所有含尘废气外排执行《钢铁烧结、球团工业大气污染物排放标准》（GB28662-2012)新建企业排放限值要求</w:t>
            </w:r>
          </w:p>
        </w:tc>
        <w:tc>
          <w:tcPr>
            <w:tcW w:w="4395" w:type="dxa"/>
            <w:vAlign w:val="center"/>
          </w:tcPr>
          <w:p>
            <w:pPr>
              <w:pStyle w:val="41"/>
              <w:keepNext w:val="0"/>
              <w:keepLines w:val="0"/>
              <w:pageBreakBefore w:val="0"/>
              <w:kinsoku/>
              <w:wordWrap/>
              <w:bidi w:val="0"/>
              <w:snapToGrid/>
              <w:spacing w:line="240" w:lineRule="auto"/>
              <w:rPr>
                <w:rFonts w:hint="eastAsia"/>
                <w:bCs/>
                <w:color w:val="FF0000"/>
                <w:szCs w:val="22"/>
                <w:lang w:val="en-US" w:eastAsia="zh-CN"/>
              </w:rPr>
            </w:pPr>
            <w:r>
              <w:rPr>
                <w:rFonts w:hint="eastAsia"/>
                <w:color w:val="FF0000"/>
                <w:lang w:val="en-US" w:eastAsia="zh-CN"/>
              </w:rPr>
              <w:t>技改后，烧结工艺采用铺底料工艺：铁精矿、熔剂、燃料等按确定的比例分别通过定量圆盘给料机+胶带配料称或直拖式定量胶带给料机进行重量自动配料，由胶带运输机送至混合机进行加水混合，再由胶带机送至制粒机加水进行制粒，同时用蒸汽预热混合料；经过制粒和预热的混合料通过梭式布料机进入烧结机混合料矿槽，同时采用蒸汽射流预热；经圆辊布料机和曲面偏析布</w:t>
            </w:r>
            <w:r>
              <w:rPr>
                <w:rFonts w:hint="eastAsia"/>
                <w:bCs/>
                <w:color w:val="FF0000"/>
                <w:szCs w:val="22"/>
                <w:lang w:val="en-US" w:eastAsia="zh-CN"/>
              </w:rPr>
              <w:t>料机均匀等厚地布到铺有20~40mm厚铺底料的烧结机台车上。</w:t>
            </w:r>
          </w:p>
          <w:p>
            <w:pPr>
              <w:pStyle w:val="41"/>
              <w:keepNext w:val="0"/>
              <w:keepLines w:val="0"/>
              <w:pageBreakBefore w:val="0"/>
              <w:kinsoku/>
              <w:wordWrap/>
              <w:bidi w:val="0"/>
              <w:snapToGrid/>
              <w:spacing w:line="240" w:lineRule="auto"/>
              <w:rPr>
                <w:rFonts w:hint="default" w:eastAsia="宋体"/>
                <w:color w:val="FF0000"/>
                <w:lang w:val="en-US" w:eastAsia="zh-CN"/>
              </w:rPr>
            </w:pPr>
            <w:r>
              <w:rPr>
                <w:rFonts w:hint="eastAsia"/>
                <w:color w:val="FF0000"/>
                <w:lang w:val="en-US" w:eastAsia="zh-CN"/>
              </w:rPr>
              <w:t>技改后，新增一套</w:t>
            </w:r>
            <w:r>
              <w:rPr>
                <w:rFonts w:hint="eastAsia"/>
                <w:bCs/>
                <w:color w:val="FF0000"/>
                <w:szCs w:val="22"/>
              </w:rPr>
              <w:t>H</w:t>
            </w:r>
            <w:r>
              <w:rPr>
                <w:rFonts w:hint="eastAsia"/>
                <w:bCs/>
                <w:color w:val="FF0000"/>
                <w:szCs w:val="22"/>
                <w:vertAlign w:val="subscript"/>
              </w:rPr>
              <w:t>2</w:t>
            </w:r>
            <w:r>
              <w:rPr>
                <w:rFonts w:hint="eastAsia"/>
                <w:bCs/>
                <w:color w:val="FF0000"/>
                <w:szCs w:val="22"/>
              </w:rPr>
              <w:t>-SCR脱硝系统＋双室四电场静电除尘器净化＋湿式石灰石石膏法脱硝处理处置</w:t>
            </w:r>
            <w:r>
              <w:rPr>
                <w:rFonts w:hint="eastAsia"/>
                <w:bCs/>
                <w:color w:val="FF0000"/>
                <w:szCs w:val="22"/>
                <w:lang w:eastAsia="zh-CN"/>
              </w:rPr>
              <w:t>，经净化后的废气通过</w:t>
            </w:r>
            <w:r>
              <w:rPr>
                <w:rFonts w:hint="eastAsia"/>
                <w:bCs/>
                <w:color w:val="FF0000"/>
                <w:szCs w:val="22"/>
                <w:lang w:val="en-US" w:eastAsia="zh-CN"/>
              </w:rPr>
              <w:t>1根70m高烟囱排放，排放尾气可满足《钢铁烧结、球团工业大气污染物排放标准》（GB28662-2012）表2排放限值要求，烧结过程其余含尘废气均通过袋式除尘器处理，处理后废气排放可满足《钢铁烧结、球团工业大气污染物排放标准》（GB28662-2012)新建企业排放限值要求</w:t>
            </w:r>
          </w:p>
        </w:tc>
        <w:tc>
          <w:tcPr>
            <w:tcW w:w="1400" w:type="dxa"/>
            <w:tcBorders>
              <w:right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5848" w:type="dxa"/>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严格落实水污染防治措施。加强项目用水管理，针对烧结生产间接冷却用水、应尽量循环使用；针对烧结烟气脱硫废水，经沉淀与处理后排入全厂污水处理站处理处置；间接冷却用水、脱硫废水车间保洁用水、生活污水等经厂内各装置处理处置后按原环评批复要求落实好综合利用。</w:t>
            </w:r>
          </w:p>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按照“分区防渗”原则，分别对不同区域采取防渗处理措施，防止污染土壤和利用</w:t>
            </w:r>
          </w:p>
        </w:tc>
        <w:tc>
          <w:tcPr>
            <w:tcW w:w="4395" w:type="dxa"/>
            <w:vAlign w:val="center"/>
          </w:tcPr>
          <w:p>
            <w:pPr>
              <w:pStyle w:val="41"/>
              <w:keepNext w:val="0"/>
              <w:keepLines w:val="0"/>
              <w:pageBreakBefore w:val="0"/>
              <w:kinsoku/>
              <w:wordWrap/>
              <w:bidi w:val="0"/>
              <w:snapToGrid/>
              <w:spacing w:line="240" w:lineRule="auto"/>
              <w:rPr>
                <w:rFonts w:hint="eastAsia"/>
                <w:color w:val="FF0000"/>
                <w:lang w:val="en-US" w:eastAsia="zh-CN"/>
              </w:rPr>
            </w:pPr>
            <w:r>
              <w:rPr>
                <w:rFonts w:hint="eastAsia"/>
                <w:color w:val="FF0000"/>
                <w:lang w:val="en-US" w:eastAsia="zh-CN"/>
              </w:rPr>
              <w:t>技改后，烧结车间生产废水产生后优先回用于烧结工序，多余部分排入全厂综合废水处理站，经格栅、混凝、絮凝、沉淀、过滤等处理后，尾水进入厂区回用水管网，作为车间补充水回用于生产过程。</w:t>
            </w:r>
          </w:p>
          <w:p>
            <w:pPr>
              <w:pStyle w:val="41"/>
              <w:keepNext w:val="0"/>
              <w:keepLines w:val="0"/>
              <w:pageBreakBefore w:val="0"/>
              <w:kinsoku/>
              <w:wordWrap/>
              <w:bidi w:val="0"/>
              <w:snapToGrid/>
              <w:spacing w:line="240" w:lineRule="auto"/>
              <w:rPr>
                <w:rFonts w:hint="eastAsia"/>
                <w:color w:val="FF0000"/>
                <w:lang w:val="en-US" w:eastAsia="zh-CN"/>
              </w:rPr>
            </w:pPr>
            <w:r>
              <w:rPr>
                <w:rFonts w:hint="eastAsia"/>
                <w:color w:val="FF0000"/>
                <w:lang w:val="en-US" w:eastAsia="zh-CN"/>
              </w:rPr>
              <w:t>烧结车间内浊环水处理池设施已进行防渗处理，采用C30级防水混凝土，抗渗等级P6。管沟采用C25级防水混凝土，抗渗等级S4，排水沟、泵基础、加药装置及过滤其基础均采用C25级混凝土，二次浇灌层采用C30级细石混凝土，垫层采用C15级混凝土。水池内表面抹1mm水泥基渗透结晶防渗涂层</w:t>
            </w:r>
          </w:p>
        </w:tc>
        <w:tc>
          <w:tcPr>
            <w:tcW w:w="1400" w:type="dxa"/>
            <w:tcBorders>
              <w:right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5848" w:type="dxa"/>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根据《报告书》的结论，本烧结机经技术改造后，烧结机应设置</w:t>
            </w:r>
            <w:r>
              <w:rPr>
                <w:rFonts w:hint="eastAsia"/>
                <w:bCs/>
                <w:color w:val="FF0000"/>
                <w:szCs w:val="22"/>
                <w:lang w:val="en-US" w:eastAsia="zh-CN"/>
              </w:rPr>
              <w:t>600</w:t>
            </w:r>
            <w:r>
              <w:rPr>
                <w:rFonts w:hint="eastAsia"/>
                <w:bCs/>
                <w:color w:val="FF0000"/>
                <w:szCs w:val="22"/>
              </w:rPr>
              <w:t>米环境防护距离。你公司应积极协调当地政府做好防护距离内用地规划控制工作，防护距离内不得规划、建设学校、医院、住宅等环境敏感建筑以及农副食品加工、食品医药制造等敏感行业</w:t>
            </w:r>
          </w:p>
        </w:tc>
        <w:tc>
          <w:tcPr>
            <w:tcW w:w="4395" w:type="dxa"/>
            <w:vAlign w:val="center"/>
          </w:tcPr>
          <w:p>
            <w:pPr>
              <w:pStyle w:val="41"/>
              <w:keepNext w:val="0"/>
              <w:keepLines w:val="0"/>
              <w:pageBreakBefore w:val="0"/>
              <w:kinsoku/>
              <w:wordWrap/>
              <w:bidi w:val="0"/>
              <w:snapToGrid/>
              <w:spacing w:line="240" w:lineRule="auto"/>
              <w:rPr>
                <w:rFonts w:hint="eastAsia"/>
                <w:color w:val="FF0000"/>
                <w:lang w:val="en-US" w:eastAsia="zh-CN"/>
              </w:rPr>
            </w:pPr>
            <w:r>
              <w:rPr>
                <w:rFonts w:hint="eastAsia"/>
                <w:bCs/>
                <w:color w:val="FF0000"/>
                <w:szCs w:val="22"/>
                <w:lang w:val="en-US" w:eastAsia="zh-CN"/>
              </w:rPr>
              <w:t>技改后，烧结工序卫生防护距离核算为600m，根据现场实际调查，该防护距离内无学校、医院、住宅等环境敏感建筑</w:t>
            </w:r>
            <w:r>
              <w:rPr>
                <w:rFonts w:ascii="Times New Roman" w:hAnsi="Times New Roman" w:eastAsia="宋体" w:cs="Times New Roman"/>
                <w:color w:val="FF0000"/>
                <w:szCs w:val="21"/>
                <w:highlight w:val="none"/>
              </w:rPr>
              <w:t>。</w:t>
            </w:r>
            <w:r>
              <w:rPr>
                <w:rFonts w:hint="eastAsia" w:cs="Times New Roman"/>
                <w:color w:val="FF0000"/>
                <w:szCs w:val="21"/>
                <w:highlight w:val="none"/>
                <w:lang w:eastAsia="zh-CN"/>
              </w:rPr>
              <w:t>详细可</w:t>
            </w:r>
            <w:r>
              <w:rPr>
                <w:rFonts w:ascii="Times New Roman" w:hAnsi="Times New Roman" w:eastAsia="宋体" w:cs="Times New Roman"/>
                <w:color w:val="FF0000"/>
                <w:szCs w:val="21"/>
                <w:highlight w:val="none"/>
              </w:rPr>
              <w:t>见</w:t>
            </w:r>
            <w:r>
              <w:rPr>
                <w:rFonts w:hint="eastAsia" w:ascii="Times New Roman" w:hAnsi="Times New Roman" w:eastAsia="宋体" w:cs="Times New Roman"/>
                <w:color w:val="FF0000"/>
                <w:szCs w:val="21"/>
                <w:highlight w:val="none"/>
                <w:lang w:eastAsia="zh-CN"/>
              </w:rPr>
              <w:t>图</w:t>
            </w:r>
            <w:r>
              <w:rPr>
                <w:rFonts w:hint="eastAsia" w:ascii="Times New Roman" w:hAnsi="Times New Roman" w:eastAsia="宋体" w:cs="Times New Roman"/>
                <w:color w:val="FF0000"/>
                <w:szCs w:val="21"/>
                <w:highlight w:val="none"/>
                <w:lang w:val="en-US" w:eastAsia="zh-CN"/>
              </w:rPr>
              <w:t>6.1-3厂区大气环境防护距离</w:t>
            </w:r>
            <w:r>
              <w:rPr>
                <w:rFonts w:ascii="Times New Roman" w:hAnsi="Times New Roman" w:eastAsia="宋体" w:cs="Times New Roman"/>
                <w:color w:val="FF0000"/>
                <w:szCs w:val="21"/>
                <w:highlight w:val="none"/>
              </w:rPr>
              <w:t>包络线图</w:t>
            </w:r>
          </w:p>
        </w:tc>
        <w:tc>
          <w:tcPr>
            <w:tcW w:w="1400" w:type="dxa"/>
            <w:tcBorders>
              <w:right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restart"/>
            <w:tcBorders>
              <w:left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芜湖新兴铸管有限责任公司焦化废水升级提标改造项目</w:t>
            </w:r>
          </w:p>
        </w:tc>
        <w:tc>
          <w:tcPr>
            <w:tcW w:w="5848" w:type="dxa"/>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项目技改是在现有焦化废水预处理工序后面新增XL-强化预处理系统（AS装置）1套，将现有焦化废水处理的曝气头全部更换为XL-H悬插管式曝气装置；在现有焦化废水处理站最终出水处扩建1套每小时100立方米的焦化废水中水处理系统，年再生水可达57.6万吨。最终出水水质满足《炼焦化学工业污染物排放标准》（GB16171-2012）和《污水再生利用工程设计规范》（GB50335-2002）中相关要求，其中处理后30%的浓盐水作为高炉冲渣水的补充水使用，其余70%的中水进入焦化新水管网，作为循环水系统的补充水使用，升级提标改造后的焦化废水仍然全部为零排放</w:t>
            </w:r>
          </w:p>
        </w:tc>
        <w:tc>
          <w:tcPr>
            <w:tcW w:w="4395" w:type="dxa"/>
            <w:vAlign w:val="center"/>
          </w:tcPr>
          <w:p>
            <w:pPr>
              <w:pStyle w:val="41"/>
              <w:keepNext w:val="0"/>
              <w:keepLines w:val="0"/>
              <w:pageBreakBefore w:val="0"/>
              <w:kinsoku/>
              <w:wordWrap/>
              <w:bidi w:val="0"/>
              <w:snapToGrid/>
              <w:spacing w:line="240" w:lineRule="auto"/>
              <w:rPr>
                <w:rFonts w:hint="eastAsia"/>
                <w:bCs/>
                <w:color w:val="FF0000"/>
                <w:szCs w:val="22"/>
                <w:lang w:val="en-US" w:eastAsia="zh-CN"/>
              </w:rPr>
            </w:pPr>
            <w:r>
              <w:rPr>
                <w:rFonts w:hint="eastAsia"/>
                <w:bCs/>
                <w:color w:val="FF0000"/>
                <w:szCs w:val="22"/>
              </w:rPr>
              <w:t>项目新增了XL-强化预处理系统（AS装置），且焦化废水曝气头全部更换为XL-H悬插管式曝气装置。</w:t>
            </w:r>
            <w:r>
              <w:rPr>
                <w:rFonts w:hint="eastAsia"/>
                <w:bCs/>
                <w:color w:val="FF0000"/>
                <w:szCs w:val="22"/>
                <w:lang w:eastAsia="zh-CN"/>
              </w:rPr>
              <w:t>验收</w:t>
            </w:r>
            <w:r>
              <w:rPr>
                <w:rFonts w:hint="eastAsia"/>
                <w:bCs/>
                <w:color w:val="FF0000"/>
                <w:szCs w:val="22"/>
              </w:rPr>
              <w:t>监测结果表明进入焦化新水管网作为循环系统补充水的中水达到了《污水再生利用工程设计规范》（GB50335-2002）中相关要求。浓盐水作为冲渣水使用，全部为零排放</w:t>
            </w:r>
          </w:p>
        </w:tc>
        <w:tc>
          <w:tcPr>
            <w:tcW w:w="1400" w:type="dxa"/>
            <w:tcBorders>
              <w:right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530" w:type="dxa"/>
            <w:vMerge w:val="continue"/>
            <w:tcBorders>
              <w:left w:val="nil"/>
              <w:bottom w:val="single" w:color="auto" w:sz="12" w:space="0"/>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5848" w:type="dxa"/>
            <w:tcBorders>
              <w:bottom w:val="single" w:color="auto" w:sz="12" w:space="0"/>
            </w:tcBorders>
            <w:vAlign w:val="center"/>
          </w:tcPr>
          <w:p>
            <w:pPr>
              <w:pStyle w:val="41"/>
              <w:keepNext w:val="0"/>
              <w:keepLines w:val="0"/>
              <w:pageBreakBefore w:val="0"/>
              <w:kinsoku/>
              <w:wordWrap/>
              <w:bidi w:val="0"/>
              <w:snapToGrid/>
              <w:spacing w:line="240" w:lineRule="auto"/>
              <w:rPr>
                <w:rFonts w:hint="eastAsia"/>
                <w:bCs/>
                <w:color w:val="FF0000"/>
                <w:szCs w:val="22"/>
              </w:rPr>
            </w:pPr>
            <w:r>
              <w:rPr>
                <w:rFonts w:hint="eastAsia"/>
                <w:bCs/>
                <w:color w:val="FF0000"/>
                <w:szCs w:val="22"/>
              </w:rPr>
              <w:t>项目在设计与调试过程中，应进一步优化技改方案与工程措施，强化大气污染防治工作，落实水污染防治与防腐防渗措施，强化机械设备噪声的治理，落实各项固废的管理要求。特别需做好对废水处理设施中污泥恶臭的治理，尽可能减轻恶臭气体影响</w:t>
            </w:r>
          </w:p>
        </w:tc>
        <w:tc>
          <w:tcPr>
            <w:tcW w:w="4395" w:type="dxa"/>
            <w:tcBorders>
              <w:bottom w:val="single" w:color="auto" w:sz="12" w:space="0"/>
            </w:tcBorders>
            <w:vAlign w:val="center"/>
          </w:tcPr>
          <w:p>
            <w:pPr>
              <w:pStyle w:val="41"/>
              <w:keepNext w:val="0"/>
              <w:keepLines w:val="0"/>
              <w:pageBreakBefore w:val="0"/>
              <w:kinsoku/>
              <w:wordWrap/>
              <w:bidi w:val="0"/>
              <w:snapToGrid/>
              <w:spacing w:line="240" w:lineRule="auto"/>
              <w:rPr>
                <w:rFonts w:hint="eastAsia"/>
                <w:bCs/>
                <w:color w:val="FF0000"/>
                <w:szCs w:val="22"/>
                <w:lang w:val="en-US" w:eastAsia="zh-CN"/>
              </w:rPr>
            </w:pPr>
            <w:r>
              <w:rPr>
                <w:rFonts w:hint="eastAsia"/>
                <w:bCs/>
                <w:color w:val="FF0000"/>
                <w:szCs w:val="22"/>
              </w:rPr>
              <w:t>项目选用较为完备的技改和施工方案，对废水池做了相应的防腐防渗措施，针对废水池和污泥散发出的恶臭通过强化操作间通风换气、污泥喷洒除臭剂等措施控制</w:t>
            </w:r>
          </w:p>
        </w:tc>
        <w:tc>
          <w:tcPr>
            <w:tcW w:w="1400" w:type="dxa"/>
            <w:tcBorders>
              <w:bottom w:val="single" w:color="auto" w:sz="12" w:space="0"/>
              <w:right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落实</w:t>
            </w:r>
          </w:p>
        </w:tc>
      </w:tr>
    </w:tbl>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bCs/>
          <w:sz w:val="24"/>
          <w:szCs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bCs/>
          <w:sz w:val="24"/>
          <w:szCs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bCs/>
          <w:sz w:val="24"/>
          <w:szCs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2.2竣工环境保护验收要求落实情况</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针对项目竣工环境保护验收要求的落实情况见下表所示。</w:t>
      </w:r>
    </w:p>
    <w:p>
      <w:pPr>
        <w:pStyle w:val="31"/>
        <w:keepNext w:val="0"/>
        <w:keepLines w:val="0"/>
        <w:pageBreakBefore w:val="0"/>
        <w:kinsoku/>
        <w:wordWrap/>
        <w:bidi w:val="0"/>
        <w:snapToGrid/>
        <w:spacing w:line="360" w:lineRule="auto"/>
        <w:rPr>
          <w:rFonts w:cs="Times New Roman"/>
        </w:rPr>
      </w:pPr>
      <w:r>
        <w:rPr>
          <w:rFonts w:cs="Times New Roman"/>
        </w:rPr>
        <w:t>表2.2-1  芜湖新兴铸管现有厂区项目竣工环境保护验收要求落实情况一览表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725"/>
        <w:gridCol w:w="2805"/>
        <w:gridCol w:w="2760"/>
        <w:gridCol w:w="10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序号</w:t>
            </w:r>
          </w:p>
        </w:tc>
        <w:tc>
          <w:tcPr>
            <w:tcW w:w="172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项目名称</w:t>
            </w:r>
          </w:p>
        </w:tc>
        <w:tc>
          <w:tcPr>
            <w:tcW w:w="28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竣工环境保护验收要求</w:t>
            </w:r>
          </w:p>
        </w:tc>
        <w:tc>
          <w:tcPr>
            <w:tcW w:w="276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实际建设情况</w:t>
            </w:r>
          </w:p>
        </w:tc>
        <w:tc>
          <w:tcPr>
            <w:tcW w:w="10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w:t>
            </w:r>
          </w:p>
        </w:tc>
        <w:tc>
          <w:tcPr>
            <w:tcW w:w="1725"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芜湖新兴铸管有限责任公司搬迁技术改造项目现状评价</w:t>
            </w:r>
          </w:p>
        </w:tc>
        <w:tc>
          <w:tcPr>
            <w:tcW w:w="28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进一步提高环境意识，强化环境管理，按要求公开环境信息：保证各类污染处理设施的正常运行，确保各项污染物稳定达标排放。按规范加强危险废物的管理</w:t>
            </w:r>
          </w:p>
        </w:tc>
        <w:tc>
          <w:tcPr>
            <w:tcW w:w="276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企业在公司官网有企业24h在线电话，便于周围群众及时反馈信息，主动接受社会监督，同时对各环保设施安排专人看护，定期对各主要排污口进行例行监测，确保各项污染物稳定达标排放。企业加强危险废物的收集及处置，如各工序产生的废油送公司废油暂存场暂存，由公司统一送马鞍山市关东润滑油有限责任公司处理</w:t>
            </w:r>
          </w:p>
        </w:tc>
        <w:tc>
          <w:tcPr>
            <w:tcW w:w="10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w:t>
            </w:r>
          </w:p>
        </w:tc>
        <w:tc>
          <w:tcPr>
            <w:tcW w:w="1725"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28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进一步强化环境风险防范意识，建立严格的风险防范、预警体系，提高应对突发环境污染事件能力</w:t>
            </w:r>
          </w:p>
        </w:tc>
        <w:tc>
          <w:tcPr>
            <w:tcW w:w="276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公司加大风险监控力度，建立了全厂环境风险防范与应急管理体系，并制定了《芜湖新兴铸管有限责任公司（三山区）突发环境事件应急预案》，并于2018年1月19日在芜湖市环境保护局备案（备案编号340208-2018-001-M）。</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szCs w:val="21"/>
              </w:rPr>
              <w:t>公司定期开展环境风险应急演练，并落实各项应急管理措施以及风险防范措施，以防止各类环境风险事故发生</w:t>
            </w:r>
          </w:p>
        </w:tc>
        <w:tc>
          <w:tcPr>
            <w:tcW w:w="10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w:t>
            </w:r>
          </w:p>
        </w:tc>
        <w:tc>
          <w:tcPr>
            <w:tcW w:w="1725"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28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按环境监控计划开展项目污染源、周边大气、地下水及土壤环境质量等跟踪监测要求</w:t>
            </w:r>
          </w:p>
        </w:tc>
        <w:tc>
          <w:tcPr>
            <w:tcW w:w="276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企业根据项目环评内容制定了一套跟踪监测计划，并定期委托安徽基越环境监测公司对厂区污染源进行监测</w:t>
            </w:r>
          </w:p>
        </w:tc>
        <w:tc>
          <w:tcPr>
            <w:tcW w:w="10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w:t>
            </w:r>
          </w:p>
        </w:tc>
        <w:tc>
          <w:tcPr>
            <w:tcW w:w="1725"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28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按照建设项目环境保护管理条例要求，完备各建设项目环境管理手续</w:t>
            </w:r>
          </w:p>
        </w:tc>
        <w:tc>
          <w:tcPr>
            <w:tcW w:w="276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现有厂区各建设项目在施工前均依法履行了环评手续，在投产前均履行了验收手续</w:t>
            </w:r>
          </w:p>
        </w:tc>
        <w:tc>
          <w:tcPr>
            <w:tcW w:w="10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5</w:t>
            </w:r>
          </w:p>
        </w:tc>
        <w:tc>
          <w:tcPr>
            <w:tcW w:w="1725"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芜湖新兴铸管有限责任公司三山制氧10000Nm</w:t>
            </w:r>
            <w:r>
              <w:rPr>
                <w:rFonts w:ascii="Times New Roman" w:hAnsi="Times New Roman" w:eastAsia="宋体" w:cs="Times New Roman"/>
                <w:szCs w:val="21"/>
                <w:vertAlign w:val="superscript"/>
              </w:rPr>
              <w:t>3</w:t>
            </w:r>
            <w:r>
              <w:rPr>
                <w:rFonts w:ascii="Times New Roman" w:hAnsi="Times New Roman" w:eastAsia="宋体" w:cs="Times New Roman"/>
                <w:szCs w:val="21"/>
              </w:rPr>
              <w:t>/h空分设备搬迁改造项目</w:t>
            </w:r>
          </w:p>
        </w:tc>
        <w:tc>
          <w:tcPr>
            <w:tcW w:w="28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加强环境风险防范，杜绝环境污染事故发生</w:t>
            </w:r>
          </w:p>
        </w:tc>
        <w:tc>
          <w:tcPr>
            <w:tcW w:w="276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针对制氧空分设备搬迁项目，企业已聘请专业单位进行管道的设计及安装；对氧气输送管道外层涂抹较为明显的颜色，并设立警示标志和安全防范须知卡；工艺输送泵均采用密封防泄露驱动泵以避免物料泄漏，定期试压检漏物料输送管线；高温设备和管道应设立隔离栏，并有警示标志</w:t>
            </w:r>
          </w:p>
        </w:tc>
        <w:tc>
          <w:tcPr>
            <w:tcW w:w="10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6</w:t>
            </w:r>
          </w:p>
        </w:tc>
        <w:tc>
          <w:tcPr>
            <w:tcW w:w="1725"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28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定期对各项环保设备进行维护和保养，确保各项污染物长期稳定达标排放</w:t>
            </w:r>
          </w:p>
        </w:tc>
        <w:tc>
          <w:tcPr>
            <w:tcW w:w="276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企业已制定一套定期检修各项环保设备的计划，并委托安徽基越环境监测公司对厂区污染源进行监测，定期观察各项污染物达标排放情况</w:t>
            </w:r>
          </w:p>
        </w:tc>
        <w:tc>
          <w:tcPr>
            <w:tcW w:w="10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1" w:type="dxa"/>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7</w:t>
            </w:r>
          </w:p>
        </w:tc>
        <w:tc>
          <w:tcPr>
            <w:tcW w:w="1725"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芜湖新兴铸管有限责任公司焦化废水升级提标改造项目</w:t>
            </w:r>
          </w:p>
        </w:tc>
        <w:tc>
          <w:tcPr>
            <w:tcW w:w="2805" w:type="dxa"/>
            <w:tcBorders>
              <w:tl2br w:val="nil"/>
              <w:tr2bl w:val="nil"/>
            </w:tcBorders>
            <w:vAlign w:val="center"/>
          </w:tcPr>
          <w:p>
            <w:pPr>
              <w:pStyle w:val="41"/>
              <w:keepNext w:val="0"/>
              <w:keepLines w:val="0"/>
              <w:pageBreakBefore w:val="0"/>
              <w:kinsoku/>
              <w:wordWrap/>
              <w:bidi w:val="0"/>
              <w:snapToGrid/>
              <w:spacing w:line="240" w:lineRule="auto"/>
              <w:rPr>
                <w:rFonts w:hint="eastAsia" w:ascii="Times New Roman" w:hAnsi="Times New Roman" w:eastAsia="宋体" w:cs="Times New Roman"/>
                <w:color w:val="FF0000"/>
                <w:szCs w:val="21"/>
                <w:lang w:eastAsia="zh-CN"/>
              </w:rPr>
            </w:pPr>
            <w:r>
              <w:rPr>
                <w:rFonts w:hint="eastAsia"/>
                <w:bCs/>
                <w:color w:val="FF0000"/>
                <w:szCs w:val="22"/>
                <w:lang w:eastAsia="zh-CN"/>
              </w:rPr>
              <w:t>加强环境风险防范，加强生产原辅材料在使用和储运过程中的管理，杜绝环境污染事故发生</w:t>
            </w:r>
          </w:p>
        </w:tc>
        <w:tc>
          <w:tcPr>
            <w:tcW w:w="2760" w:type="dxa"/>
            <w:tcBorders>
              <w:tl2br w:val="nil"/>
              <w:tr2bl w:val="nil"/>
            </w:tcBorders>
            <w:vAlign w:val="center"/>
          </w:tcPr>
          <w:p>
            <w:pPr>
              <w:pStyle w:val="41"/>
              <w:keepNext w:val="0"/>
              <w:keepLines w:val="0"/>
              <w:pageBreakBefore w:val="0"/>
              <w:kinsoku/>
              <w:wordWrap/>
              <w:bidi w:val="0"/>
              <w:snapToGrid/>
              <w:spacing w:line="240" w:lineRule="auto"/>
              <w:rPr>
                <w:rFonts w:hint="default" w:ascii="Times New Roman" w:hAnsi="Times New Roman" w:eastAsia="宋体" w:cs="Times New Roman"/>
                <w:color w:val="FF0000"/>
                <w:szCs w:val="21"/>
                <w:lang w:val="en-US" w:eastAsia="zh-CN"/>
              </w:rPr>
            </w:pPr>
            <w:r>
              <w:rPr>
                <w:rFonts w:hint="eastAsia" w:cs="Times New Roman"/>
                <w:color w:val="FF0000"/>
                <w:szCs w:val="21"/>
                <w:lang w:eastAsia="zh-CN"/>
              </w:rPr>
              <w:t>焦化废水处理过程中使用的原辅材料包括絮凝剂、混凝剂、石灰、硫酸、消毒剂等，这些物料在使用及储运过程中均按化学药物严格管理，同时也制定了应急预案，以防突发事故产生</w:t>
            </w:r>
          </w:p>
        </w:tc>
        <w:tc>
          <w:tcPr>
            <w:tcW w:w="10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1"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8</w:t>
            </w:r>
          </w:p>
        </w:tc>
        <w:tc>
          <w:tcPr>
            <w:tcW w:w="1725"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2805" w:type="dxa"/>
            <w:tcBorders>
              <w:tl2br w:val="nil"/>
              <w:tr2bl w:val="nil"/>
            </w:tcBorders>
            <w:vAlign w:val="center"/>
          </w:tcPr>
          <w:p>
            <w:pPr>
              <w:pStyle w:val="41"/>
              <w:keepNext w:val="0"/>
              <w:keepLines w:val="0"/>
              <w:pageBreakBefore w:val="0"/>
              <w:kinsoku/>
              <w:wordWrap/>
              <w:bidi w:val="0"/>
              <w:snapToGrid/>
              <w:spacing w:line="240" w:lineRule="auto"/>
              <w:rPr>
                <w:rFonts w:hint="eastAsia" w:ascii="Times New Roman" w:hAnsi="Times New Roman" w:eastAsia="宋体" w:cs="Times New Roman"/>
                <w:color w:val="FF0000"/>
                <w:szCs w:val="21"/>
                <w:lang w:eastAsia="zh-CN"/>
              </w:rPr>
            </w:pPr>
            <w:r>
              <w:rPr>
                <w:rFonts w:hint="eastAsia"/>
                <w:bCs/>
                <w:color w:val="FF0000"/>
                <w:szCs w:val="22"/>
                <w:lang w:eastAsia="zh-CN"/>
              </w:rPr>
              <w:t>定期对各项环保设备进行维护和保养，确保各项污染物长期稳定达标排放</w:t>
            </w:r>
          </w:p>
        </w:tc>
        <w:tc>
          <w:tcPr>
            <w:tcW w:w="2760" w:type="dxa"/>
            <w:tcBorders>
              <w:tl2br w:val="nil"/>
              <w:tr2bl w:val="nil"/>
            </w:tcBorders>
            <w:vAlign w:val="center"/>
          </w:tcPr>
          <w:p>
            <w:pPr>
              <w:pStyle w:val="41"/>
              <w:keepNext w:val="0"/>
              <w:keepLines w:val="0"/>
              <w:pageBreakBefore w:val="0"/>
              <w:kinsoku/>
              <w:wordWrap/>
              <w:bidi w:val="0"/>
              <w:snapToGrid/>
              <w:spacing w:line="240" w:lineRule="auto"/>
              <w:rPr>
                <w:rFonts w:ascii="Times New Roman" w:hAnsi="Times New Roman" w:eastAsia="宋体" w:cs="Times New Roman"/>
                <w:color w:val="FF0000"/>
                <w:szCs w:val="21"/>
              </w:rPr>
            </w:pPr>
            <w:r>
              <w:rPr>
                <w:rFonts w:ascii="Times New Roman" w:hAnsi="Times New Roman" w:eastAsia="宋体" w:cs="Times New Roman"/>
                <w:color w:val="FF0000"/>
                <w:szCs w:val="21"/>
              </w:rPr>
              <w:t>企业已制定一套定期检修各项环保设备的计划，并委托安徽基越环境监测公司对厂区污染源进行监测，定期观察各项污染物达标排放情况</w:t>
            </w:r>
          </w:p>
        </w:tc>
        <w:tc>
          <w:tcPr>
            <w:tcW w:w="10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落实</w:t>
            </w:r>
          </w:p>
        </w:tc>
      </w:tr>
    </w:tbl>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2.3环境管理</w:t>
      </w:r>
      <w:r>
        <w:rPr>
          <w:rFonts w:hint="eastAsia" w:ascii="Times New Roman"/>
          <w:b w:val="0"/>
          <w:lang w:eastAsia="zh-CN"/>
        </w:rPr>
        <w:t>和</w:t>
      </w:r>
      <w:r>
        <w:rPr>
          <w:rFonts w:ascii="Times New Roman"/>
          <w:b w:val="0"/>
        </w:rPr>
        <w:t>环境监测</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2.3.1环境管理</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现有厂区自搬迁至芜湖市三山区至今已运营</w:t>
      </w:r>
      <w:r>
        <w:rPr>
          <w:rFonts w:hint="eastAsia" w:ascii="Times New Roman" w:hAnsi="Times New Roman" w:eastAsia="宋体" w:cs="Times New Roman"/>
          <w:bCs/>
          <w:sz w:val="24"/>
          <w:szCs w:val="24"/>
        </w:rPr>
        <w:t>4</w:t>
      </w:r>
      <w:r>
        <w:rPr>
          <w:rFonts w:ascii="Times New Roman" w:hAnsi="Times New Roman" w:eastAsia="宋体" w:cs="Times New Roman"/>
          <w:bCs/>
          <w:sz w:val="24"/>
          <w:szCs w:val="24"/>
        </w:rPr>
        <w:t>年，搬迁前后生产规模、环保设施等均按</w:t>
      </w:r>
      <w:r>
        <w:rPr>
          <w:rFonts w:hint="eastAsia" w:ascii="Times New Roman" w:hAnsi="Times New Roman" w:eastAsia="宋体" w:cs="Times New Roman"/>
          <w:bCs/>
          <w:sz w:val="24"/>
          <w:szCs w:val="24"/>
          <w:lang w:eastAsia="zh-CN"/>
        </w:rPr>
        <w:t>相关</w:t>
      </w:r>
      <w:r>
        <w:rPr>
          <w:rFonts w:ascii="Times New Roman" w:hAnsi="Times New Roman" w:eastAsia="宋体" w:cs="Times New Roman"/>
          <w:bCs/>
          <w:sz w:val="24"/>
          <w:szCs w:val="24"/>
        </w:rPr>
        <w:t>环评报告及环保验收要求落实，符合环保“三同时”，落实了项目的污染治理设施，完成了环保设施竣工验收，</w:t>
      </w:r>
      <w:r>
        <w:rPr>
          <w:rFonts w:ascii="Times New Roman" w:hAnsi="Times New Roman" w:eastAsia="宋体" w:cs="Times New Roman"/>
          <w:bCs/>
          <w:color w:val="FF0000"/>
          <w:sz w:val="24"/>
          <w:szCs w:val="24"/>
        </w:rPr>
        <w:t>申请了排污许可证</w:t>
      </w:r>
      <w:r>
        <w:rPr>
          <w:rFonts w:ascii="Times New Roman" w:hAnsi="Times New Roman" w:eastAsia="宋体" w:cs="Times New Roman"/>
          <w:color w:val="FF0000"/>
          <w:sz w:val="24"/>
          <w:szCs w:val="24"/>
        </w:rPr>
        <w:t>（编号：91340208748920392N001P）</w:t>
      </w:r>
      <w:r>
        <w:rPr>
          <w:rFonts w:hint="eastAsia" w:ascii="Times New Roman" w:hAnsi="Times New Roman" w:eastAsia="宋体" w:cs="Times New Roman"/>
          <w:color w:val="FF0000"/>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设置专职机构（环保能源部）和专职人员负责公司环境管理工作，制定了较完善的环境管理制度和环境突发事故应急预案（备案编号340208-2018-001-M）。项目污水分质分流管理、废气处理设施、危险废物暂存管理均有1名专职员工负责生产运行。</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芜湖新兴铸管有限责任公司环境管理档案基本齐全，各类环保处理设施运行台账、原始记录清楚完整，设施运行良好，整体环境管理水平较好。</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2.3.2环境监测计划</w:t>
      </w:r>
      <w:r>
        <w:rPr>
          <w:rFonts w:hint="eastAsia" w:ascii="Times New Roman" w:hAnsi="Times New Roman" w:eastAsia="黑体" w:cs="Times New Roman"/>
          <w:sz w:val="24"/>
          <w:szCs w:val="24"/>
          <w:lang w:eastAsia="zh-CN"/>
        </w:rPr>
        <w:t>和</w:t>
      </w:r>
      <w:r>
        <w:rPr>
          <w:rFonts w:ascii="Times New Roman" w:hAnsi="Times New Roman" w:eastAsia="黑体" w:cs="Times New Roman"/>
          <w:sz w:val="24"/>
          <w:szCs w:val="24"/>
        </w:rPr>
        <w:t>落实情况</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芜湖新兴铸管有限责任公司设有环境监测站，共8人，负责公司的日常环境监测工作。</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2.3.2.1机构职责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环境监测包括自动监测系统和人工监测系统，自动监测系统主要是对被测定对象进行实时的、动态的、全面的测定；人工监测是以现场采样、试验室化学分析或仪器分析为主要手段，对被测定对象进行间断地、定时、定点的监（检）测分析。环境监测设备的选型和数据输出形式均符合国家相关标准要求。</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2.3.2.2环境监测内容</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根据《全国环境监测管理条例》要求，需对各生产车间各污染源进行定期监测。监测项目针对其生产特征、污染物影响特性及测试手段的可靠性进行确定。</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2.3.2.3自动监测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对厂区现有项目主要的大气污染源，安装有大气污染源自动在线监测，并按照相关要求与环保主管部门联网，以便及时掌握污染物排放状况。</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厂区大气污染源自动监测点位和监测项目见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_Ref436592468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2.3-1。</w:t>
      </w:r>
    </w:p>
    <w:p>
      <w:pPr>
        <w:pStyle w:val="31"/>
        <w:keepNext w:val="0"/>
        <w:keepLines w:val="0"/>
        <w:pageBreakBefore w:val="0"/>
        <w:kinsoku/>
        <w:wordWrap/>
        <w:bidi w:val="0"/>
        <w:snapToGrid/>
        <w:spacing w:line="360" w:lineRule="auto"/>
        <w:rPr>
          <w:rFonts w:cs="Times New Roman"/>
        </w:rPr>
      </w:pPr>
      <w:r>
        <w:rPr>
          <w:rFonts w:cs="Times New Roman"/>
        </w:rPr>
        <w:t>表2.3-1  芜湖新兴铸管现有厂区大气污染源自动监测计划一览表</w:t>
      </w:r>
    </w:p>
    <w:tbl>
      <w:tblPr>
        <w:tblStyle w:val="21"/>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530"/>
        <w:gridCol w:w="3307"/>
        <w:gridCol w:w="755"/>
        <w:gridCol w:w="2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750" w:type="dxa"/>
            <w:tcBorders>
              <w:top w:val="single" w:color="auto" w:sz="12" w:space="0"/>
              <w:lef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b/>
                <w:bCs/>
                <w:kern w:val="24"/>
                <w:szCs w:val="21"/>
              </w:rPr>
            </w:pPr>
            <w:r>
              <w:rPr>
                <w:rFonts w:ascii="Times New Roman" w:hAnsi="Times New Roman" w:eastAsia="宋体" w:cs="Times New Roman"/>
                <w:b/>
                <w:bCs/>
                <w:kern w:val="24"/>
                <w:szCs w:val="21"/>
              </w:rPr>
              <w:t>序号</w:t>
            </w:r>
          </w:p>
        </w:tc>
        <w:tc>
          <w:tcPr>
            <w:tcW w:w="1530" w:type="dxa"/>
            <w:tcBorders>
              <w:top w:val="single" w:color="auto" w:sz="12" w:space="0"/>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b/>
                <w:bCs/>
                <w:kern w:val="24"/>
                <w:szCs w:val="21"/>
              </w:rPr>
            </w:pPr>
            <w:r>
              <w:rPr>
                <w:rFonts w:ascii="Times New Roman" w:hAnsi="Times New Roman" w:eastAsia="宋体" w:cs="Times New Roman"/>
                <w:b/>
                <w:bCs/>
                <w:kern w:val="24"/>
                <w:szCs w:val="21"/>
              </w:rPr>
              <w:t>类别</w:t>
            </w:r>
          </w:p>
        </w:tc>
        <w:tc>
          <w:tcPr>
            <w:tcW w:w="3307" w:type="dxa"/>
            <w:tcBorders>
              <w:top w:val="single" w:color="auto" w:sz="12" w:space="0"/>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b/>
                <w:bCs/>
                <w:kern w:val="24"/>
                <w:szCs w:val="21"/>
              </w:rPr>
            </w:pPr>
            <w:r>
              <w:rPr>
                <w:rFonts w:ascii="Times New Roman" w:hAnsi="Times New Roman" w:eastAsia="宋体" w:cs="Times New Roman"/>
                <w:b/>
                <w:bCs/>
                <w:kern w:val="24"/>
                <w:szCs w:val="21"/>
              </w:rPr>
              <w:t>测点位置</w:t>
            </w:r>
          </w:p>
        </w:tc>
        <w:tc>
          <w:tcPr>
            <w:tcW w:w="755" w:type="dxa"/>
            <w:tcBorders>
              <w:top w:val="single" w:color="auto" w:sz="12" w:space="0"/>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b/>
                <w:bCs/>
                <w:kern w:val="24"/>
                <w:szCs w:val="21"/>
              </w:rPr>
            </w:pPr>
            <w:r>
              <w:rPr>
                <w:rFonts w:ascii="Times New Roman" w:hAnsi="Times New Roman" w:eastAsia="宋体" w:cs="Times New Roman"/>
                <w:b/>
                <w:bCs/>
                <w:kern w:val="24"/>
                <w:szCs w:val="21"/>
              </w:rPr>
              <w:t>数量</w:t>
            </w:r>
          </w:p>
        </w:tc>
        <w:tc>
          <w:tcPr>
            <w:tcW w:w="2729" w:type="dxa"/>
            <w:tcBorders>
              <w:top w:val="single" w:color="auto" w:sz="12" w:space="0"/>
              <w:righ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b/>
                <w:bCs/>
                <w:kern w:val="24"/>
                <w:szCs w:val="21"/>
              </w:rPr>
            </w:pPr>
            <w:r>
              <w:rPr>
                <w:rFonts w:ascii="Times New Roman" w:hAnsi="Times New Roman" w:eastAsia="宋体" w:cs="Times New Roman"/>
                <w:b/>
                <w:bCs/>
                <w:kern w:val="24"/>
                <w:szCs w:val="21"/>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750" w:type="dxa"/>
            <w:vMerge w:val="restart"/>
            <w:tcBorders>
              <w:lef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1</w:t>
            </w:r>
          </w:p>
        </w:tc>
        <w:tc>
          <w:tcPr>
            <w:tcW w:w="1530" w:type="dxa"/>
            <w:vMerge w:val="restart"/>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烧结</w:t>
            </w:r>
          </w:p>
        </w:tc>
        <w:tc>
          <w:tcPr>
            <w:tcW w:w="3307"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烧结机机头烟气脱硫入口</w:t>
            </w:r>
          </w:p>
        </w:tc>
        <w:tc>
          <w:tcPr>
            <w:tcW w:w="755"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2</w:t>
            </w:r>
          </w:p>
        </w:tc>
        <w:tc>
          <w:tcPr>
            <w:tcW w:w="2729" w:type="dxa"/>
            <w:tcBorders>
              <w:righ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颗粒物、SO</w:t>
            </w:r>
            <w:r>
              <w:rPr>
                <w:rFonts w:ascii="Times New Roman" w:hAnsi="Times New Roman" w:eastAsia="宋体" w:cs="Times New Roman"/>
                <w:kern w:val="24"/>
                <w:szCs w:val="21"/>
                <w:vertAlign w:val="subscript"/>
              </w:rPr>
              <w:t>2</w:t>
            </w:r>
            <w:r>
              <w:rPr>
                <w:rFonts w:ascii="Times New Roman" w:hAnsi="Times New Roman" w:eastAsia="宋体" w:cs="Times New Roman"/>
                <w:kern w:val="24"/>
                <w:szCs w:val="21"/>
              </w:rPr>
              <w:t>、NO</w:t>
            </w:r>
            <w:r>
              <w:rPr>
                <w:rFonts w:ascii="Times New Roman" w:hAnsi="Times New Roman" w:eastAsia="宋体" w:cs="Times New Roman"/>
                <w:kern w:val="24"/>
                <w:szCs w:val="21"/>
                <w:vertAlign w:val="subscript"/>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750" w:type="dxa"/>
            <w:vMerge w:val="continue"/>
            <w:tcBorders>
              <w:lef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p>
        </w:tc>
        <w:tc>
          <w:tcPr>
            <w:tcW w:w="1530" w:type="dxa"/>
            <w:vMerge w:val="continue"/>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p>
        </w:tc>
        <w:tc>
          <w:tcPr>
            <w:tcW w:w="3307"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烧结机机头烟气脱硫出口</w:t>
            </w:r>
          </w:p>
        </w:tc>
        <w:tc>
          <w:tcPr>
            <w:tcW w:w="755"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2</w:t>
            </w:r>
          </w:p>
        </w:tc>
        <w:tc>
          <w:tcPr>
            <w:tcW w:w="2729" w:type="dxa"/>
            <w:tcBorders>
              <w:righ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颗粒物、SO</w:t>
            </w:r>
            <w:r>
              <w:rPr>
                <w:rFonts w:ascii="Times New Roman" w:hAnsi="Times New Roman" w:eastAsia="宋体" w:cs="Times New Roman"/>
                <w:kern w:val="24"/>
                <w:szCs w:val="21"/>
                <w:vertAlign w:val="subscript"/>
              </w:rPr>
              <w:t>2</w:t>
            </w:r>
            <w:r>
              <w:rPr>
                <w:rFonts w:ascii="Times New Roman" w:hAnsi="Times New Roman" w:eastAsia="宋体" w:cs="Times New Roman"/>
                <w:kern w:val="24"/>
                <w:szCs w:val="21"/>
              </w:rPr>
              <w:t>、NO</w:t>
            </w:r>
            <w:r>
              <w:rPr>
                <w:rFonts w:ascii="Times New Roman" w:hAnsi="Times New Roman" w:eastAsia="宋体" w:cs="Times New Roman"/>
                <w:kern w:val="24"/>
                <w:szCs w:val="21"/>
                <w:vertAlign w:val="subscript"/>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750" w:type="dxa"/>
            <w:vMerge w:val="continue"/>
            <w:tcBorders>
              <w:lef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p>
        </w:tc>
        <w:tc>
          <w:tcPr>
            <w:tcW w:w="1530" w:type="dxa"/>
            <w:vMerge w:val="continue"/>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p>
        </w:tc>
        <w:tc>
          <w:tcPr>
            <w:tcW w:w="3307"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烧结机机尾</w:t>
            </w:r>
          </w:p>
        </w:tc>
        <w:tc>
          <w:tcPr>
            <w:tcW w:w="755"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2</w:t>
            </w:r>
          </w:p>
        </w:tc>
        <w:tc>
          <w:tcPr>
            <w:tcW w:w="2729" w:type="dxa"/>
            <w:tcBorders>
              <w:righ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750" w:type="dxa"/>
            <w:tcBorders>
              <w:lef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2</w:t>
            </w:r>
          </w:p>
        </w:tc>
        <w:tc>
          <w:tcPr>
            <w:tcW w:w="1530"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焦化</w:t>
            </w:r>
          </w:p>
        </w:tc>
        <w:tc>
          <w:tcPr>
            <w:tcW w:w="3307"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焦炉烟囱</w:t>
            </w:r>
          </w:p>
        </w:tc>
        <w:tc>
          <w:tcPr>
            <w:tcW w:w="755"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1</w:t>
            </w:r>
          </w:p>
        </w:tc>
        <w:tc>
          <w:tcPr>
            <w:tcW w:w="2729" w:type="dxa"/>
            <w:tcBorders>
              <w:righ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颗粒物、SO</w:t>
            </w:r>
            <w:r>
              <w:rPr>
                <w:rFonts w:ascii="Times New Roman" w:hAnsi="Times New Roman" w:eastAsia="宋体" w:cs="Times New Roman"/>
                <w:kern w:val="24"/>
                <w:szCs w:val="21"/>
                <w:vertAlign w:val="subscript"/>
              </w:rPr>
              <w:t>2</w:t>
            </w:r>
            <w:r>
              <w:rPr>
                <w:rFonts w:ascii="Times New Roman" w:hAnsi="Times New Roman" w:eastAsia="宋体" w:cs="Times New Roman"/>
                <w:kern w:val="24"/>
                <w:szCs w:val="21"/>
              </w:rPr>
              <w:t>、NO</w:t>
            </w:r>
            <w:r>
              <w:rPr>
                <w:rFonts w:ascii="Times New Roman" w:hAnsi="Times New Roman" w:eastAsia="宋体" w:cs="Times New Roman"/>
                <w:kern w:val="24"/>
                <w:szCs w:val="21"/>
                <w:vertAlign w:val="subscript"/>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750" w:type="dxa"/>
            <w:vMerge w:val="restart"/>
            <w:tcBorders>
              <w:lef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3</w:t>
            </w:r>
          </w:p>
        </w:tc>
        <w:tc>
          <w:tcPr>
            <w:tcW w:w="1530" w:type="dxa"/>
            <w:vMerge w:val="restart"/>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炼铁</w:t>
            </w:r>
          </w:p>
        </w:tc>
        <w:tc>
          <w:tcPr>
            <w:tcW w:w="3307"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高炉矿槽除尘系统</w:t>
            </w:r>
          </w:p>
        </w:tc>
        <w:tc>
          <w:tcPr>
            <w:tcW w:w="755"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2</w:t>
            </w:r>
          </w:p>
        </w:tc>
        <w:tc>
          <w:tcPr>
            <w:tcW w:w="2729" w:type="dxa"/>
            <w:tcBorders>
              <w:righ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750" w:type="dxa"/>
            <w:vMerge w:val="continue"/>
            <w:tcBorders>
              <w:lef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p>
        </w:tc>
        <w:tc>
          <w:tcPr>
            <w:tcW w:w="1530" w:type="dxa"/>
            <w:vMerge w:val="continue"/>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p>
        </w:tc>
        <w:tc>
          <w:tcPr>
            <w:tcW w:w="3307"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高炉出铁场除尘系统</w:t>
            </w:r>
          </w:p>
        </w:tc>
        <w:tc>
          <w:tcPr>
            <w:tcW w:w="755"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2</w:t>
            </w:r>
          </w:p>
        </w:tc>
        <w:tc>
          <w:tcPr>
            <w:tcW w:w="2729" w:type="dxa"/>
            <w:tcBorders>
              <w:righ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750" w:type="dxa"/>
            <w:tcBorders>
              <w:lef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4</w:t>
            </w:r>
          </w:p>
        </w:tc>
        <w:tc>
          <w:tcPr>
            <w:tcW w:w="1530"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炼钢</w:t>
            </w:r>
          </w:p>
        </w:tc>
        <w:tc>
          <w:tcPr>
            <w:tcW w:w="3307"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转炉二次烟气除尘系统</w:t>
            </w:r>
          </w:p>
        </w:tc>
        <w:tc>
          <w:tcPr>
            <w:tcW w:w="755" w:type="dxa"/>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1</w:t>
            </w:r>
          </w:p>
        </w:tc>
        <w:tc>
          <w:tcPr>
            <w:tcW w:w="2729" w:type="dxa"/>
            <w:tcBorders>
              <w:righ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750" w:type="dxa"/>
            <w:tcBorders>
              <w:left w:val="nil"/>
              <w:bottom w:val="single" w:color="auto" w:sz="12" w:space="0"/>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5</w:t>
            </w:r>
          </w:p>
        </w:tc>
        <w:tc>
          <w:tcPr>
            <w:tcW w:w="1530" w:type="dxa"/>
            <w:tcBorders>
              <w:bottom w:val="single" w:color="auto" w:sz="12" w:space="0"/>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发电站</w:t>
            </w:r>
          </w:p>
        </w:tc>
        <w:tc>
          <w:tcPr>
            <w:tcW w:w="3307" w:type="dxa"/>
            <w:tcBorders>
              <w:bottom w:val="single" w:color="auto" w:sz="12" w:space="0"/>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130t/h锅炉</w:t>
            </w:r>
          </w:p>
        </w:tc>
        <w:tc>
          <w:tcPr>
            <w:tcW w:w="755" w:type="dxa"/>
            <w:tcBorders>
              <w:bottom w:val="single" w:color="auto" w:sz="12" w:space="0"/>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1</w:t>
            </w:r>
          </w:p>
        </w:tc>
        <w:tc>
          <w:tcPr>
            <w:tcW w:w="2729" w:type="dxa"/>
            <w:tcBorders>
              <w:bottom w:val="single" w:color="auto" w:sz="12" w:space="0"/>
              <w:right w:val="nil"/>
            </w:tcBorders>
            <w:vAlign w:val="center"/>
          </w:tcPr>
          <w:p>
            <w:pPr>
              <w:keepNext w:val="0"/>
              <w:keepLines w:val="0"/>
              <w:pageBreakBefore w:val="0"/>
              <w:kinsoku/>
              <w:wordWrap/>
              <w:overflowPunct w:val="0"/>
              <w:bidi w:val="0"/>
              <w:snapToGrid/>
              <w:jc w:val="center"/>
              <w:textAlignment w:val="baseline"/>
              <w:rPr>
                <w:rFonts w:ascii="Times New Roman" w:hAnsi="Times New Roman" w:eastAsia="宋体" w:cs="Times New Roman"/>
                <w:kern w:val="24"/>
                <w:szCs w:val="21"/>
              </w:rPr>
            </w:pPr>
            <w:r>
              <w:rPr>
                <w:rFonts w:ascii="Times New Roman" w:hAnsi="Times New Roman" w:eastAsia="宋体" w:cs="Times New Roman"/>
                <w:kern w:val="24"/>
                <w:szCs w:val="21"/>
              </w:rPr>
              <w:t>颗粒物、SO</w:t>
            </w:r>
            <w:r>
              <w:rPr>
                <w:rFonts w:ascii="Times New Roman" w:hAnsi="Times New Roman" w:eastAsia="宋体" w:cs="Times New Roman"/>
                <w:kern w:val="24"/>
                <w:szCs w:val="21"/>
                <w:vertAlign w:val="subscript"/>
              </w:rPr>
              <w:t>2</w:t>
            </w:r>
            <w:r>
              <w:rPr>
                <w:rFonts w:ascii="Times New Roman" w:hAnsi="Times New Roman" w:eastAsia="宋体" w:cs="Times New Roman"/>
                <w:kern w:val="24"/>
                <w:szCs w:val="21"/>
              </w:rPr>
              <w:t>、NO</w:t>
            </w:r>
            <w:r>
              <w:rPr>
                <w:rFonts w:ascii="Times New Roman" w:hAnsi="Times New Roman" w:eastAsia="宋体" w:cs="Times New Roman"/>
                <w:kern w:val="24"/>
                <w:szCs w:val="21"/>
                <w:vertAlign w:val="subscript"/>
              </w:rPr>
              <w:t>x</w:t>
            </w:r>
          </w:p>
        </w:tc>
      </w:tr>
    </w:tbl>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2.3.2.4人工监测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芜湖新兴铸管现有厂区污染源人工监测主要委托安徽基越环境监测公司进行监测。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（1）废气污染源监测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厂区现有项目的废气污染源监测项目、测点位置见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_Ref485026947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表2.3-2</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，无组织监测计划见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_Ref485027299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表2</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.3-3。</w:t>
      </w:r>
    </w:p>
    <w:p>
      <w:pPr>
        <w:pStyle w:val="2"/>
      </w:pPr>
    </w:p>
    <w:p>
      <w:pPr>
        <w:pStyle w:val="31"/>
        <w:keepNext w:val="0"/>
        <w:keepLines w:val="0"/>
        <w:pageBreakBefore w:val="0"/>
        <w:kinsoku/>
        <w:wordWrap/>
        <w:bidi w:val="0"/>
        <w:snapToGrid/>
        <w:spacing w:line="360" w:lineRule="auto"/>
        <w:rPr>
          <w:rFonts w:cs="Times New Roman"/>
        </w:rPr>
      </w:pPr>
      <w:r>
        <w:rPr>
          <w:rFonts w:cs="Times New Roman"/>
        </w:rPr>
        <w:t>表2.3-2  芜湖新兴铸管现有厂区有组织废气污染源监测计划一览表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4"/>
        <w:gridCol w:w="1246"/>
        <w:gridCol w:w="3541"/>
        <w:gridCol w:w="2245"/>
        <w:gridCol w:w="10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jc w:val="center"/>
        </w:trPr>
        <w:tc>
          <w:tcPr>
            <w:tcW w:w="994"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序号</w:t>
            </w:r>
          </w:p>
        </w:tc>
        <w:tc>
          <w:tcPr>
            <w:tcW w:w="1246"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工序</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b/>
                <w:bCs/>
                <w:szCs w:val="21"/>
              </w:rPr>
              <w:t>监测点位</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b/>
                <w:bCs/>
                <w:szCs w:val="21"/>
              </w:rPr>
              <w:t>监测因子</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b/>
                <w:bCs/>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w:t>
            </w:r>
          </w:p>
        </w:tc>
        <w:tc>
          <w:tcPr>
            <w:tcW w:w="124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石灰</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1#、2#石灰回转窑窑尾</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w:t>
            </w:r>
          </w:p>
        </w:tc>
        <w:tc>
          <w:tcPr>
            <w:tcW w:w="1246"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烧结</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1#、2#烧结机机头</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bCs/>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bCs/>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bCs/>
                <w:szCs w:val="21"/>
              </w:rPr>
              <w:t>1#、2#烧结机脱硫入口</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每月1次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bCs/>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bCs/>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bCs/>
                <w:szCs w:val="21"/>
              </w:rPr>
              <w:t>1#、2#烧结机脱硫出口</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每月1次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1#、2#烧结机机尾</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每月1次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烧结配料及转运系统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烧结燃料系统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w:t>
            </w:r>
          </w:p>
        </w:tc>
        <w:tc>
          <w:tcPr>
            <w:tcW w:w="1246"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焦化</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装煤除尘地面站</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、BaP</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出焦除尘地面站</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干熄焦除尘系统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焦炉逸散烟气</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r>
              <w:rPr>
                <w:szCs w:val="21"/>
              </w:rPr>
              <w:t>、BaP</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焦炉烟囱</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筛焦楼除尘</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4</w:t>
            </w:r>
          </w:p>
        </w:tc>
        <w:tc>
          <w:tcPr>
            <w:tcW w:w="1246"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炼铁</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1#高炉矿槽除尘系统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1#高炉出铁场除尘系统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2#高炉矿槽除尘系统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2#高炉出铁场除尘系统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5</w:t>
            </w:r>
          </w:p>
        </w:tc>
        <w:tc>
          <w:tcPr>
            <w:tcW w:w="1246"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铸管</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球墨铸管混铁炉、工频炉</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喂丝球化除尘系统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热膜离心浇铸除尘系统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热膜退火炉</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半年1次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水冷退火炉1</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半年1次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水冷退火炉2</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半年1次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热膜喷锌除尘系统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中大线喷锌除尘系统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小线喷锌除尘系统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热模三磨除尘系统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水冷离心机除尘系统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热模工频电炉除尘系统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制芯烘砂除尘系统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管模工段除尘装置1</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管模工段除尘装置2</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三乙胺尾气净化(水冷)</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三乙胺</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三乙胺尾气净化(热模)</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三乙胺</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6</w:t>
            </w:r>
          </w:p>
        </w:tc>
        <w:tc>
          <w:tcPr>
            <w:tcW w:w="1246"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炼钢</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1#、2#转炉二次烟气除尘系统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 xml:space="preserve">转炉屋顶三次除尘系统 </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LF精炼除尘系统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7</w:t>
            </w:r>
          </w:p>
        </w:tc>
        <w:tc>
          <w:tcPr>
            <w:tcW w:w="1246"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轧钢</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小棒加热炉</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半年1次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大棒加热炉</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半年1次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中棒加热炉</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半年1次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高线加热炉</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半年1次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精品高线加热炉</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半年1次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8</w:t>
            </w:r>
          </w:p>
        </w:tc>
        <w:tc>
          <w:tcPr>
            <w:tcW w:w="1246"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发电</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130t/h锅炉</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4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35t/h锅炉</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99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9</w:t>
            </w:r>
          </w:p>
        </w:tc>
        <w:tc>
          <w:tcPr>
            <w:tcW w:w="124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矿渣微粉</w:t>
            </w:r>
          </w:p>
        </w:tc>
        <w:tc>
          <w:tcPr>
            <w:tcW w:w="35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矿渣微粉生产线除尘系统</w:t>
            </w:r>
          </w:p>
        </w:tc>
        <w:tc>
          <w:tcPr>
            <w:tcW w:w="22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w:t>
            </w:r>
            <w:r>
              <w:rPr>
                <w:szCs w:val="21"/>
                <w:vertAlign w:val="subscript"/>
              </w:rPr>
              <w:t>x</w:t>
            </w:r>
          </w:p>
        </w:tc>
        <w:tc>
          <w:tcPr>
            <w:tcW w:w="104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每季1次</w:t>
            </w:r>
          </w:p>
        </w:tc>
      </w:tr>
    </w:tbl>
    <w:p>
      <w:pPr>
        <w:pStyle w:val="31"/>
        <w:keepNext w:val="0"/>
        <w:keepLines w:val="0"/>
        <w:pageBreakBefore w:val="0"/>
        <w:kinsoku/>
        <w:wordWrap/>
        <w:bidi w:val="0"/>
        <w:snapToGrid/>
        <w:spacing w:line="360" w:lineRule="auto"/>
        <w:rPr>
          <w:rFonts w:cs="Times New Roman"/>
        </w:rPr>
      </w:pPr>
      <w:r>
        <w:rPr>
          <w:rFonts w:cs="Times New Roman"/>
        </w:rPr>
        <w:t>表2.3-3  芜湖新兴铸管现有厂区厂界无组织监测计划一览表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2536"/>
        <w:gridCol w:w="3010"/>
        <w:gridCol w:w="24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033"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序号</w:t>
            </w:r>
          </w:p>
        </w:tc>
        <w:tc>
          <w:tcPr>
            <w:tcW w:w="2536"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监测位置</w:t>
            </w:r>
          </w:p>
        </w:tc>
        <w:tc>
          <w:tcPr>
            <w:tcW w:w="3010"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监测项目</w:t>
            </w:r>
          </w:p>
        </w:tc>
        <w:tc>
          <w:tcPr>
            <w:tcW w:w="249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33"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w:t>
            </w:r>
          </w:p>
        </w:tc>
        <w:tc>
          <w:tcPr>
            <w:tcW w:w="253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厂界北</w:t>
            </w:r>
          </w:p>
        </w:tc>
        <w:tc>
          <w:tcPr>
            <w:tcW w:w="3010"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颗粒物、SO</w:t>
            </w:r>
            <w:r>
              <w:rPr>
                <w:szCs w:val="21"/>
                <w:vertAlign w:val="subscript"/>
              </w:rPr>
              <w:t>2</w:t>
            </w:r>
            <w:r>
              <w:rPr>
                <w:szCs w:val="21"/>
              </w:rPr>
              <w:t>、NOx</w:t>
            </w:r>
          </w:p>
        </w:tc>
        <w:tc>
          <w:tcPr>
            <w:tcW w:w="2492"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每季1次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33"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w:t>
            </w:r>
          </w:p>
        </w:tc>
        <w:tc>
          <w:tcPr>
            <w:tcW w:w="253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厂界南</w:t>
            </w:r>
          </w:p>
        </w:tc>
        <w:tc>
          <w:tcPr>
            <w:tcW w:w="3010"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2492"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33"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w:t>
            </w:r>
          </w:p>
        </w:tc>
        <w:tc>
          <w:tcPr>
            <w:tcW w:w="253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厂界西</w:t>
            </w:r>
          </w:p>
        </w:tc>
        <w:tc>
          <w:tcPr>
            <w:tcW w:w="3010"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2492"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33"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4</w:t>
            </w:r>
          </w:p>
        </w:tc>
        <w:tc>
          <w:tcPr>
            <w:tcW w:w="253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厂界东</w:t>
            </w:r>
          </w:p>
        </w:tc>
        <w:tc>
          <w:tcPr>
            <w:tcW w:w="3010"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2492"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（2）废水污染源监测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废水污染源监测项目、测点位置见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_Ref436592527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表2</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.3-4。</w:t>
      </w:r>
    </w:p>
    <w:p>
      <w:pPr>
        <w:pStyle w:val="31"/>
        <w:keepNext w:val="0"/>
        <w:keepLines w:val="0"/>
        <w:pageBreakBefore w:val="0"/>
        <w:kinsoku/>
        <w:wordWrap/>
        <w:bidi w:val="0"/>
        <w:snapToGrid/>
        <w:spacing w:line="360" w:lineRule="auto"/>
        <w:rPr>
          <w:rFonts w:cs="Times New Roman"/>
        </w:rPr>
      </w:pPr>
      <w:bookmarkStart w:id="4" w:name="_Ref436592527"/>
      <w:r>
        <w:rPr>
          <w:rFonts w:cs="Times New Roman"/>
        </w:rPr>
        <w:t>表</w:t>
      </w:r>
      <w:bookmarkEnd w:id="4"/>
      <w:r>
        <w:rPr>
          <w:rFonts w:cs="Times New Roman"/>
        </w:rPr>
        <w:t>2.3-4  芜湖新兴铸管现有厂区废水污染源监测计划一览表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1"/>
        <w:gridCol w:w="2801"/>
        <w:gridCol w:w="4202"/>
        <w:gridCol w:w="11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951"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序号</w:t>
            </w:r>
          </w:p>
        </w:tc>
        <w:tc>
          <w:tcPr>
            <w:tcW w:w="2801"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测点位置</w:t>
            </w:r>
          </w:p>
        </w:tc>
        <w:tc>
          <w:tcPr>
            <w:tcW w:w="4202"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测定项目</w:t>
            </w:r>
          </w:p>
        </w:tc>
        <w:tc>
          <w:tcPr>
            <w:tcW w:w="1117" w:type="dxa"/>
            <w:tcBorders>
              <w:tl2br w:val="nil"/>
              <w:tr2bl w:val="nil"/>
            </w:tcBorders>
            <w:vAlign w:val="center"/>
          </w:tcPr>
          <w:p>
            <w:pPr>
              <w:pStyle w:val="41"/>
              <w:keepNext w:val="0"/>
              <w:keepLines w:val="0"/>
              <w:pageBreakBefore w:val="0"/>
              <w:kinsoku/>
              <w:wordWrap/>
              <w:bidi w:val="0"/>
              <w:snapToGrid/>
              <w:spacing w:line="240" w:lineRule="auto"/>
            </w:pPr>
            <w: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951"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2801" w:type="dxa"/>
            <w:tcBorders>
              <w:tl2br w:val="nil"/>
              <w:tr2bl w:val="nil"/>
            </w:tcBorders>
            <w:vAlign w:val="center"/>
          </w:tcPr>
          <w:p>
            <w:pPr>
              <w:pStyle w:val="41"/>
              <w:keepNext w:val="0"/>
              <w:keepLines w:val="0"/>
              <w:pageBreakBefore w:val="0"/>
              <w:kinsoku/>
              <w:wordWrap/>
              <w:bidi w:val="0"/>
              <w:snapToGrid/>
              <w:spacing w:line="240" w:lineRule="auto"/>
            </w:pPr>
            <w:r>
              <w:t>全厂综合污水处理站出水口</w:t>
            </w:r>
          </w:p>
        </w:tc>
        <w:tc>
          <w:tcPr>
            <w:tcW w:w="4202" w:type="dxa"/>
            <w:tcBorders>
              <w:tl2br w:val="nil"/>
              <w:tr2bl w:val="nil"/>
            </w:tcBorders>
            <w:vAlign w:val="center"/>
          </w:tcPr>
          <w:p>
            <w:pPr>
              <w:pStyle w:val="41"/>
              <w:keepNext w:val="0"/>
              <w:keepLines w:val="0"/>
              <w:pageBreakBefore w:val="0"/>
              <w:kinsoku/>
              <w:wordWrap/>
              <w:bidi w:val="0"/>
              <w:snapToGrid/>
              <w:spacing w:line="240" w:lineRule="auto"/>
            </w:pPr>
            <w:r>
              <w:t>pH、SS、COD、氨氮、石油类</w:t>
            </w:r>
          </w:p>
        </w:tc>
        <w:tc>
          <w:tcPr>
            <w:tcW w:w="1117" w:type="dxa"/>
            <w:vMerge w:val="restart"/>
            <w:tcBorders>
              <w:tl2br w:val="nil"/>
              <w:tr2bl w:val="nil"/>
            </w:tcBorders>
            <w:vAlign w:val="center"/>
          </w:tcPr>
          <w:p>
            <w:pPr>
              <w:pStyle w:val="41"/>
              <w:keepNext w:val="0"/>
              <w:keepLines w:val="0"/>
              <w:pageBreakBefore w:val="0"/>
              <w:kinsoku/>
              <w:wordWrap/>
              <w:bidi w:val="0"/>
              <w:snapToGrid/>
              <w:spacing w:line="240" w:lineRule="auto"/>
            </w:pPr>
            <w:r>
              <w:t>每月1次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951" w:type="dxa"/>
            <w:tcBorders>
              <w:tl2br w:val="nil"/>
              <w:tr2bl w:val="nil"/>
            </w:tcBorders>
            <w:vAlign w:val="center"/>
          </w:tcPr>
          <w:p>
            <w:pPr>
              <w:pStyle w:val="41"/>
              <w:keepNext w:val="0"/>
              <w:keepLines w:val="0"/>
              <w:pageBreakBefore w:val="0"/>
              <w:kinsoku/>
              <w:wordWrap/>
              <w:bidi w:val="0"/>
              <w:snapToGrid/>
              <w:spacing w:line="240" w:lineRule="auto"/>
            </w:pPr>
            <w:r>
              <w:t>2</w:t>
            </w:r>
          </w:p>
        </w:tc>
        <w:tc>
          <w:tcPr>
            <w:tcW w:w="2801" w:type="dxa"/>
            <w:tcBorders>
              <w:tl2br w:val="nil"/>
              <w:tr2bl w:val="nil"/>
            </w:tcBorders>
            <w:vAlign w:val="center"/>
          </w:tcPr>
          <w:p>
            <w:pPr>
              <w:pStyle w:val="41"/>
              <w:keepNext w:val="0"/>
              <w:keepLines w:val="0"/>
              <w:pageBreakBefore w:val="0"/>
              <w:kinsoku/>
              <w:wordWrap/>
              <w:bidi w:val="0"/>
              <w:snapToGrid/>
              <w:spacing w:line="240" w:lineRule="auto"/>
            </w:pPr>
            <w:r>
              <w:t>焦化酚氰废水出水口</w:t>
            </w:r>
          </w:p>
        </w:tc>
        <w:tc>
          <w:tcPr>
            <w:tcW w:w="4202" w:type="dxa"/>
            <w:tcBorders>
              <w:tl2br w:val="nil"/>
              <w:tr2bl w:val="nil"/>
            </w:tcBorders>
            <w:vAlign w:val="center"/>
          </w:tcPr>
          <w:p>
            <w:pPr>
              <w:pStyle w:val="41"/>
              <w:keepNext w:val="0"/>
              <w:keepLines w:val="0"/>
              <w:pageBreakBefore w:val="0"/>
              <w:kinsoku/>
              <w:wordWrap/>
              <w:bidi w:val="0"/>
              <w:snapToGrid/>
              <w:spacing w:line="240" w:lineRule="auto"/>
            </w:pPr>
            <w:r>
              <w:t>pH、SS、COD、氨氮、石油类、挥发酚</w:t>
            </w:r>
          </w:p>
        </w:tc>
        <w:tc>
          <w:tcPr>
            <w:tcW w:w="1117"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（3）噪声监测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厂界噪声监测项目及测点位置见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_Ref436592549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表2.3-5</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w:t>
      </w:r>
    </w:p>
    <w:p>
      <w:pPr>
        <w:pStyle w:val="31"/>
        <w:keepNext w:val="0"/>
        <w:keepLines w:val="0"/>
        <w:pageBreakBefore w:val="0"/>
        <w:kinsoku/>
        <w:wordWrap/>
        <w:bidi w:val="0"/>
        <w:snapToGrid/>
        <w:spacing w:line="360" w:lineRule="auto"/>
        <w:rPr>
          <w:rFonts w:cs="Times New Roman"/>
        </w:rPr>
      </w:pPr>
      <w:bookmarkStart w:id="5" w:name="_Ref436592549"/>
      <w:r>
        <w:rPr>
          <w:rFonts w:cs="Times New Roman"/>
        </w:rPr>
        <w:t>表</w:t>
      </w:r>
      <w:bookmarkEnd w:id="5"/>
      <w:r>
        <w:rPr>
          <w:rFonts w:cs="Times New Roman"/>
        </w:rPr>
        <w:t>2.3-5  芜湖新兴铸管现有厂区噪声监测计划一览表</w:t>
      </w:r>
    </w:p>
    <w:tbl>
      <w:tblPr>
        <w:tblStyle w:val="21"/>
        <w:tblW w:w="907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50"/>
        <w:gridCol w:w="1415"/>
        <w:gridCol w:w="2006"/>
        <w:gridCol w:w="2212"/>
        <w:gridCol w:w="258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blHeader/>
          <w:jc w:val="center"/>
        </w:trPr>
        <w:tc>
          <w:tcPr>
            <w:tcW w:w="850"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序号</w:t>
            </w:r>
          </w:p>
        </w:tc>
        <w:tc>
          <w:tcPr>
            <w:tcW w:w="1415"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监测位置</w:t>
            </w:r>
          </w:p>
        </w:tc>
        <w:tc>
          <w:tcPr>
            <w:tcW w:w="2006"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数量</w:t>
            </w:r>
          </w:p>
        </w:tc>
        <w:tc>
          <w:tcPr>
            <w:tcW w:w="221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监测项目</w:t>
            </w:r>
          </w:p>
        </w:tc>
        <w:tc>
          <w:tcPr>
            <w:tcW w:w="2588"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监测频次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8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w:t>
            </w:r>
          </w:p>
        </w:tc>
        <w:tc>
          <w:tcPr>
            <w:tcW w:w="141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厂界四周</w:t>
            </w:r>
          </w:p>
        </w:tc>
        <w:tc>
          <w:tcPr>
            <w:tcW w:w="200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约1km设置1个点</w:t>
            </w:r>
          </w:p>
        </w:tc>
        <w:tc>
          <w:tcPr>
            <w:tcW w:w="221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等效连续A声级</w:t>
            </w:r>
          </w:p>
        </w:tc>
        <w:tc>
          <w:tcPr>
            <w:tcW w:w="2588"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每季度1次</w:t>
            </w:r>
          </w:p>
          <w:p>
            <w:pPr>
              <w:pStyle w:val="41"/>
              <w:keepNext w:val="0"/>
              <w:keepLines w:val="0"/>
              <w:pageBreakBefore w:val="0"/>
              <w:kinsoku/>
              <w:wordWrap/>
              <w:bidi w:val="0"/>
              <w:snapToGrid/>
              <w:spacing w:line="240" w:lineRule="auto"/>
              <w:rPr>
                <w:szCs w:val="21"/>
              </w:rPr>
            </w:pPr>
            <w:r>
              <w:rPr>
                <w:szCs w:val="21"/>
              </w:rPr>
              <w:t>每次分昼、夜间测定</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目前，安徽基越环境监测公司已对芜湖新兴铸管现有厂区进行</w:t>
      </w:r>
      <w:r>
        <w:rPr>
          <w:rFonts w:hint="eastAsia" w:ascii="Times New Roman" w:hAnsi="Times New Roman" w:eastAsia="宋体" w:cs="Times New Roman"/>
          <w:bCs/>
          <w:sz w:val="24"/>
          <w:szCs w:val="24"/>
          <w:lang w:eastAsia="zh-CN"/>
        </w:rPr>
        <w:t>了</w:t>
      </w:r>
      <w:r>
        <w:rPr>
          <w:rFonts w:ascii="Times New Roman" w:hAnsi="Times New Roman" w:eastAsia="宋体" w:cs="Times New Roman"/>
          <w:bCs/>
          <w:sz w:val="24"/>
          <w:szCs w:val="24"/>
        </w:rPr>
        <w:t>2017年度和2018年度废气污染源、废水污染源和厂界噪声进行监测。</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2.3.2.5监测设置配置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人工监测设备置于环境监测试验室内，监测设备包括无机监（检）测设备、有机监（检）测设备、生物监测设备、基础设施及辅助设备和现场监（检）测设备。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厂区现状配备的主要环保监（检）测设备见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_Ref462153099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表2</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.3-6。</w:t>
      </w:r>
    </w:p>
    <w:p>
      <w:pPr>
        <w:pStyle w:val="2"/>
      </w:pPr>
    </w:p>
    <w:p>
      <w:pPr>
        <w:pStyle w:val="31"/>
        <w:keepNext w:val="0"/>
        <w:keepLines w:val="0"/>
        <w:pageBreakBefore w:val="0"/>
        <w:kinsoku/>
        <w:wordWrap/>
        <w:bidi w:val="0"/>
        <w:snapToGrid/>
        <w:spacing w:line="360" w:lineRule="auto"/>
        <w:rPr>
          <w:rFonts w:cs="Times New Roman"/>
        </w:rPr>
      </w:pPr>
      <w:bookmarkStart w:id="6" w:name="_Ref462153099"/>
      <w:r>
        <w:rPr>
          <w:rFonts w:cs="Times New Roman"/>
        </w:rPr>
        <w:t>表</w:t>
      </w:r>
      <w:bookmarkEnd w:id="6"/>
      <w:r>
        <w:rPr>
          <w:rFonts w:cs="Times New Roman"/>
        </w:rPr>
        <w:t>2.3-6  环保监（检）测设备一览表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84"/>
        <w:gridCol w:w="3202"/>
        <w:gridCol w:w="20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blHeader/>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名称</w:t>
            </w:r>
          </w:p>
        </w:tc>
        <w:tc>
          <w:tcPr>
            <w:tcW w:w="3202"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型号</w:t>
            </w:r>
          </w:p>
        </w:tc>
        <w:tc>
          <w:tcPr>
            <w:tcW w:w="208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283" w:hRule="atLeast"/>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pPr>
            <w:r>
              <w:t>烟尘（气）检测仪</w:t>
            </w:r>
          </w:p>
        </w:tc>
        <w:tc>
          <w:tcPr>
            <w:tcW w:w="3202" w:type="dxa"/>
            <w:tcBorders>
              <w:tl2br w:val="nil"/>
              <w:tr2bl w:val="nil"/>
            </w:tcBorders>
            <w:vAlign w:val="center"/>
          </w:tcPr>
          <w:p>
            <w:pPr>
              <w:pStyle w:val="41"/>
              <w:keepNext w:val="0"/>
              <w:keepLines w:val="0"/>
              <w:pageBreakBefore w:val="0"/>
              <w:kinsoku/>
              <w:wordWrap/>
              <w:bidi w:val="0"/>
              <w:snapToGrid/>
              <w:spacing w:line="240" w:lineRule="auto"/>
            </w:pPr>
            <w:r>
              <w:t>3012H新08代</w:t>
            </w:r>
          </w:p>
        </w:tc>
        <w:tc>
          <w:tcPr>
            <w:tcW w:w="2085" w:type="dxa"/>
            <w:tcBorders>
              <w:tl2br w:val="nil"/>
              <w:tr2bl w:val="nil"/>
            </w:tcBorders>
            <w:vAlign w:val="center"/>
          </w:tcPr>
          <w:p>
            <w:pPr>
              <w:pStyle w:val="41"/>
              <w:keepNext w:val="0"/>
              <w:keepLines w:val="0"/>
              <w:pageBreakBefore w:val="0"/>
              <w:kinsoku/>
              <w:wordWrap/>
              <w:bidi w:val="0"/>
              <w:snapToGrid/>
              <w:spacing w:line="240" w:lineRule="auto"/>
            </w:pPr>
            <w: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pPr>
            <w:r>
              <w:t>烟气检测仪</w:t>
            </w:r>
          </w:p>
        </w:tc>
        <w:tc>
          <w:tcPr>
            <w:tcW w:w="3202" w:type="dxa"/>
            <w:tcBorders>
              <w:tl2br w:val="nil"/>
              <w:tr2bl w:val="nil"/>
            </w:tcBorders>
            <w:vAlign w:val="center"/>
          </w:tcPr>
          <w:p>
            <w:pPr>
              <w:pStyle w:val="41"/>
              <w:keepNext w:val="0"/>
              <w:keepLines w:val="0"/>
              <w:pageBreakBefore w:val="0"/>
              <w:kinsoku/>
              <w:wordWrap/>
              <w:bidi w:val="0"/>
              <w:snapToGrid/>
              <w:spacing w:line="240" w:lineRule="auto"/>
            </w:pPr>
            <w:r>
              <w:t>TH990F</w:t>
            </w:r>
          </w:p>
        </w:tc>
        <w:tc>
          <w:tcPr>
            <w:tcW w:w="2085" w:type="dxa"/>
            <w:tcBorders>
              <w:tl2br w:val="nil"/>
              <w:tr2bl w:val="nil"/>
            </w:tcBorders>
            <w:vAlign w:val="center"/>
          </w:tcPr>
          <w:p>
            <w:pPr>
              <w:pStyle w:val="41"/>
              <w:keepNext w:val="0"/>
              <w:keepLines w:val="0"/>
              <w:pageBreakBefore w:val="0"/>
              <w:kinsoku/>
              <w:wordWrap/>
              <w:bidi w:val="0"/>
              <w:snapToGrid/>
              <w:spacing w:line="240" w:lineRule="auto"/>
            </w:pPr>
            <w: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pPr>
            <w:r>
              <w:t>COD快速测定仪</w:t>
            </w:r>
          </w:p>
        </w:tc>
        <w:tc>
          <w:tcPr>
            <w:tcW w:w="3202" w:type="dxa"/>
            <w:tcBorders>
              <w:tl2br w:val="nil"/>
              <w:tr2bl w:val="nil"/>
            </w:tcBorders>
            <w:vAlign w:val="center"/>
          </w:tcPr>
          <w:p>
            <w:pPr>
              <w:pStyle w:val="41"/>
              <w:keepNext w:val="0"/>
              <w:keepLines w:val="0"/>
              <w:pageBreakBefore w:val="0"/>
              <w:kinsoku/>
              <w:wordWrap/>
              <w:bidi w:val="0"/>
              <w:snapToGrid/>
              <w:spacing w:line="240" w:lineRule="auto"/>
            </w:pPr>
            <w:r>
              <w:t>5B-1型</w:t>
            </w:r>
          </w:p>
        </w:tc>
        <w:tc>
          <w:tcPr>
            <w:tcW w:w="2085" w:type="dxa"/>
            <w:tcBorders>
              <w:tl2br w:val="nil"/>
              <w:tr2bl w:val="nil"/>
            </w:tcBorders>
            <w:vAlign w:val="center"/>
          </w:tcPr>
          <w:p>
            <w:pPr>
              <w:pStyle w:val="41"/>
              <w:keepNext w:val="0"/>
              <w:keepLines w:val="0"/>
              <w:pageBreakBefore w:val="0"/>
              <w:kinsoku/>
              <w:wordWrap/>
              <w:bidi w:val="0"/>
              <w:snapToGrid/>
              <w:spacing w:line="240" w:lineRule="auto"/>
            </w:pPr>
            <w: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pPr>
            <w:r>
              <w:t>COD快速测定仪</w:t>
            </w:r>
          </w:p>
        </w:tc>
        <w:tc>
          <w:tcPr>
            <w:tcW w:w="3202" w:type="dxa"/>
            <w:tcBorders>
              <w:tl2br w:val="nil"/>
              <w:tr2bl w:val="nil"/>
            </w:tcBorders>
            <w:vAlign w:val="center"/>
          </w:tcPr>
          <w:p>
            <w:pPr>
              <w:pStyle w:val="41"/>
              <w:keepNext w:val="0"/>
              <w:keepLines w:val="0"/>
              <w:pageBreakBefore w:val="0"/>
              <w:kinsoku/>
              <w:wordWrap/>
              <w:bidi w:val="0"/>
              <w:snapToGrid/>
              <w:spacing w:line="240" w:lineRule="auto"/>
            </w:pPr>
            <w:r>
              <w:t>5B-3型</w:t>
            </w:r>
          </w:p>
        </w:tc>
        <w:tc>
          <w:tcPr>
            <w:tcW w:w="2085" w:type="dxa"/>
            <w:tcBorders>
              <w:tl2br w:val="nil"/>
              <w:tr2bl w:val="nil"/>
            </w:tcBorders>
            <w:vAlign w:val="center"/>
          </w:tcPr>
          <w:p>
            <w:pPr>
              <w:pStyle w:val="41"/>
              <w:keepNext w:val="0"/>
              <w:keepLines w:val="0"/>
              <w:pageBreakBefore w:val="0"/>
              <w:kinsoku/>
              <w:wordWrap/>
              <w:bidi w:val="0"/>
              <w:snapToGrid/>
              <w:spacing w:line="240" w:lineRule="auto"/>
            </w:pPr>
            <w: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pPr>
            <w:r>
              <w:t>分光光度计</w:t>
            </w:r>
          </w:p>
        </w:tc>
        <w:tc>
          <w:tcPr>
            <w:tcW w:w="3202" w:type="dxa"/>
            <w:tcBorders>
              <w:tl2br w:val="nil"/>
              <w:tr2bl w:val="nil"/>
            </w:tcBorders>
            <w:vAlign w:val="center"/>
          </w:tcPr>
          <w:p>
            <w:pPr>
              <w:pStyle w:val="41"/>
              <w:keepNext w:val="0"/>
              <w:keepLines w:val="0"/>
              <w:pageBreakBefore w:val="0"/>
              <w:kinsoku/>
              <w:wordWrap/>
              <w:bidi w:val="0"/>
              <w:snapToGrid/>
              <w:spacing w:line="240" w:lineRule="auto"/>
            </w:pPr>
            <w:r>
              <w:t>722N型</w:t>
            </w:r>
          </w:p>
        </w:tc>
        <w:tc>
          <w:tcPr>
            <w:tcW w:w="2085" w:type="dxa"/>
            <w:tcBorders>
              <w:tl2br w:val="nil"/>
              <w:tr2bl w:val="nil"/>
            </w:tcBorders>
            <w:vAlign w:val="center"/>
          </w:tcPr>
          <w:p>
            <w:pPr>
              <w:pStyle w:val="41"/>
              <w:keepNext w:val="0"/>
              <w:keepLines w:val="0"/>
              <w:pageBreakBefore w:val="0"/>
              <w:kinsoku/>
              <w:wordWrap/>
              <w:bidi w:val="0"/>
              <w:snapToGrid/>
              <w:spacing w:line="240" w:lineRule="auto"/>
            </w:pPr>
            <w: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pPr>
            <w:r>
              <w:t>电导率仪</w:t>
            </w:r>
          </w:p>
        </w:tc>
        <w:tc>
          <w:tcPr>
            <w:tcW w:w="3202" w:type="dxa"/>
            <w:tcBorders>
              <w:tl2br w:val="nil"/>
              <w:tr2bl w:val="nil"/>
            </w:tcBorders>
            <w:vAlign w:val="center"/>
          </w:tcPr>
          <w:p>
            <w:pPr>
              <w:pStyle w:val="41"/>
              <w:keepNext w:val="0"/>
              <w:keepLines w:val="0"/>
              <w:pageBreakBefore w:val="0"/>
              <w:kinsoku/>
              <w:wordWrap/>
              <w:bidi w:val="0"/>
              <w:snapToGrid/>
              <w:spacing w:line="240" w:lineRule="auto"/>
            </w:pPr>
            <w:r>
              <w:t>FE38-5</w:t>
            </w:r>
          </w:p>
        </w:tc>
        <w:tc>
          <w:tcPr>
            <w:tcW w:w="2085" w:type="dxa"/>
            <w:tcBorders>
              <w:tl2br w:val="nil"/>
              <w:tr2bl w:val="nil"/>
            </w:tcBorders>
            <w:vAlign w:val="center"/>
          </w:tcPr>
          <w:p>
            <w:pPr>
              <w:pStyle w:val="41"/>
              <w:keepNext w:val="0"/>
              <w:keepLines w:val="0"/>
              <w:pageBreakBefore w:val="0"/>
              <w:kinsoku/>
              <w:wordWrap/>
              <w:bidi w:val="0"/>
              <w:snapToGrid/>
              <w:spacing w:line="240" w:lineRule="auto"/>
            </w:pPr>
            <w: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pPr>
            <w:r>
              <w:t>酸度计</w:t>
            </w:r>
          </w:p>
        </w:tc>
        <w:tc>
          <w:tcPr>
            <w:tcW w:w="3202" w:type="dxa"/>
            <w:tcBorders>
              <w:tl2br w:val="nil"/>
              <w:tr2bl w:val="nil"/>
            </w:tcBorders>
            <w:vAlign w:val="center"/>
          </w:tcPr>
          <w:p>
            <w:pPr>
              <w:pStyle w:val="41"/>
              <w:keepNext w:val="0"/>
              <w:keepLines w:val="0"/>
              <w:pageBreakBefore w:val="0"/>
              <w:kinsoku/>
              <w:wordWrap/>
              <w:bidi w:val="0"/>
              <w:snapToGrid/>
              <w:spacing w:line="240" w:lineRule="auto"/>
            </w:pPr>
            <w:r>
              <w:t>F2</w:t>
            </w:r>
          </w:p>
        </w:tc>
        <w:tc>
          <w:tcPr>
            <w:tcW w:w="2085" w:type="dxa"/>
            <w:tcBorders>
              <w:tl2br w:val="nil"/>
              <w:tr2bl w:val="nil"/>
            </w:tcBorders>
            <w:vAlign w:val="center"/>
          </w:tcPr>
          <w:p>
            <w:pPr>
              <w:pStyle w:val="41"/>
              <w:keepNext w:val="0"/>
              <w:keepLines w:val="0"/>
              <w:pageBreakBefore w:val="0"/>
              <w:kinsoku/>
              <w:wordWrap/>
              <w:bidi w:val="0"/>
              <w:snapToGrid/>
              <w:spacing w:line="240" w:lineRule="auto"/>
            </w:pPr>
            <w: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pPr>
            <w:r>
              <w:t>浊度计</w:t>
            </w:r>
          </w:p>
        </w:tc>
        <w:tc>
          <w:tcPr>
            <w:tcW w:w="3202" w:type="dxa"/>
            <w:tcBorders>
              <w:tl2br w:val="nil"/>
              <w:tr2bl w:val="nil"/>
            </w:tcBorders>
            <w:vAlign w:val="center"/>
          </w:tcPr>
          <w:p>
            <w:pPr>
              <w:pStyle w:val="41"/>
              <w:keepNext w:val="0"/>
              <w:keepLines w:val="0"/>
              <w:pageBreakBefore w:val="0"/>
              <w:kinsoku/>
              <w:wordWrap/>
              <w:bidi w:val="0"/>
              <w:snapToGrid/>
              <w:spacing w:line="240" w:lineRule="auto"/>
            </w:pPr>
            <w:r>
              <w:t>WZS-186</w:t>
            </w:r>
          </w:p>
        </w:tc>
        <w:tc>
          <w:tcPr>
            <w:tcW w:w="2085" w:type="dxa"/>
            <w:tcBorders>
              <w:tl2br w:val="nil"/>
              <w:tr2bl w:val="nil"/>
            </w:tcBorders>
            <w:vAlign w:val="center"/>
          </w:tcPr>
          <w:p>
            <w:pPr>
              <w:pStyle w:val="41"/>
              <w:keepNext w:val="0"/>
              <w:keepLines w:val="0"/>
              <w:pageBreakBefore w:val="0"/>
              <w:kinsoku/>
              <w:wordWrap/>
              <w:bidi w:val="0"/>
              <w:snapToGrid/>
              <w:spacing w:line="240" w:lineRule="auto"/>
            </w:pPr>
            <w: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3784" w:type="dxa"/>
            <w:tcBorders>
              <w:tl2br w:val="nil"/>
              <w:tr2bl w:val="nil"/>
            </w:tcBorders>
            <w:vAlign w:val="center"/>
          </w:tcPr>
          <w:p>
            <w:pPr>
              <w:pStyle w:val="41"/>
              <w:keepNext w:val="0"/>
              <w:keepLines w:val="0"/>
              <w:pageBreakBefore w:val="0"/>
              <w:kinsoku/>
              <w:wordWrap/>
              <w:bidi w:val="0"/>
              <w:snapToGrid/>
              <w:spacing w:line="240" w:lineRule="auto"/>
            </w:pPr>
            <w:r>
              <w:t>噪声仪</w:t>
            </w:r>
          </w:p>
        </w:tc>
        <w:tc>
          <w:tcPr>
            <w:tcW w:w="3202"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2085" w:type="dxa"/>
            <w:tcBorders>
              <w:tl2br w:val="nil"/>
              <w:tr2bl w:val="nil"/>
            </w:tcBorders>
            <w:vAlign w:val="center"/>
          </w:tcPr>
          <w:p>
            <w:pPr>
              <w:pStyle w:val="41"/>
              <w:keepNext w:val="0"/>
              <w:keepLines w:val="0"/>
              <w:pageBreakBefore w:val="0"/>
              <w:kinsoku/>
              <w:wordWrap/>
              <w:bidi w:val="0"/>
              <w:snapToGrid/>
              <w:spacing w:line="240" w:lineRule="auto"/>
            </w:pPr>
            <w:r>
              <w:t>1套</w:t>
            </w:r>
          </w:p>
        </w:tc>
      </w:tr>
    </w:tbl>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2.4项目运营期环境污染事故、投诉、纠纷调查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现有厂区已投产多年，未接到周边居民对项目的环保投诉问题。为了解外界相关利益人员对本项目的环境保护情况的意见，项目评价期间走访项目区周边居民和企业，自项目运行以来，公众对芜湖新兴铸管有限责任公司不大了解，经介绍企业生产情况及采取的环保措施后，公众建议企业加强环保投资，确保“三废”达标排放，以及要求企业加强环保管理，确保不对周边居民生活环境造成影响。公司接纳公众提出的建议和意见。</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2.5公众意见收集调查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本评价为后评价，芜湖新兴铸管有限责任公司已建成运营约</w:t>
      </w:r>
      <w:r>
        <w:rPr>
          <w:rFonts w:hint="eastAsia" w:ascii="Times New Roman" w:hAnsi="Times New Roman" w:eastAsia="宋体" w:cs="Times New Roman"/>
          <w:bCs/>
          <w:sz w:val="24"/>
          <w:szCs w:val="24"/>
        </w:rPr>
        <w:t>4</w:t>
      </w:r>
      <w:r>
        <w:rPr>
          <w:rFonts w:ascii="Times New Roman" w:hAnsi="Times New Roman" w:eastAsia="宋体" w:cs="Times New Roman"/>
          <w:bCs/>
          <w:sz w:val="24"/>
          <w:szCs w:val="24"/>
        </w:rPr>
        <w:t>年，为了能够真实反映附近的公众对该项目的了解、认识和要求，让更多的公众参与关心本项目的运营，广泛听取公众在各方面提出的良好建议和宝贵意见，开展了公众参与调查工作。</w:t>
      </w:r>
    </w:p>
    <w:p>
      <w:pPr>
        <w:pStyle w:val="2"/>
        <w:keepNext w:val="0"/>
        <w:keepLines w:val="0"/>
        <w:pageBreakBefore w:val="0"/>
        <w:kinsoku/>
        <w:wordWrap/>
        <w:bidi w:val="0"/>
        <w:snapToGrid/>
        <w:rPr>
          <w:rFonts w:ascii="Times New Roman" w:hAnsi="Times New Roman" w:eastAsia="宋体" w:cs="Times New Roman"/>
          <w:bCs/>
          <w:sz w:val="24"/>
          <w:szCs w:val="24"/>
          <w:highlight w:val="yellow"/>
        </w:rPr>
      </w:pPr>
    </w:p>
    <w:p>
      <w:pPr>
        <w:pStyle w:val="2"/>
        <w:keepNext w:val="0"/>
        <w:keepLines w:val="0"/>
        <w:pageBreakBefore w:val="0"/>
        <w:kinsoku/>
        <w:wordWrap/>
        <w:bidi w:val="0"/>
        <w:snapToGrid/>
        <w:rPr>
          <w:rFonts w:ascii="Times New Roman" w:hAnsi="Times New Roman" w:eastAsia="宋体" w:cs="Times New Roman"/>
          <w:bCs/>
          <w:sz w:val="24"/>
          <w:szCs w:val="24"/>
          <w:highlight w:val="yellow"/>
        </w:rPr>
      </w:pPr>
    </w:p>
    <w:p>
      <w:pPr>
        <w:pStyle w:val="2"/>
        <w:keepNext w:val="0"/>
        <w:keepLines w:val="0"/>
        <w:pageBreakBefore w:val="0"/>
        <w:kinsoku/>
        <w:wordWrap/>
        <w:bidi w:val="0"/>
        <w:snapToGrid/>
        <w:rPr>
          <w:rFonts w:ascii="Times New Roman" w:hAnsi="Times New Roman" w:eastAsia="宋体" w:cs="Times New Roman"/>
          <w:bCs/>
          <w:sz w:val="24"/>
          <w:szCs w:val="24"/>
          <w:highlight w:val="yellow"/>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ascii="Times New Roman" w:hAnsi="Times New Roman" w:eastAsia="黑体" w:cs="Times New Roman"/>
          <w:sz w:val="44"/>
          <w:szCs w:val="44"/>
        </w:rPr>
        <w:t>3建设项目工程评价</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3.1工程概况</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3.1.1项目概况</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（1）项目名称：</w:t>
      </w:r>
      <w:r>
        <w:rPr>
          <w:rFonts w:hint="eastAsia" w:ascii="Times New Roman" w:hAnsi="Times New Roman" w:eastAsia="宋体" w:cs="Times New Roman"/>
          <w:sz w:val="24"/>
        </w:rPr>
        <w:t>芜湖新兴</w:t>
      </w:r>
      <w:r>
        <w:rPr>
          <w:rFonts w:ascii="Times New Roman" w:hAnsi="Times New Roman" w:eastAsia="宋体" w:cs="Times New Roman"/>
          <w:sz w:val="24"/>
        </w:rPr>
        <w:t>铸管</w:t>
      </w:r>
      <w:r>
        <w:rPr>
          <w:rFonts w:hint="eastAsia" w:ascii="Times New Roman" w:hAnsi="Times New Roman" w:eastAsia="宋体" w:cs="Times New Roman"/>
          <w:sz w:val="24"/>
        </w:rPr>
        <w:t>有限责任公司搬迁</w:t>
      </w:r>
      <w:r>
        <w:rPr>
          <w:rFonts w:ascii="Times New Roman" w:hAnsi="Times New Roman" w:eastAsia="宋体" w:cs="Times New Roman"/>
          <w:sz w:val="24"/>
        </w:rPr>
        <w:t>技术改造项目</w:t>
      </w:r>
      <w:r>
        <w:rPr>
          <w:rFonts w:hint="eastAsia" w:ascii="Times New Roman" w:hAnsi="Times New Roman" w:eastAsia="宋体" w:cs="Times New Roman"/>
          <w:sz w:val="24"/>
        </w:rPr>
        <w:t>环境影响后评价报告</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（2）建设单位：芜湖新兴铸管有限责任公司；</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（3）建设地点：芜湖市三山经济开发区；</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（4）建设性质：已建；</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（5）占地面积：137万m</w:t>
      </w:r>
      <w:r>
        <w:rPr>
          <w:rFonts w:ascii="Times New Roman" w:hAnsi="Times New Roman" w:eastAsia="宋体" w:cs="Times New Roman"/>
          <w:color w:val="auto"/>
          <w:sz w:val="24"/>
          <w:vertAlign w:val="superscript"/>
        </w:rPr>
        <w:t>2</w:t>
      </w:r>
      <w:r>
        <w:rPr>
          <w:rFonts w:ascii="Times New Roman" w:hAnsi="Times New Roman" w:eastAsia="宋体" w:cs="Times New Roman"/>
          <w:color w:val="auto"/>
          <w:sz w:val="24"/>
        </w:rPr>
        <w: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（6）职工人数：劳动定员5500人；</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auto"/>
          <w:sz w:val="24"/>
          <w:lang w:val="en-US" w:eastAsia="zh-CN"/>
        </w:rPr>
      </w:pPr>
      <w:r>
        <w:rPr>
          <w:rFonts w:ascii="Times New Roman" w:hAnsi="Times New Roman" w:eastAsia="宋体" w:cs="Times New Roman"/>
          <w:color w:val="auto"/>
          <w:sz w:val="24"/>
        </w:rPr>
        <w:t>（7）工作制度：工作制度为每天3班生产，每班8小时</w:t>
      </w:r>
      <w:r>
        <w:rPr>
          <w:rFonts w:hint="eastAsia" w:ascii="Times New Roman" w:hAnsi="Times New Roman" w:eastAsia="宋体" w:cs="Times New Roman"/>
          <w:color w:val="auto"/>
          <w:sz w:val="24"/>
        </w:rPr>
        <w:t>，每个</w:t>
      </w:r>
      <w:r>
        <w:rPr>
          <w:rFonts w:ascii="Times New Roman" w:hAnsi="Times New Roman" w:eastAsia="宋体" w:cs="Times New Roman"/>
          <w:color w:val="auto"/>
          <w:sz w:val="24"/>
        </w:rPr>
        <w:t>工序具体工作时间见表</w:t>
      </w:r>
      <w:r>
        <w:rPr>
          <w:rFonts w:hint="eastAsia" w:ascii="Times New Roman" w:hAnsi="Times New Roman" w:eastAsia="宋体" w:cs="Times New Roman"/>
          <w:color w:val="auto"/>
          <w:sz w:val="24"/>
        </w:rPr>
        <w:t>3.1-1</w:t>
      </w:r>
      <w:r>
        <w:rPr>
          <w:rFonts w:hint="eastAsia" w:ascii="Times New Roman" w:hAnsi="Times New Roman" w:eastAsia="宋体" w:cs="Times New Roman"/>
          <w:color w:val="auto"/>
          <w:sz w:val="24"/>
          <w:lang w:eastAsia="zh-CN"/>
        </w:rPr>
        <w: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（8）生产规模：核定的生产规模为198万t铁水、150万t钢水</w:t>
      </w:r>
      <w:r>
        <w:rPr>
          <w:rFonts w:hint="eastAsia" w:ascii="Times New Roman" w:hAnsi="Times New Roman" w:eastAsia="宋体" w:cs="Times New Roman"/>
          <w:sz w:val="24"/>
          <w:lang w:eastAsia="zh-CN"/>
        </w:rPr>
        <w:t>（原核定炼钢产能</w:t>
      </w:r>
      <w:r>
        <w:rPr>
          <w:rFonts w:hint="eastAsia" w:ascii="Times New Roman" w:hAnsi="Times New Roman" w:eastAsia="宋体" w:cs="Times New Roman"/>
          <w:sz w:val="24"/>
          <w:lang w:val="en-US" w:eastAsia="zh-CN"/>
        </w:rPr>
        <w:t>190万吨/年，其中包括150万吨/年转炉炼钢、40万吨/年电炉炼钢，厂区目前无电炉炼钢，故核定厂区现有转炉炼钢产能为</w:t>
      </w:r>
      <w:r>
        <w:rPr>
          <w:rFonts w:ascii="Times New Roman" w:hAnsi="Times New Roman" w:eastAsia="宋体" w:cs="Times New Roman"/>
          <w:sz w:val="24"/>
        </w:rPr>
        <w:t>150万t</w:t>
      </w:r>
      <w:r>
        <w:rPr>
          <w:rFonts w:hint="eastAsia" w:ascii="Times New Roman" w:hAnsi="Times New Roman" w:eastAsia="宋体" w:cs="Times New Roman"/>
          <w:sz w:val="24"/>
          <w:lang w:eastAsia="zh-CN"/>
        </w:rPr>
        <w:t>）</w:t>
      </w:r>
      <w:r>
        <w:rPr>
          <w:rFonts w:ascii="Times New Roman" w:hAnsi="Times New Roman" w:eastAsia="宋体" w:cs="Times New Roman"/>
          <w:sz w:val="24"/>
        </w:rPr>
        <w:t>、80万t线材及90万t棒材；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（9）总投资：厂区目前总投资1198346.3万元，其中环保投资</w:t>
      </w:r>
      <w:r>
        <w:rPr>
          <w:rFonts w:hint="eastAsia" w:ascii="Times New Roman" w:hAnsi="Times New Roman" w:eastAsia="宋体" w:cs="Times New Roman"/>
          <w:sz w:val="24"/>
        </w:rPr>
        <w:t>95000</w:t>
      </w:r>
      <w:r>
        <w:rPr>
          <w:rFonts w:ascii="Times New Roman" w:hAnsi="Times New Roman" w:eastAsia="宋体" w:cs="Times New Roman"/>
          <w:sz w:val="24"/>
        </w:rPr>
        <w:t>万元，占总投资的</w:t>
      </w:r>
      <w:r>
        <w:rPr>
          <w:rFonts w:hint="eastAsia" w:ascii="Times New Roman" w:hAnsi="Times New Roman" w:eastAsia="宋体" w:cs="Times New Roman"/>
          <w:sz w:val="24"/>
        </w:rPr>
        <w:t>7.93</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jc w:val="center"/>
        <w:rPr>
          <w:rFonts w:hint="eastAsia" w:ascii="Times New Roman" w:hAnsi="Times New Roman" w:eastAsia="黑体" w:cs="Times New Roman"/>
          <w:color w:val="auto"/>
          <w:sz w:val="24"/>
          <w:lang w:eastAsia="zh-CN"/>
        </w:rPr>
      </w:pPr>
      <w:r>
        <w:rPr>
          <w:rFonts w:hint="eastAsia" w:ascii="Times New Roman" w:hAnsi="Times New Roman" w:eastAsia="黑体" w:cs="Times New Roman"/>
          <w:color w:val="auto"/>
          <w:sz w:val="24"/>
        </w:rPr>
        <w:t xml:space="preserve">表3.1-1 </w:t>
      </w:r>
      <w:r>
        <w:rPr>
          <w:rFonts w:hint="eastAsia" w:ascii="Times New Roman" w:hAnsi="Times New Roman" w:eastAsia="黑体" w:cs="Times New Roman"/>
          <w:color w:val="auto"/>
          <w:sz w:val="24"/>
          <w:lang w:val="en-US" w:eastAsia="zh-CN"/>
        </w:rPr>
        <w:t xml:space="preserve"> 厂区各</w:t>
      </w:r>
      <w:r>
        <w:rPr>
          <w:rFonts w:ascii="Times New Roman" w:hAnsi="Times New Roman" w:eastAsia="黑体" w:cs="Times New Roman"/>
          <w:color w:val="auto"/>
          <w:sz w:val="24"/>
        </w:rPr>
        <w:t>工序工作时间</w:t>
      </w:r>
      <w:r>
        <w:rPr>
          <w:rFonts w:hint="eastAsia" w:ascii="Times New Roman" w:hAnsi="Times New Roman" w:eastAsia="黑体" w:cs="Times New Roman"/>
          <w:color w:val="auto"/>
          <w:sz w:val="24"/>
          <w:lang w:eastAsia="zh-CN"/>
        </w:rPr>
        <w:t>一览表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226"/>
        <w:gridCol w:w="5549"/>
        <w:gridCol w:w="15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blHeade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b/>
                <w:bCs/>
                <w:szCs w:val="22"/>
              </w:rPr>
            </w:pPr>
            <w:r>
              <w:rPr>
                <w:b/>
                <w:bCs/>
                <w:szCs w:val="22"/>
              </w:rPr>
              <w:t>序号</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b/>
                <w:bCs/>
                <w:szCs w:val="22"/>
              </w:rPr>
            </w:pPr>
            <w:r>
              <w:rPr>
                <w:rFonts w:hint="eastAsia"/>
                <w:b/>
                <w:bCs/>
                <w:szCs w:val="22"/>
              </w:rPr>
              <w:t>车间</w:t>
            </w:r>
          </w:p>
        </w:tc>
        <w:tc>
          <w:tcPr>
            <w:tcW w:w="554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b/>
                <w:bCs/>
                <w:szCs w:val="22"/>
              </w:rPr>
            </w:pPr>
            <w:r>
              <w:rPr>
                <w:rFonts w:hint="eastAsia"/>
                <w:b/>
                <w:bCs/>
                <w:szCs w:val="22"/>
              </w:rPr>
              <w:t>设备/工序</w:t>
            </w:r>
          </w:p>
        </w:tc>
        <w:tc>
          <w:tcPr>
            <w:tcW w:w="1538"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b/>
                <w:bCs/>
                <w:szCs w:val="22"/>
              </w:rPr>
            </w:pPr>
            <w:r>
              <w:rPr>
                <w:b/>
                <w:bCs/>
                <w:szCs w:val="22"/>
              </w:rPr>
              <w:t>年工作时间(h)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538"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538"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原料场</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转运站</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地下料仓上料</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焦化</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煤预粉碎</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备煤粉碎系统</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焦炉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装煤除尘系统</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2628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筛焦</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8280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粗苯管式炉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硫胺干燥</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干熄焦</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8280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推焦</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1752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焦炉煤气净化</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焦炉逸散</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8280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烧结</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配料及各转运系统</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燃料除尘系统</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1#烧结机</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2#烧结机</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炼铁</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上料转运站</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6300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1#炉矿槽</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2#炉矿槽</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1#炉出铁场</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2#炉出铁场</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1#高炉热风炉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2#高炉热风炉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1#煤粉制备</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2#煤粉制备</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铸管</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混铁炉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水冷工频电炉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喂丝球化</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5760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热膜离心浇铸</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5760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热膜退火炉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5760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水冷退火炉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喷锌</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中大线喷锌</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小线喷锌</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热模三磨</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5760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水冷离心机</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水冷三磨</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5760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热模工频电炉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制芯烘砂</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管模工段</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三乙胺尾气净化(水冷)</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三乙胺尾气净化(热模)</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炼钢</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铁水预处理</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1#转炉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2#转炉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转炉屋顶</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精炼及地下料仓</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轧钢</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小棒加热炉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6800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大棒加热炉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6500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大棒加热炉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6500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普通高线加热炉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8</w:t>
            </w:r>
            <w: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精品高线加热炉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800</w:t>
            </w:r>
            <w: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中棒加热炉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6800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石灰焙烧</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石灰焙烧上料</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石灰窑</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成品冷却</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成品冷却、卸料和破碎</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成品卸料</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9</w:t>
            </w:r>
          </w:p>
        </w:tc>
        <w:tc>
          <w:tcPr>
            <w:tcW w:w="1226"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矿渣微粉</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矿渣微粉生产线</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6960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1226" w:type="dxa"/>
            <w:vMerge w:val="restart"/>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发电</w:t>
            </w: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lang w:val="en-US" w:eastAsia="zh-CN"/>
              </w:rPr>
              <w:t>2台</w:t>
            </w:r>
            <w:r>
              <w:t>130t/h锅炉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59"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226" w:type="dxa"/>
            <w:vMerge w:val="continue"/>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549"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lang w:val="en-US" w:eastAsia="zh-CN"/>
              </w:rPr>
              <w:t>60</w:t>
            </w:r>
            <w:r>
              <w:t>t/h过热炉</w:t>
            </w:r>
          </w:p>
        </w:tc>
        <w:tc>
          <w:tcPr>
            <w:tcW w:w="1538" w:type="dxa"/>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7200</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3.1.2项目组成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芜湖新兴铸管厂区现拥有焦化、烧结、炼铁、铸管、炼钢、轧钢等生产工艺装备以及燃气系统、动力系统等生产辅助设施，具有198万t铁水、80万t球墨铸铁管、150万t钢水、80万t线材及90万t棒材的生产能力。后评价阶段厂区具体项目组成见表3.1-2。</w:t>
      </w:r>
    </w:p>
    <w:p>
      <w:pPr>
        <w:pStyle w:val="2"/>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黑体" w:cs="Times New Roman"/>
          <w:color w:val="auto"/>
          <w:sz w:val="24"/>
          <w:lang w:val="en-US" w:eastAsia="zh-CN"/>
        </w:rPr>
      </w:pPr>
      <w:r>
        <w:rPr>
          <w:rFonts w:hint="eastAsia" w:ascii="Times New Roman" w:hAnsi="Times New Roman" w:eastAsia="黑体" w:cs="Times New Roman"/>
          <w:color w:val="auto"/>
          <w:sz w:val="24"/>
          <w:lang w:val="en-US" w:eastAsia="zh-CN"/>
        </w:rPr>
        <w:t>表3.1-2  后评价阶段厂区项目组成一览表</w:t>
      </w:r>
    </w:p>
    <w:tbl>
      <w:tblPr>
        <w:tblStyle w:val="21"/>
        <w:tblW w:w="9071" w:type="dxa"/>
        <w:jc w:val="center"/>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49"/>
        <w:gridCol w:w="5324"/>
        <w:gridCol w:w="1206"/>
        <w:gridCol w:w="109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blHeader/>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b/>
                <w:bCs/>
              </w:rPr>
            </w:pPr>
            <w:r>
              <w:rPr>
                <w:b/>
                <w:bCs/>
              </w:rPr>
              <w:t>车间</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b/>
                <w:bCs/>
              </w:rPr>
            </w:pPr>
            <w:r>
              <w:rPr>
                <w:b/>
                <w:bCs/>
              </w:rPr>
              <w:t>主要设备</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b/>
                <w:bCs/>
                <w:color w:val="FF0000"/>
              </w:rPr>
            </w:pPr>
            <w:r>
              <w:rPr>
                <w:rFonts w:hint="eastAsia"/>
                <w:b/>
                <w:bCs/>
                <w:color w:val="FF0000"/>
                <w:lang w:eastAsia="zh-CN"/>
              </w:rPr>
              <w:t>核定</w:t>
            </w:r>
            <w:r>
              <w:rPr>
                <w:b/>
                <w:bCs/>
                <w:color w:val="FF0000"/>
              </w:rPr>
              <w:t>产能</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b/>
                <w:bCs/>
              </w:rPr>
            </w:pPr>
            <w:r>
              <w:rPr>
                <w:b/>
                <w:bCs/>
              </w:rPr>
              <w:t>(万t/a)</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b/>
                <w:bCs/>
                <w:lang w:eastAsia="zh-CN"/>
              </w:rPr>
            </w:pPr>
            <w:r>
              <w:rPr>
                <w:b/>
                <w:bCs/>
                <w:lang w:eastAsia="zh-CN"/>
              </w:rPr>
              <w:t>201</w:t>
            </w:r>
            <w:r>
              <w:rPr>
                <w:rFonts w:hint="eastAsia"/>
                <w:b/>
                <w:bCs/>
                <w:lang w:val="en-US" w:eastAsia="zh-CN"/>
              </w:rPr>
              <w:t>8</w:t>
            </w:r>
            <w:r>
              <w:rPr>
                <w:b/>
                <w:bCs/>
                <w:lang w:eastAsia="zh-CN"/>
              </w:rPr>
              <w:t>年产量(</w:t>
            </w:r>
            <w:r>
              <w:rPr>
                <w:b/>
                <w:bCs/>
              </w:rPr>
              <w:t>万t/a</w:t>
            </w:r>
            <w:r>
              <w:rPr>
                <w:b/>
                <w:bCs/>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9071" w:type="dxa"/>
            <w:gridSpan w:val="4"/>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主体工程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原料场</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机械化料场</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lang w:eastAsia="zh-CN"/>
              </w:rPr>
            </w:pPr>
            <w:r>
              <w:rPr>
                <w:rFonts w:hint="eastAsia"/>
                <w:lang w:val="en-US" w:eastAsia="zh-CN"/>
              </w:rP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焦化车间</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t>2×5</w:t>
            </w:r>
            <w:r>
              <w:rPr>
                <w:lang w:eastAsia="zh-CN"/>
              </w:rPr>
              <w:t>8</w:t>
            </w:r>
            <w:r>
              <w:t>孔6m焦炉及配套1×1</w:t>
            </w:r>
            <w:r>
              <w:rPr>
                <w:rFonts w:hint="eastAsia"/>
                <w:lang w:eastAsia="zh-CN"/>
              </w:rPr>
              <w:t>5</w:t>
            </w:r>
            <w:r>
              <w:t>0t/h干熄焦装置</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lang w:val="en-US" w:eastAsia="zh-CN"/>
              </w:rP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highlight w:val="yellow"/>
                <w:lang w:eastAsia="zh-CN"/>
              </w:rPr>
            </w:pPr>
            <w:r>
              <w:rPr>
                <w:rFonts w:hint="eastAsia"/>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烧结车间</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w:t>
            </w:r>
            <w:r>
              <w:rPr>
                <w:lang w:eastAsia="zh-CN"/>
              </w:rPr>
              <w:t>265</w:t>
            </w:r>
            <w:r>
              <w:t>m</w:t>
            </w:r>
            <w:r>
              <w:rPr>
                <w:vertAlign w:val="superscript"/>
              </w:rPr>
              <w:t>2</w:t>
            </w:r>
            <w:r>
              <w:t>烧结机</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628</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highlight w:val="yellow"/>
                <w:lang w:val="en-US" w:eastAsia="zh-CN"/>
              </w:rPr>
            </w:pPr>
            <w:r>
              <w:rPr>
                <w:rFonts w:hint="eastAsia"/>
                <w:highlight w:val="none"/>
                <w:lang w:val="en-US" w:eastAsia="zh-CN"/>
              </w:rPr>
              <w:t>322.36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炼铁车间</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2×1280m</w:t>
            </w:r>
            <w:r>
              <w:rPr>
                <w:vertAlign w:val="superscript"/>
              </w:rPr>
              <w:t>3</w:t>
            </w:r>
            <w:r>
              <w:t>高炉</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198</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196.2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球墨铸铁车间</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t>1×300t混铁炉、</w:t>
            </w:r>
            <w:r>
              <w:rPr>
                <w:lang w:eastAsia="zh-CN"/>
              </w:rPr>
              <w:t>8</w:t>
            </w:r>
            <w:r>
              <w:t>×15t工频电炉、</w:t>
            </w:r>
            <w:r>
              <w:rPr>
                <w:lang w:eastAsia="zh-CN"/>
              </w:rPr>
              <w:t>7</w:t>
            </w:r>
            <w:r>
              <w:t>台水冷离心机、</w:t>
            </w:r>
            <w:r>
              <w:rPr>
                <w:lang w:eastAsia="zh-CN"/>
              </w:rPr>
              <w:t>2</w:t>
            </w:r>
            <w:r>
              <w:t>台热模法离心机</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rPr>
                <w:lang w:eastAsia="zh-CN"/>
              </w:rPr>
              <w:t>8</w:t>
            </w:r>
            <w:r>
              <w:t>0</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668" w:hRule="atLeast"/>
          <w:jc w:val="center"/>
        </w:trPr>
        <w:tc>
          <w:tcPr>
            <w:tcW w:w="1449" w:type="dxa"/>
            <w:vMerge w:val="restart"/>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炼钢车间</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eastAsia="zh-CN"/>
              </w:rPr>
            </w:pPr>
            <w:r>
              <w:t>2×120t转炉、1×120tLF炉、1×120tRH真空精炼装置、</w:t>
            </w:r>
            <w:r>
              <w:rPr>
                <w:lang w:eastAsia="zh-CN"/>
              </w:rPr>
              <w:t>1</w:t>
            </w:r>
            <w:r>
              <w:t>×10机10流方坯连铸机</w:t>
            </w:r>
            <w:r>
              <w:rPr>
                <w:lang w:eastAsia="zh-CN"/>
              </w:rPr>
              <w:t>、</w:t>
            </w:r>
            <w:r>
              <w:t>1×</w:t>
            </w:r>
            <w:r>
              <w:rPr>
                <w:lang w:eastAsia="zh-CN"/>
              </w:rPr>
              <w:t>4</w:t>
            </w:r>
            <w:r>
              <w:t>机</w:t>
            </w:r>
            <w:r>
              <w:rPr>
                <w:lang w:eastAsia="zh-CN"/>
              </w:rPr>
              <w:t>4</w:t>
            </w:r>
            <w:r>
              <w:t>流圆坯连铸机</w:t>
            </w:r>
          </w:p>
        </w:tc>
        <w:tc>
          <w:tcPr>
            <w:tcW w:w="1206" w:type="dxa"/>
            <w:vMerge w:val="restart"/>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150</w:t>
            </w:r>
          </w:p>
        </w:tc>
        <w:tc>
          <w:tcPr>
            <w:tcW w:w="1092" w:type="dxa"/>
            <w:vMerge w:val="restart"/>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143.85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667" w:hRule="atLeast"/>
          <w:jc w:val="center"/>
        </w:trPr>
        <w:tc>
          <w:tcPr>
            <w:tcW w:w="1449"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rPr>
                <w:lang w:eastAsia="zh-CN"/>
              </w:rPr>
              <w:t>1</w:t>
            </w:r>
            <w:r>
              <w:t>×10机10流方坯连铸机</w:t>
            </w:r>
            <w:r>
              <w:rPr>
                <w:lang w:eastAsia="zh-CN"/>
              </w:rPr>
              <w:t>、</w:t>
            </w:r>
            <w:r>
              <w:t>1×</w:t>
            </w:r>
            <w:r>
              <w:rPr>
                <w:lang w:eastAsia="zh-CN"/>
              </w:rPr>
              <w:t>6</w:t>
            </w:r>
            <w:r>
              <w:t>机</w:t>
            </w:r>
            <w:r>
              <w:rPr>
                <w:lang w:eastAsia="zh-CN"/>
              </w:rPr>
              <w:t>6</w:t>
            </w:r>
            <w:r>
              <w:t>流特殊钢圆坯连铸机</w:t>
            </w:r>
          </w:p>
        </w:tc>
        <w:tc>
          <w:tcPr>
            <w:tcW w:w="1206"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2" w:type="dxa"/>
            <w:vMerge w:val="continue"/>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vMerge w:val="restart"/>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轧钢车间</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1条小棒材生产线</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30</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35.08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1条大棒材生产线</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30</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rFonts w:hint="eastAsia"/>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1条</w:t>
            </w:r>
            <w:r>
              <w:rPr>
                <w:lang w:eastAsia="zh-CN"/>
              </w:rPr>
              <w:t>中</w:t>
            </w:r>
            <w:r>
              <w:t>棒材生产线</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30</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1条精品线材生产线</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40</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44.81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1条普通线材生产线</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40</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45.13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7979" w:type="dxa"/>
            <w:gridSpan w:val="3"/>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公辅工程</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石灰窑</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2×400t/d回转窑</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27.6</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27.6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渣处理</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矿渣微粉生产线</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150</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140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05" w:hRule="atLeast"/>
          <w:jc w:val="center"/>
        </w:trPr>
        <w:tc>
          <w:tcPr>
            <w:tcW w:w="1449" w:type="dxa"/>
            <w:vMerge w:val="restart"/>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发电站</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lang w:val="en-US" w:eastAsia="zh-CN"/>
              </w:rPr>
            </w:pPr>
            <w:r>
              <w:rPr>
                <w:lang w:eastAsia="zh-CN"/>
              </w:rPr>
              <w:t>2</w:t>
            </w:r>
            <w:r>
              <w:t>×1</w:t>
            </w:r>
            <w:r>
              <w:rPr>
                <w:lang w:eastAsia="zh-CN"/>
              </w:rPr>
              <w:t>30</w:t>
            </w:r>
            <w:r>
              <w:t>t/h高温高压全燃煤气锅炉、</w:t>
            </w:r>
            <w:r>
              <w:rPr>
                <w:lang w:eastAsia="zh-CN"/>
              </w:rPr>
              <w:t>配套</w:t>
            </w:r>
            <w:r>
              <w:t>2×25MW抽凝机组</w:t>
            </w:r>
            <w:r>
              <w:rPr>
                <w:lang w:eastAsia="zh-CN"/>
              </w:rPr>
              <w:t>、</w:t>
            </w:r>
            <w:r>
              <w:t>1×25MW纯凝机组</w:t>
            </w:r>
            <w:r>
              <w:rPr>
                <w:lang w:eastAsia="zh-CN"/>
              </w:rPr>
              <w:t>、3</w:t>
            </w:r>
            <w:r>
              <w:t>×</w:t>
            </w:r>
            <w:r>
              <w:rPr>
                <w:lang w:eastAsia="zh-CN"/>
              </w:rPr>
              <w:t>30</w:t>
            </w:r>
            <w:r>
              <w:t>MW抽凝式汽轮发电机组</w:t>
            </w:r>
            <w:r>
              <w:rPr>
                <w:rFonts w:hint="eastAsia"/>
                <w:lang w:eastAsia="zh-CN"/>
              </w:rPr>
              <w:t>，</w:t>
            </w:r>
            <w:r>
              <w:rPr>
                <w:rFonts w:hint="eastAsia"/>
                <w:lang w:val="en-US" w:eastAsia="zh-CN"/>
              </w:rPr>
              <w:t>配套一台60t/h的过热炉</w:t>
            </w:r>
          </w:p>
        </w:tc>
        <w:tc>
          <w:tcPr>
            <w:tcW w:w="1206" w:type="dxa"/>
            <w:vMerge w:val="restart"/>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05" w:hRule="atLeast"/>
          <w:jc w:val="center"/>
        </w:trPr>
        <w:tc>
          <w:tcPr>
            <w:tcW w:w="1449"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lang w:eastAsia="zh-CN"/>
              </w:rPr>
            </w:pPr>
            <w:r>
              <w:rPr>
                <w:lang w:eastAsia="zh-CN"/>
              </w:rPr>
              <w:t>1×35</w:t>
            </w:r>
            <w:r>
              <w:t>t/h燃煤气锅炉</w:t>
            </w:r>
            <w:r>
              <w:rPr>
                <w:rFonts w:hint="eastAsia"/>
                <w:lang w:eastAsia="zh-CN"/>
              </w:rPr>
              <w:t>（已停用）</w:t>
            </w:r>
          </w:p>
        </w:tc>
        <w:tc>
          <w:tcPr>
            <w:tcW w:w="1206"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空压站</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1座铁前区集中空压站</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t>1座钢轧区集中空压站</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vMerge w:val="restart"/>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余热回收</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烧结环冷机余热回收装置</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转炉烟气汽化冷却及余热回收装置</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vMerge w:val="continue"/>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轧钢加热炉汽化冷却及余热回收装置</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氧气站</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2×15000</w:t>
            </w:r>
            <w:r>
              <w:rPr>
                <w:i/>
              </w:rPr>
              <w:t>N</w:t>
            </w:r>
            <w:r>
              <w:t>m</w:t>
            </w:r>
            <w:r>
              <w:rPr>
                <w:vertAlign w:val="superscript"/>
              </w:rPr>
              <w:t>3</w:t>
            </w:r>
            <w:r>
              <w:t>/h制氧机组和1套10000</w:t>
            </w:r>
            <w:r>
              <w:rPr>
                <w:i/>
              </w:rPr>
              <w:t>N</w:t>
            </w:r>
            <w:r>
              <w:t>m</w:t>
            </w:r>
            <w:r>
              <w:rPr>
                <w:vertAlign w:val="superscript"/>
              </w:rPr>
              <w:t>3</w:t>
            </w:r>
            <w:r>
              <w:t>/h制氧机组</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煤气设施</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1座20万m</w:t>
            </w:r>
            <w:r>
              <w:rPr>
                <w:vertAlign w:val="superscript"/>
              </w:rPr>
              <w:t>3</w:t>
            </w:r>
            <w:r>
              <w:t>高炉煤气柜、1座10万m</w:t>
            </w:r>
            <w:r>
              <w:rPr>
                <w:vertAlign w:val="superscript"/>
              </w:rPr>
              <w:t>3</w:t>
            </w:r>
            <w:r>
              <w:t>焦炉煤气柜、1座</w:t>
            </w:r>
            <w:r>
              <w:rPr>
                <w:lang w:eastAsia="zh-CN"/>
              </w:rPr>
              <w:t>10</w:t>
            </w:r>
            <w:r>
              <w:t>万m</w:t>
            </w:r>
            <w:r>
              <w:rPr>
                <w:vertAlign w:val="superscript"/>
              </w:rPr>
              <w:t>3</w:t>
            </w:r>
            <w:r>
              <w:t>转炉煤气柜和1座转炉煤气加压站</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高炉余压发电</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采用全干式透平主机与鼓风机同轴运行方式，即BPRT，直接驱动鼓风机</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给水站</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2座750 m</w:t>
            </w:r>
            <w:r>
              <w:rPr>
                <w:vertAlign w:val="superscript"/>
              </w:rPr>
              <w:t>3</w:t>
            </w:r>
            <w:r>
              <w:t>/h水力澄清池、生产消防供水泵房、加药间等</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软水站</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规模400m</w:t>
            </w:r>
            <w:r>
              <w:rPr>
                <w:vertAlign w:val="superscript"/>
              </w:rPr>
              <w:t>3</w:t>
            </w:r>
            <w:r>
              <w:t>/h</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除盐水站</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规模</w:t>
            </w:r>
            <w:r>
              <w:rPr>
                <w:lang w:eastAsia="zh-CN"/>
              </w:rPr>
              <w:t>200</w:t>
            </w:r>
            <w:r>
              <w:t>m</w:t>
            </w:r>
            <w:r>
              <w:rPr>
                <w:vertAlign w:val="superscript"/>
              </w:rPr>
              <w:t>3</w:t>
            </w:r>
            <w:r>
              <w:t>/h</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综合污水处理站</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1座全厂综合污水处理站，生产废水处理能力</w:t>
            </w:r>
            <w:r>
              <w:rPr>
                <w:lang w:eastAsia="zh-CN"/>
              </w:rPr>
              <w:t>850</w:t>
            </w:r>
            <w:r>
              <w:t>m</w:t>
            </w:r>
            <w:r>
              <w:rPr>
                <w:vertAlign w:val="superscript"/>
              </w:rPr>
              <w:t>3</w:t>
            </w:r>
            <w:r>
              <w:t>/h，深度除盐处理系统处理能力150m</w:t>
            </w:r>
            <w:r>
              <w:rPr>
                <w:vertAlign w:val="superscript"/>
              </w:rPr>
              <w:t>3</w:t>
            </w:r>
            <w:r>
              <w:t>/h</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1449"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酚氰废水处理站</w:t>
            </w:r>
          </w:p>
        </w:tc>
        <w:tc>
          <w:tcPr>
            <w:tcW w:w="5324"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lang w:eastAsia="zh-CN"/>
              </w:rPr>
              <w:t>预处理+废水生化处理+废水深度净化处理，</w:t>
            </w:r>
            <w:r>
              <w:t>处理能力100m</w:t>
            </w:r>
            <w:r>
              <w:rPr>
                <w:vertAlign w:val="superscript"/>
              </w:rPr>
              <w:t>3</w:t>
            </w:r>
            <w:r>
              <w:t>/h</w:t>
            </w:r>
          </w:p>
        </w:tc>
        <w:tc>
          <w:tcPr>
            <w:tcW w:w="1206" w:type="dxa"/>
            <w:tcBorders>
              <w:tl2br w:val="nil"/>
              <w:tr2bl w:val="nil"/>
            </w:tcBorders>
            <w:noWrap w:val="0"/>
            <w:tcMar>
              <w:left w:w="0" w:type="dxa"/>
              <w:right w:w="0" w:type="dxa"/>
            </w:tcMar>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1092"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lang w:eastAsia="zh-CN"/>
              </w:rPr>
            </w:pPr>
            <w:r>
              <w:rPr>
                <w:lang w:eastAsia="zh-CN"/>
              </w:rPr>
              <w:t>-</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3.1.3公用工程</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3.1.3.1给排水系统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sz w:val="24"/>
        </w:rPr>
      </w:pPr>
      <w:r>
        <w:rPr>
          <w:rFonts w:ascii="Times New Roman" w:hAnsi="Times New Roman" w:eastAsia="宋体" w:cs="Times New Roman"/>
          <w:sz w:val="24"/>
        </w:rPr>
        <w:t>后评价阶段厂区给排水系统包括生产消防给水系统、生活给水系统、软水给水系统、除盐水给水系统和再次利用水系统、生产排水系统、生活排水系统、浓盐水排水系统和雨水排水系统，主要处理设施包括全厂给水站、全厂综合污水处理站、软水站和除盐水站。</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（1）生产消防给水系统</w:t>
      </w:r>
    </w:p>
    <w:p>
      <w:pPr>
        <w:pStyle w:val="2"/>
        <w:keepNext w:val="0"/>
        <w:keepLines w:val="0"/>
        <w:pageBreakBefore w:val="0"/>
        <w:kinsoku/>
        <w:wordWrap/>
        <w:bidi w:val="0"/>
        <w:snapToGrid/>
        <w:spacing w:after="0" w:line="360" w:lineRule="auto"/>
        <w:ind w:firstLine="480" w:firstLineChars="200"/>
        <w:rPr>
          <w:rFonts w:hint="default" w:ascii="Times New Roman" w:hAnsi="Times New Roman" w:eastAsia="宋体" w:cs="Times New Roman"/>
          <w:color w:val="FF0000"/>
          <w:sz w:val="24"/>
          <w:lang w:val="en-US" w:eastAsia="zh-CN"/>
        </w:rPr>
      </w:pPr>
      <w:r>
        <w:rPr>
          <w:rFonts w:ascii="Times New Roman" w:hAnsi="Times New Roman" w:eastAsia="宋体" w:cs="Times New Roman"/>
          <w:sz w:val="24"/>
        </w:rPr>
        <w:t>生产消防给水系统含全厂贮水池﹑全厂给水处理站﹑全厂新水供水泵及全厂生产消防供水管网，该系统供给全厂生产和消防用水，新水水源来自</w:t>
      </w:r>
      <w:r>
        <w:rPr>
          <w:rFonts w:hint="eastAsia" w:ascii="Times New Roman" w:hAnsi="Times New Roman" w:eastAsia="宋体" w:cs="Times New Roman"/>
          <w:sz w:val="24"/>
        </w:rPr>
        <w:t>长江</w:t>
      </w:r>
      <w:r>
        <w:rPr>
          <w:rFonts w:ascii="Times New Roman" w:hAnsi="Times New Roman" w:eastAsia="宋体" w:cs="Times New Roman"/>
          <w:sz w:val="24"/>
        </w:rPr>
        <w:t>，厂区边界处水压≥</w:t>
      </w:r>
      <w:r>
        <w:rPr>
          <w:rFonts w:ascii="Times New Roman" w:hAnsi="Times New Roman" w:eastAsia="宋体" w:cs="Times New Roman"/>
          <w:color w:val="auto"/>
          <w:sz w:val="24"/>
        </w:rPr>
        <w:t>0.3MPa。</w:t>
      </w:r>
      <w:r>
        <w:rPr>
          <w:rFonts w:hint="eastAsia" w:ascii="Times New Roman" w:hAnsi="Times New Roman" w:eastAsia="宋体" w:cs="Times New Roman"/>
          <w:color w:val="auto"/>
          <w:sz w:val="24"/>
          <w:lang w:eastAsia="zh-CN"/>
        </w:rPr>
        <w:t>芜湖新兴铸管有限责任公司于</w:t>
      </w: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018</w:t>
      </w:r>
      <w:r>
        <w:rPr>
          <w:rFonts w:hint="eastAsia" w:ascii="Times New Roman" w:hAnsi="Times New Roman" w:eastAsia="宋体" w:cs="Times New Roman"/>
          <w:color w:val="auto"/>
          <w:sz w:val="24"/>
        </w:rPr>
        <w:t>年11月23日</w:t>
      </w:r>
      <w:r>
        <w:rPr>
          <w:rFonts w:hint="eastAsia" w:ascii="Times New Roman" w:hAnsi="Times New Roman" w:eastAsia="宋体" w:cs="Times New Roman"/>
          <w:color w:val="auto"/>
          <w:sz w:val="24"/>
          <w:lang w:eastAsia="zh-CN"/>
        </w:rPr>
        <w:t>延续了取水许可证（</w:t>
      </w:r>
      <w:r>
        <w:rPr>
          <w:rFonts w:ascii="Times New Roman" w:hAnsi="Times New Roman" w:eastAsia="宋体" w:cs="Times New Roman"/>
          <w:color w:val="auto"/>
          <w:sz w:val="24"/>
        </w:rPr>
        <w:t>取水（</w:t>
      </w:r>
      <w:r>
        <w:rPr>
          <w:rFonts w:hint="eastAsia" w:ascii="Times New Roman" w:hAnsi="Times New Roman" w:eastAsia="宋体" w:cs="Times New Roman"/>
          <w:color w:val="auto"/>
          <w:sz w:val="24"/>
        </w:rPr>
        <w:t>皖</w:t>
      </w:r>
      <w:r>
        <w:rPr>
          <w:rFonts w:ascii="Times New Roman" w:hAnsi="Times New Roman" w:eastAsia="宋体" w:cs="Times New Roman"/>
          <w:color w:val="auto"/>
          <w:sz w:val="24"/>
        </w:rPr>
        <w:t>芜湖）</w:t>
      </w:r>
      <w:r>
        <w:rPr>
          <w:rFonts w:hint="eastAsia" w:ascii="Times New Roman" w:hAnsi="Times New Roman" w:eastAsia="宋体" w:cs="Times New Roman"/>
          <w:color w:val="auto"/>
          <w:sz w:val="24"/>
        </w:rPr>
        <w:t>字</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rPr>
        <w:t>2013</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rPr>
        <w:t>第0013号</w:t>
      </w:r>
      <w:r>
        <w:rPr>
          <w:rFonts w:hint="eastAsia" w:ascii="Times New Roman" w:hAnsi="Times New Roman" w:eastAsia="宋体" w:cs="Times New Roman"/>
          <w:color w:val="auto"/>
          <w:sz w:val="24"/>
          <w:lang w:eastAsia="zh-CN"/>
        </w:rPr>
        <w:t>），有效期为</w:t>
      </w:r>
      <w:r>
        <w:rPr>
          <w:rFonts w:hint="eastAsia" w:ascii="Times New Roman" w:hAnsi="Times New Roman" w:eastAsia="宋体" w:cs="Times New Roman"/>
          <w:color w:val="auto"/>
          <w:sz w:val="24"/>
          <w:lang w:val="en-US" w:eastAsia="zh-CN"/>
        </w:rPr>
        <w:t>2018年9月10日至2023年9</w:t>
      </w:r>
      <w:r>
        <w:rPr>
          <w:rFonts w:hint="eastAsia" w:ascii="Times New Roman" w:hAnsi="Times New Roman" w:eastAsia="宋体" w:cs="Times New Roman"/>
          <w:color w:val="auto"/>
          <w:sz w:val="24"/>
          <w:highlight w:val="none"/>
          <w:lang w:val="en-US" w:eastAsia="zh-CN"/>
        </w:rPr>
        <w:t>月9日（见附件11）。</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（2）生活给水系统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生活给水系统包括供水管网和计量调节设施，水源来自厂区外部市政自来水管网，厂区边界处水压≥0.3MPa。</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（3）生产排水系统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生产排水系统收集各个生产车间内的生产排水，送入全厂综合污水处理站进行处理，处理后全部回用，不外排。</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（4）生活排水系统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生活排水系统收集全厂生活污水，送入全厂综合污水处理站进行处理，处理后全部回用，不外排。</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（5）雨水排水系统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雨水排水系统收集厂区地面雨水，经雨水排水管道排入排水沟。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（6）软化水给水系统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现有厂区所需软化水由全厂软水站集中制备，由全厂软化水供水管网供各车间使用。</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（7）除盐水给水系统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现有厂区所需除盐水由全厂除盐水站及全厂综合污水处理站深度除盐处理系统集中制备，由全厂除盐水供水管网供各车间使用。</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lang w:eastAsia="ja-JP"/>
        </w:rPr>
      </w:pPr>
      <w:r>
        <w:rPr>
          <w:rFonts w:ascii="Times New Roman" w:hAnsi="Times New Roman" w:eastAsia="宋体" w:cs="Times New Roman"/>
          <w:sz w:val="24"/>
        </w:rPr>
        <w:t>（8）</w:t>
      </w:r>
      <w:r>
        <w:rPr>
          <w:rFonts w:ascii="Times New Roman" w:hAnsi="Times New Roman" w:eastAsia="宋体" w:cs="Times New Roman"/>
          <w:sz w:val="24"/>
          <w:lang w:eastAsia="ja-JP"/>
        </w:rPr>
        <w:t>再利用水给水</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经综合污水处理站物化处理后的合格水作为厂区再利用水，供原料场、烧结、炼铁等工序使用，供水压力≥0.3MPa。</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3.1.3.2供电设施</w:t>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ascii="Times New Roman" w:hAnsi="Times New Roman" w:eastAsia="宋体" w:cs="Times New Roman"/>
          <w:sz w:val="24"/>
        </w:rPr>
      </w:pPr>
      <w:r>
        <w:rPr>
          <w:rFonts w:ascii="Times New Roman" w:hAnsi="Times New Roman" w:eastAsia="宋体" w:cs="Times New Roman"/>
          <w:sz w:val="24"/>
        </w:rPr>
        <w:t>厂区用电由市政供电系统提供，厂区现有1座220kV总降变电所及1座110kV总降变电所，设余能发电及供配电网络，为全厂所有用电设备供电。</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3.1.3.3热力设施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sz w:val="24"/>
          <w:szCs w:val="24"/>
        </w:rPr>
      </w:pPr>
      <w:r>
        <w:rPr>
          <w:rFonts w:ascii="Times New Roman" w:hAnsi="Times New Roman" w:eastAsia="宋体" w:cs="Times New Roman"/>
          <w:sz w:val="24"/>
          <w:szCs w:val="24"/>
        </w:rPr>
        <w:t>（1）高炉鼓风机站</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厂区现有1座高炉鼓风机站，内设3台（2台运行，1台备用）AV71BPRT同轴机组，轴流压缩机、煤气透平同轴机组(BPRT)由国内制造厂成套供货。每台轴流风机的进口流量为4500</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/min，出口风压0.52MPa（绝压），所配电动机功率为22000kW，电压10kV。</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高炉煤气自干式袋式除尘器至减压阀组间管道上引出，经过入口蝶阀，入口插板阀及快速切断阀进入煤气透平做功，通过调节透平第一级静叶的角度来控制炉顶煤气压力，透平发出的机械能补充在轴系上，同电动机一起带动鼓风机做功。做功后的高炉煤气通过出口插板阀、出口蝶阀并入减压阀组后的煤气管道。</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BPRT装置与减压阀组组成并联回路，高炉炉况正常时，主要依靠BPRT装置调节顶压，炉况不正常或BPRT装置故障时，由减压阀组承担调节顶压的任务。</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（2）发电站</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厂区现有1座发电站，内设2台130t/h高温高压全燃煤气锅炉</w:t>
      </w:r>
      <w:r>
        <w:rPr>
          <w:rFonts w:hint="eastAsia" w:ascii="Times New Roman" w:hAnsi="Times New Roman" w:eastAsia="宋体" w:cs="Times New Roman"/>
          <w:sz w:val="24"/>
          <w:szCs w:val="24"/>
          <w:lang w:val="en-US" w:eastAsia="zh-CN"/>
        </w:rPr>
        <w:t>（型号为NG-130/9.81-Q3）</w:t>
      </w:r>
      <w:r>
        <w:rPr>
          <w:rFonts w:ascii="Times New Roman" w:hAnsi="Times New Roman" w:eastAsia="宋体" w:cs="Times New Roman"/>
          <w:sz w:val="24"/>
          <w:szCs w:val="24"/>
        </w:rPr>
        <w:t>，配套2×25MW抽凝机组、1×25MW纯凝机组、3×30MW抽凝式汽轮发电机组</w:t>
      </w:r>
      <w:r>
        <w:rPr>
          <w:rFonts w:hint="eastAsia" w:ascii="Times New Roman" w:hAnsi="Times New Roman" w:eastAsia="宋体" w:cs="Times New Roman"/>
          <w:sz w:val="24"/>
          <w:szCs w:val="24"/>
          <w:lang w:eastAsia="zh-CN"/>
        </w:rPr>
        <w:t>，配套一台</w:t>
      </w:r>
      <w:r>
        <w:rPr>
          <w:rFonts w:hint="eastAsia" w:ascii="Times New Roman" w:hAnsi="Times New Roman" w:eastAsia="宋体" w:cs="Times New Roman"/>
          <w:sz w:val="24"/>
          <w:szCs w:val="24"/>
          <w:lang w:val="en-US" w:eastAsia="zh-CN"/>
        </w:rPr>
        <w:t>60t/h的过热炉（型号为NG-60/1.27/240-Q，主要作用为轧钢、烧结、炼钢生产过程中产生的低压蒸汽通过独立管道接入过热炉加热至过热蒸汽后接入汽轮机发电）</w:t>
      </w:r>
      <w:r>
        <w:rPr>
          <w:rFonts w:ascii="Times New Roman" w:hAnsi="Times New Roman" w:eastAsia="宋体" w:cs="Times New Roman"/>
          <w:sz w:val="24"/>
          <w:szCs w:val="24"/>
        </w:rPr>
        <w:t>。同时设置1台35t/h燃煤气锅炉，将剩余燃气产生的热能用于余热发电或生产</w:t>
      </w:r>
      <w:r>
        <w:rPr>
          <w:rFonts w:hint="eastAsia" w:ascii="Times New Roman" w:hAnsi="Times New Roman" w:eastAsia="宋体" w:cs="Times New Roman"/>
          <w:sz w:val="24"/>
          <w:szCs w:val="24"/>
          <w:lang w:eastAsia="zh-CN"/>
        </w:rPr>
        <w:t>（现已停用）</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（3）空压站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sz w:val="24"/>
          <w:szCs w:val="24"/>
          <w:highlight w:val="none"/>
        </w:rPr>
      </w:pPr>
      <w:r>
        <w:rPr>
          <w:rFonts w:ascii="Times New Roman" w:hAnsi="Times New Roman" w:eastAsia="宋体" w:cs="Times New Roman"/>
          <w:sz w:val="24"/>
          <w:szCs w:val="24"/>
          <w:highlight w:val="none"/>
        </w:rPr>
        <w:t>厂区现有1座</w:t>
      </w:r>
      <w:r>
        <w:rPr>
          <w:rFonts w:hint="eastAsia" w:ascii="Times New Roman" w:hAnsi="Times New Roman" w:eastAsia="宋体" w:cs="Times New Roman"/>
          <w:sz w:val="24"/>
          <w:szCs w:val="24"/>
          <w:highlight w:val="none"/>
          <w:lang w:eastAsia="zh-CN"/>
        </w:rPr>
        <w:t>炼铁车间处（高炉区域）</w:t>
      </w:r>
      <w:r>
        <w:rPr>
          <w:rFonts w:ascii="Times New Roman" w:hAnsi="Times New Roman" w:eastAsia="宋体" w:cs="Times New Roman"/>
          <w:sz w:val="24"/>
          <w:szCs w:val="24"/>
          <w:highlight w:val="none"/>
        </w:rPr>
        <w:t>集中空压站和1座</w:t>
      </w:r>
      <w:r>
        <w:rPr>
          <w:rFonts w:hint="eastAsia" w:ascii="Times New Roman" w:hAnsi="Times New Roman" w:eastAsia="宋体" w:cs="Times New Roman"/>
          <w:sz w:val="24"/>
          <w:szCs w:val="24"/>
          <w:highlight w:val="none"/>
          <w:lang w:eastAsia="zh-CN"/>
        </w:rPr>
        <w:t>轧钢车间处</w:t>
      </w:r>
      <w:r>
        <w:rPr>
          <w:rFonts w:ascii="Times New Roman" w:hAnsi="Times New Roman" w:eastAsia="宋体" w:cs="Times New Roman"/>
          <w:sz w:val="24"/>
          <w:szCs w:val="24"/>
          <w:highlight w:val="none"/>
        </w:rPr>
        <w:t>集中空压站。</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（4）余热回收装置</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余热回收装置包括烧结环冷机余热回收装置、转炉烟气汽化冷却及余热回收装置、电炉烟道汽化冷却及余热回收装置和加热炉汽化冷却及余热回收装置装置。余热回收的蒸汽并入全厂蒸汽管网。</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3.1.3.4燃气设施</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（1）氧气站</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厂区现有2套15000</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/h制氧机组和1套10000</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/h制氧机组，根据市场调节，厂区满负荷运行时，开启</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套15000Nm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/h制氧机组；厂区减产运行时，开启</w:t>
      </w:r>
      <w:r>
        <w:rPr>
          <w:rFonts w:hint="eastAsia" w:ascii="Times New Roman" w:hAnsi="Times New Roman" w:eastAsia="宋体" w:cs="Times New Roman"/>
          <w:sz w:val="24"/>
          <w:szCs w:val="24"/>
          <w:lang w:val="en-US" w:eastAsia="zh-CN"/>
        </w:rPr>
        <w:t>1</w:t>
      </w:r>
      <w:r>
        <w:rPr>
          <w:rFonts w:ascii="Times New Roman" w:hAnsi="Times New Roman" w:eastAsia="宋体" w:cs="Times New Roman"/>
          <w:sz w:val="24"/>
          <w:szCs w:val="24"/>
        </w:rPr>
        <w:t>套15000Nm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/h制氧机组和10000Nm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/h制氧机组。</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（2）煤气设施</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厂区现有1座20万m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高炉煤气柜、1座10万m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焦炉煤气柜、1座10万m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转炉煤气柜和1座转炉煤气加压站。</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（3）高炉煤气余压透平设施</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高炉煤气余压透平设施采用全干式透平主机与鼓风机同轴运行方式，即BPRT，直接驱动鼓风机。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（4）焦炉烟气脱硫脱硝设施</w:t>
      </w:r>
    </w:p>
    <w:p>
      <w:pPr>
        <w:keepNext w:val="0"/>
        <w:keepLines w:val="0"/>
        <w:pageBreakBefore w:val="0"/>
        <w:tabs>
          <w:tab w:val="left" w:pos="5812"/>
        </w:tabs>
        <w:kinsoku/>
        <w:wordWrap/>
        <w:bidi w:val="0"/>
        <w:snapToGrid/>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现有厂区</w:t>
      </w:r>
      <w:r>
        <w:rPr>
          <w:rFonts w:ascii="Times New Roman" w:hAnsi="Times New Roman" w:eastAsia="宋体" w:cs="Times New Roman"/>
          <w:sz w:val="24"/>
          <w:szCs w:val="24"/>
        </w:rPr>
        <w:t>采用新型催化氧法脱硫+低温SCR脱硝装置处理焦炉烟气中的烟尘、SO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和NO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3.1.3.5储运系统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（1）储气柜</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焦化等工序产生煤气储存在各个工序车间内的煤气柜内，厂区现有煤气柜设置情况见3.1-</w:t>
      </w:r>
      <w:r>
        <w:rPr>
          <w:rFonts w:hint="eastAsia" w:ascii="Times New Roman" w:hAnsi="Times New Roman" w:eastAsia="宋体" w:cs="Times New Roman"/>
          <w:sz w:val="24"/>
          <w:lang w:val="en-US" w:eastAsia="zh-CN"/>
        </w:rPr>
        <w:t>3</w:t>
      </w:r>
      <w:r>
        <w:rPr>
          <w:rFonts w:ascii="Times New Roman" w:hAnsi="Times New Roman" w:eastAsia="宋体" w:cs="Times New Roman"/>
          <w:sz w:val="24"/>
        </w:rPr>
        <w:t>。</w:t>
      </w:r>
    </w:p>
    <w:p>
      <w:pPr>
        <w:pStyle w:val="2"/>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ascii="Times New Roman" w:hAnsi="Times New Roman" w:eastAsia="黑体" w:cs="Times New Roman"/>
          <w:sz w:val="24"/>
        </w:rPr>
      </w:pPr>
      <w:r>
        <w:rPr>
          <w:rFonts w:ascii="Times New Roman" w:hAnsi="Times New Roman" w:eastAsia="黑体" w:cs="Times New Roman"/>
          <w:sz w:val="24"/>
        </w:rPr>
        <w:t>表3.1-</w:t>
      </w:r>
      <w:r>
        <w:rPr>
          <w:rFonts w:hint="eastAsia" w:ascii="Times New Roman" w:hAnsi="Times New Roman" w:eastAsia="黑体" w:cs="Times New Roman"/>
          <w:sz w:val="24"/>
          <w:lang w:val="en-US" w:eastAsia="zh-CN"/>
        </w:rPr>
        <w:t>3</w:t>
      </w:r>
      <w:r>
        <w:rPr>
          <w:rFonts w:ascii="Times New Roman" w:hAnsi="Times New Roman" w:eastAsia="黑体" w:cs="Times New Roman"/>
          <w:sz w:val="24"/>
        </w:rPr>
        <w:t xml:space="preserve">  厂区现有储气柜设置情况一览表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5"/>
        <w:gridCol w:w="992"/>
        <w:gridCol w:w="859"/>
        <w:gridCol w:w="1126"/>
        <w:gridCol w:w="850"/>
        <w:gridCol w:w="1985"/>
        <w:gridCol w:w="709"/>
        <w:gridCol w:w="992"/>
        <w:gridCol w:w="1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Merge w:val="restart"/>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序号</w:t>
            </w:r>
          </w:p>
        </w:tc>
        <w:tc>
          <w:tcPr>
            <w:tcW w:w="992" w:type="dxa"/>
            <w:vMerge w:val="restart"/>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储气柜</w:t>
            </w:r>
          </w:p>
        </w:tc>
        <w:tc>
          <w:tcPr>
            <w:tcW w:w="1985" w:type="dxa"/>
            <w:gridSpan w:val="2"/>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储存条件</w:t>
            </w:r>
          </w:p>
        </w:tc>
        <w:tc>
          <w:tcPr>
            <w:tcW w:w="850"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储气柜容积</w:t>
            </w:r>
          </w:p>
        </w:tc>
        <w:tc>
          <w:tcPr>
            <w:tcW w:w="198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尺寸</w:t>
            </w:r>
          </w:p>
        </w:tc>
        <w:tc>
          <w:tcPr>
            <w:tcW w:w="70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数量</w:t>
            </w:r>
          </w:p>
        </w:tc>
        <w:tc>
          <w:tcPr>
            <w:tcW w:w="992" w:type="dxa"/>
            <w:vMerge w:val="restart"/>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hint="eastAsia" w:cs="Times New Roman"/>
                <w:b/>
                <w:kern w:val="0"/>
                <w:szCs w:val="20"/>
              </w:rPr>
            </w:pPr>
            <w:r>
              <w:rPr>
                <w:rFonts w:hint="eastAsia" w:cs="Times New Roman"/>
                <w:b/>
                <w:kern w:val="0"/>
                <w:szCs w:val="20"/>
              </w:rPr>
              <w:t>储存</w:t>
            </w:r>
          </w:p>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场所</w:t>
            </w:r>
          </w:p>
        </w:tc>
        <w:tc>
          <w:tcPr>
            <w:tcW w:w="1034" w:type="dxa"/>
            <w:vMerge w:val="restart"/>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最大储存量</w:t>
            </w:r>
            <w:r>
              <w:rPr>
                <w:rFonts w:cs="Times New Roman"/>
                <w:b/>
                <w:kern w:val="0"/>
                <w:szCs w:val="20"/>
              </w:rPr>
              <w:t>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Merge w:val="continue"/>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p>
        </w:tc>
        <w:tc>
          <w:tcPr>
            <w:tcW w:w="992" w:type="dxa"/>
            <w:vMerge w:val="continue"/>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p>
        </w:tc>
        <w:tc>
          <w:tcPr>
            <w:tcW w:w="85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温度</w:t>
            </w:r>
            <w:r>
              <w:rPr>
                <w:rFonts w:hint="eastAsia" w:cs="宋体"/>
                <w:b/>
                <w:kern w:val="0"/>
                <w:szCs w:val="20"/>
              </w:rPr>
              <w:t>℃</w:t>
            </w:r>
          </w:p>
        </w:tc>
        <w:tc>
          <w:tcPr>
            <w:tcW w:w="11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压力</w:t>
            </w:r>
            <w:r>
              <w:rPr>
                <w:rFonts w:cs="Times New Roman"/>
                <w:b/>
                <w:kern w:val="0"/>
                <w:szCs w:val="20"/>
              </w:rPr>
              <w:t>MPa</w:t>
            </w:r>
          </w:p>
        </w:tc>
        <w:tc>
          <w:tcPr>
            <w:tcW w:w="850"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cs="Times New Roman"/>
                <w:b/>
                <w:kern w:val="0"/>
                <w:szCs w:val="20"/>
              </w:rPr>
              <w:t>m</w:t>
            </w:r>
            <w:r>
              <w:rPr>
                <w:rFonts w:cs="Times New Roman"/>
                <w:b/>
                <w:kern w:val="0"/>
                <w:szCs w:val="20"/>
                <w:vertAlign w:val="superscript"/>
              </w:rPr>
              <w:t>3</w:t>
            </w:r>
          </w:p>
        </w:tc>
        <w:tc>
          <w:tcPr>
            <w:tcW w:w="198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cs="Times New Roman"/>
                <w:b/>
                <w:kern w:val="0"/>
                <w:szCs w:val="20"/>
              </w:rPr>
              <w:t>D*H</w:t>
            </w:r>
            <w:r>
              <w:rPr>
                <w:rFonts w:hint="eastAsia" w:cs="Times New Roman"/>
                <w:b/>
                <w:kern w:val="0"/>
                <w:szCs w:val="20"/>
              </w:rPr>
              <w:t>（</w:t>
            </w:r>
            <w:r>
              <w:rPr>
                <w:rFonts w:cs="Times New Roman"/>
                <w:b/>
                <w:kern w:val="0"/>
                <w:szCs w:val="20"/>
              </w:rPr>
              <w:t>mm</w:t>
            </w:r>
            <w:r>
              <w:rPr>
                <w:rFonts w:hint="eastAsia" w:cs="Times New Roman"/>
                <w:b/>
                <w:kern w:val="0"/>
                <w:szCs w:val="20"/>
              </w:rPr>
              <w:t>）</w:t>
            </w:r>
            <w:r>
              <w:rPr>
                <w:rFonts w:cs="Times New Roman"/>
                <w:b/>
                <w:kern w:val="0"/>
                <w:szCs w:val="20"/>
              </w:rPr>
              <w:t>*</w:t>
            </w:r>
            <w:r>
              <w:rPr>
                <w:rFonts w:hint="eastAsia" w:cs="Times New Roman"/>
                <w:b/>
                <w:kern w:val="0"/>
                <w:szCs w:val="20"/>
              </w:rPr>
              <w:t>（</w:t>
            </w:r>
            <w:r>
              <w:rPr>
                <w:rFonts w:cs="Times New Roman"/>
                <w:b/>
                <w:kern w:val="0"/>
                <w:szCs w:val="20"/>
              </w:rPr>
              <w:t>mm</w:t>
            </w:r>
            <w:r>
              <w:rPr>
                <w:rFonts w:hint="eastAsia" w:cs="Times New Roman"/>
                <w:b/>
                <w:kern w:val="0"/>
                <w:szCs w:val="20"/>
              </w:rPr>
              <w:t>）</w:t>
            </w:r>
          </w:p>
        </w:tc>
        <w:tc>
          <w:tcPr>
            <w:tcW w:w="70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个</w:t>
            </w:r>
          </w:p>
        </w:tc>
        <w:tc>
          <w:tcPr>
            <w:tcW w:w="992" w:type="dxa"/>
            <w:vMerge w:val="continue"/>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p>
        </w:tc>
        <w:tc>
          <w:tcPr>
            <w:tcW w:w="1034" w:type="dxa"/>
            <w:vMerge w:val="continue"/>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w:t>
            </w:r>
          </w:p>
        </w:tc>
        <w:tc>
          <w:tcPr>
            <w:tcW w:w="99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高炉</w:t>
            </w:r>
          </w:p>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煤气柜</w:t>
            </w:r>
          </w:p>
        </w:tc>
        <w:tc>
          <w:tcPr>
            <w:tcW w:w="85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0-40</w:t>
            </w:r>
          </w:p>
        </w:tc>
        <w:tc>
          <w:tcPr>
            <w:tcW w:w="11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宋体"/>
                <w:color w:val="000000"/>
                <w:szCs w:val="21"/>
              </w:rPr>
              <w:t>9000±300</w:t>
            </w:r>
          </w:p>
        </w:tc>
        <w:tc>
          <w:tcPr>
            <w:tcW w:w="850"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200000</w:t>
            </w:r>
          </w:p>
        </w:tc>
        <w:tc>
          <w:tcPr>
            <w:tcW w:w="198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hint="eastAsia" w:cs="宋体"/>
                <w:szCs w:val="21"/>
              </w:rPr>
            </w:pPr>
            <w:r>
              <w:rPr>
                <w:rFonts w:hint="eastAsia" w:cs="宋体"/>
                <w:szCs w:val="21"/>
              </w:rPr>
              <w:t>直径53588mm*</w:t>
            </w:r>
          </w:p>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宋体"/>
                <w:szCs w:val="21"/>
              </w:rPr>
              <w:t>总高度107360mm</w:t>
            </w:r>
          </w:p>
        </w:tc>
        <w:tc>
          <w:tcPr>
            <w:tcW w:w="70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w:t>
            </w:r>
          </w:p>
        </w:tc>
        <w:tc>
          <w:tcPr>
            <w:tcW w:w="99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高炉煤气柜区</w:t>
            </w:r>
          </w:p>
        </w:tc>
        <w:tc>
          <w:tcPr>
            <w:tcW w:w="1034"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hint="eastAsia" w:eastAsia="宋体"/>
                <w:lang w:val="en-US" w:eastAsia="zh-CN"/>
              </w:rPr>
            </w:pPr>
            <w:r>
              <w:rPr>
                <w:rFonts w:hint="eastAsia"/>
              </w:rPr>
              <w:t>18.5万m</w:t>
            </w:r>
            <w:r>
              <w:rPr>
                <w:rFonts w:hint="eastAsia"/>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2</w:t>
            </w:r>
          </w:p>
        </w:tc>
        <w:tc>
          <w:tcPr>
            <w:tcW w:w="99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转炉</w:t>
            </w:r>
          </w:p>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煤气柜</w:t>
            </w:r>
          </w:p>
        </w:tc>
        <w:tc>
          <w:tcPr>
            <w:tcW w:w="85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宋体"/>
                <w:color w:val="000000"/>
                <w:szCs w:val="21"/>
              </w:rPr>
              <w:t>≤60</w:t>
            </w:r>
          </w:p>
        </w:tc>
        <w:tc>
          <w:tcPr>
            <w:tcW w:w="11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宋体"/>
                <w:color w:val="000000"/>
                <w:szCs w:val="21"/>
              </w:rPr>
              <w:t>一段2.45-2.7，二段3-3.5</w:t>
            </w:r>
          </w:p>
        </w:tc>
        <w:tc>
          <w:tcPr>
            <w:tcW w:w="850"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100000</w:t>
            </w:r>
          </w:p>
        </w:tc>
        <w:tc>
          <w:tcPr>
            <w:tcW w:w="198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hint="eastAsia" w:cs="宋体"/>
                <w:szCs w:val="21"/>
              </w:rPr>
            </w:pPr>
            <w:r>
              <w:rPr>
                <w:rFonts w:hint="eastAsia" w:cs="宋体"/>
                <w:szCs w:val="21"/>
              </w:rPr>
              <w:t>直径61360mm*</w:t>
            </w:r>
          </w:p>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宋体"/>
                <w:szCs w:val="21"/>
              </w:rPr>
              <w:t>总高度51828mm</w:t>
            </w:r>
          </w:p>
        </w:tc>
        <w:tc>
          <w:tcPr>
            <w:tcW w:w="70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w:t>
            </w:r>
          </w:p>
        </w:tc>
        <w:tc>
          <w:tcPr>
            <w:tcW w:w="99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转炉</w:t>
            </w:r>
          </w:p>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煤气柜</w:t>
            </w:r>
          </w:p>
        </w:tc>
        <w:tc>
          <w:tcPr>
            <w:tcW w:w="1034"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9万m</w:t>
            </w:r>
            <w:r>
              <w:rPr>
                <w:rFonts w:hint="eastAsia"/>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3</w:t>
            </w:r>
          </w:p>
        </w:tc>
        <w:tc>
          <w:tcPr>
            <w:tcW w:w="99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hint="eastAsia" w:cs="Times New Roman"/>
                <w:kern w:val="0"/>
                <w:szCs w:val="20"/>
              </w:rPr>
            </w:pPr>
            <w:r>
              <w:rPr>
                <w:rFonts w:hint="eastAsia" w:cs="Times New Roman"/>
                <w:kern w:val="0"/>
                <w:szCs w:val="20"/>
              </w:rPr>
              <w:t>焦炉</w:t>
            </w:r>
          </w:p>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煤气柜</w:t>
            </w:r>
          </w:p>
        </w:tc>
        <w:tc>
          <w:tcPr>
            <w:tcW w:w="85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宋体"/>
                <w:color w:val="000000"/>
                <w:szCs w:val="21"/>
              </w:rPr>
              <w:t>≤60</w:t>
            </w:r>
          </w:p>
        </w:tc>
        <w:tc>
          <w:tcPr>
            <w:tcW w:w="11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宋体"/>
                <w:color w:val="000000"/>
                <w:szCs w:val="21"/>
              </w:rPr>
              <w:t>7000±300</w:t>
            </w:r>
          </w:p>
        </w:tc>
        <w:tc>
          <w:tcPr>
            <w:tcW w:w="850"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100000</w:t>
            </w:r>
          </w:p>
        </w:tc>
        <w:tc>
          <w:tcPr>
            <w:tcW w:w="198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hint="eastAsia" w:cs="宋体"/>
                <w:szCs w:val="21"/>
              </w:rPr>
            </w:pPr>
            <w:r>
              <w:rPr>
                <w:rFonts w:hint="eastAsia" w:cs="宋体"/>
                <w:szCs w:val="21"/>
              </w:rPr>
              <w:t>直径44747mm*</w:t>
            </w:r>
          </w:p>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宋体"/>
                <w:szCs w:val="21"/>
              </w:rPr>
              <w:t>总高度81412mm</w:t>
            </w:r>
          </w:p>
        </w:tc>
        <w:tc>
          <w:tcPr>
            <w:tcW w:w="70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w:t>
            </w:r>
          </w:p>
        </w:tc>
        <w:tc>
          <w:tcPr>
            <w:tcW w:w="99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焦炉煤气柜</w:t>
            </w:r>
          </w:p>
        </w:tc>
        <w:tc>
          <w:tcPr>
            <w:tcW w:w="1034"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8.5万m</w:t>
            </w:r>
            <w:r>
              <w:rPr>
                <w:rFonts w:hint="eastAsia"/>
                <w:vertAlign w:val="superscript"/>
                <w:lang w:val="en-US" w:eastAsia="zh-CN"/>
              </w:rPr>
              <w:t>3</w:t>
            </w:r>
          </w:p>
        </w:tc>
      </w:tr>
    </w:tbl>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（2）储罐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厂区现有储罐设置情况见表3.1-</w:t>
      </w:r>
      <w:r>
        <w:rPr>
          <w:rFonts w:hint="eastAsia" w:ascii="Times New Roman" w:hAnsi="Times New Roman" w:eastAsia="宋体" w:cs="Times New Roman"/>
          <w:sz w:val="24"/>
          <w:lang w:val="en-US" w:eastAsia="zh-CN"/>
        </w:rPr>
        <w:t>4</w:t>
      </w:r>
      <w:r>
        <w:rPr>
          <w:rFonts w:ascii="Times New Roman" w:hAnsi="Times New Roman" w:eastAsia="宋体" w:cs="Times New Roman"/>
          <w:sz w:val="24"/>
        </w:rPr>
        <w:t>。</w:t>
      </w:r>
    </w:p>
    <w:p>
      <w:pPr>
        <w:pStyle w:val="2"/>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ascii="Times New Roman" w:hAnsi="Times New Roman" w:eastAsia="黑体" w:cs="Times New Roman"/>
          <w:sz w:val="24"/>
        </w:rPr>
      </w:pPr>
      <w:r>
        <w:rPr>
          <w:rFonts w:ascii="Times New Roman" w:hAnsi="Times New Roman" w:eastAsia="黑体" w:cs="Times New Roman"/>
          <w:sz w:val="24"/>
        </w:rPr>
        <w:t>表3.1-</w:t>
      </w:r>
      <w:r>
        <w:rPr>
          <w:rFonts w:hint="eastAsia" w:ascii="Times New Roman" w:hAnsi="Times New Roman" w:eastAsia="黑体" w:cs="Times New Roman"/>
          <w:sz w:val="24"/>
          <w:lang w:val="en-US" w:eastAsia="zh-CN"/>
        </w:rPr>
        <w:t>4</w:t>
      </w:r>
      <w:r>
        <w:rPr>
          <w:rFonts w:ascii="Times New Roman" w:hAnsi="Times New Roman" w:eastAsia="黑体" w:cs="Times New Roman"/>
          <w:sz w:val="24"/>
        </w:rPr>
        <w:t xml:space="preserve">  厂区现有主要储罐汇总一览表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1182"/>
        <w:gridCol w:w="998"/>
        <w:gridCol w:w="1141"/>
        <w:gridCol w:w="999"/>
        <w:gridCol w:w="1426"/>
        <w:gridCol w:w="713"/>
        <w:gridCol w:w="855"/>
        <w:gridCol w:w="10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restart"/>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序号</w:t>
            </w:r>
          </w:p>
        </w:tc>
        <w:tc>
          <w:tcPr>
            <w:tcW w:w="1182" w:type="dxa"/>
            <w:vMerge w:val="restart"/>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储存物料</w:t>
            </w:r>
          </w:p>
        </w:tc>
        <w:tc>
          <w:tcPr>
            <w:tcW w:w="2139" w:type="dxa"/>
            <w:gridSpan w:val="2"/>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储存条件</w:t>
            </w:r>
          </w:p>
        </w:tc>
        <w:tc>
          <w:tcPr>
            <w:tcW w:w="99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储罐容积</w:t>
            </w:r>
          </w:p>
        </w:tc>
        <w:tc>
          <w:tcPr>
            <w:tcW w:w="14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尺寸</w:t>
            </w:r>
          </w:p>
        </w:tc>
        <w:tc>
          <w:tcPr>
            <w:tcW w:w="713"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个数</w:t>
            </w:r>
          </w:p>
        </w:tc>
        <w:tc>
          <w:tcPr>
            <w:tcW w:w="855" w:type="dxa"/>
            <w:vMerge w:val="restart"/>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最大储存量</w:t>
            </w:r>
            <w:r>
              <w:rPr>
                <w:rFonts w:cs="Times New Roman"/>
                <w:b/>
                <w:kern w:val="0"/>
                <w:szCs w:val="20"/>
              </w:rPr>
              <w:t>t</w:t>
            </w:r>
          </w:p>
        </w:tc>
        <w:tc>
          <w:tcPr>
            <w:tcW w:w="1091" w:type="dxa"/>
            <w:vMerge w:val="restart"/>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储罐类型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p>
        </w:tc>
        <w:tc>
          <w:tcPr>
            <w:tcW w:w="1182" w:type="dxa"/>
            <w:vMerge w:val="continue"/>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p>
        </w:tc>
        <w:tc>
          <w:tcPr>
            <w:tcW w:w="998"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温度</w:t>
            </w:r>
            <w:r>
              <w:rPr>
                <w:rFonts w:hint="eastAsia" w:cs="宋体"/>
                <w:b/>
                <w:kern w:val="0"/>
                <w:szCs w:val="20"/>
              </w:rPr>
              <w:t>℃</w:t>
            </w:r>
          </w:p>
        </w:tc>
        <w:tc>
          <w:tcPr>
            <w:tcW w:w="114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压力</w:t>
            </w:r>
            <w:r>
              <w:rPr>
                <w:rFonts w:cs="Times New Roman"/>
                <w:b/>
                <w:kern w:val="0"/>
                <w:szCs w:val="20"/>
              </w:rPr>
              <w:t>MPa</w:t>
            </w:r>
          </w:p>
        </w:tc>
        <w:tc>
          <w:tcPr>
            <w:tcW w:w="99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cs="Times New Roman"/>
                <w:b/>
                <w:kern w:val="0"/>
                <w:szCs w:val="20"/>
              </w:rPr>
              <w:t>m</w:t>
            </w:r>
            <w:r>
              <w:rPr>
                <w:rFonts w:cs="Times New Roman"/>
                <w:b/>
                <w:kern w:val="0"/>
                <w:szCs w:val="20"/>
                <w:vertAlign w:val="superscript"/>
              </w:rPr>
              <w:t>3</w:t>
            </w:r>
          </w:p>
        </w:tc>
        <w:tc>
          <w:tcPr>
            <w:tcW w:w="14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cs="Times New Roman"/>
                <w:b/>
                <w:kern w:val="0"/>
                <w:szCs w:val="20"/>
              </w:rPr>
              <w:t>D*H</w:t>
            </w:r>
            <w:r>
              <w:rPr>
                <w:rFonts w:hint="eastAsia" w:cs="Times New Roman"/>
                <w:b/>
                <w:kern w:val="0"/>
                <w:szCs w:val="20"/>
              </w:rPr>
              <w:t>（</w:t>
            </w:r>
            <w:r>
              <w:rPr>
                <w:rFonts w:cs="Times New Roman"/>
                <w:b/>
                <w:kern w:val="0"/>
                <w:szCs w:val="20"/>
              </w:rPr>
              <w:t>mm</w:t>
            </w:r>
            <w:r>
              <w:rPr>
                <w:rFonts w:hint="eastAsia" w:cs="Times New Roman"/>
                <w:b/>
                <w:kern w:val="0"/>
                <w:szCs w:val="20"/>
              </w:rPr>
              <w:t>）</w:t>
            </w:r>
            <w:r>
              <w:rPr>
                <w:rFonts w:cs="Times New Roman"/>
                <w:b/>
                <w:kern w:val="0"/>
                <w:szCs w:val="20"/>
              </w:rPr>
              <w:t>*</w:t>
            </w:r>
            <w:r>
              <w:rPr>
                <w:rFonts w:hint="eastAsia" w:cs="Times New Roman"/>
                <w:b/>
                <w:kern w:val="0"/>
                <w:szCs w:val="20"/>
              </w:rPr>
              <w:t>（</w:t>
            </w:r>
            <w:r>
              <w:rPr>
                <w:rFonts w:cs="Times New Roman"/>
                <w:b/>
                <w:kern w:val="0"/>
                <w:szCs w:val="20"/>
              </w:rPr>
              <w:t>mm</w:t>
            </w:r>
            <w:r>
              <w:rPr>
                <w:rFonts w:hint="eastAsia" w:cs="Times New Roman"/>
                <w:b/>
                <w:kern w:val="0"/>
                <w:szCs w:val="20"/>
              </w:rPr>
              <w:t>）</w:t>
            </w:r>
          </w:p>
        </w:tc>
        <w:tc>
          <w:tcPr>
            <w:tcW w:w="713"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rPr>
                <w:rFonts w:cs="Times New Roman"/>
                <w:b/>
                <w:kern w:val="0"/>
                <w:szCs w:val="20"/>
              </w:rPr>
            </w:pPr>
            <w:r>
              <w:rPr>
                <w:rFonts w:hint="eastAsia" w:cs="Times New Roman"/>
                <w:b/>
                <w:kern w:val="0"/>
                <w:szCs w:val="20"/>
              </w:rPr>
              <w:t>座</w:t>
            </w:r>
          </w:p>
        </w:tc>
        <w:tc>
          <w:tcPr>
            <w:tcW w:w="855" w:type="dxa"/>
            <w:vMerge w:val="continue"/>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p>
        </w:tc>
        <w:tc>
          <w:tcPr>
            <w:tcW w:w="1091" w:type="dxa"/>
            <w:vMerge w:val="continue"/>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w:t>
            </w:r>
          </w:p>
        </w:tc>
        <w:tc>
          <w:tcPr>
            <w:tcW w:w="118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硫酸</w:t>
            </w:r>
          </w:p>
        </w:tc>
        <w:tc>
          <w:tcPr>
            <w:tcW w:w="998"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常温</w:t>
            </w:r>
          </w:p>
        </w:tc>
        <w:tc>
          <w:tcPr>
            <w:tcW w:w="114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常压</w:t>
            </w:r>
          </w:p>
        </w:tc>
        <w:tc>
          <w:tcPr>
            <w:tcW w:w="99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200</w:t>
            </w:r>
          </w:p>
        </w:tc>
        <w:tc>
          <w:tcPr>
            <w:tcW w:w="14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6000*8345</w:t>
            </w:r>
          </w:p>
        </w:tc>
        <w:tc>
          <w:tcPr>
            <w:tcW w:w="713"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2</w:t>
            </w:r>
          </w:p>
        </w:tc>
        <w:tc>
          <w:tcPr>
            <w:tcW w:w="85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669.6</w:t>
            </w:r>
          </w:p>
        </w:tc>
        <w:tc>
          <w:tcPr>
            <w:tcW w:w="109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固定罐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2</w:t>
            </w:r>
          </w:p>
        </w:tc>
        <w:tc>
          <w:tcPr>
            <w:tcW w:w="118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液碱</w:t>
            </w:r>
          </w:p>
        </w:tc>
        <w:tc>
          <w:tcPr>
            <w:tcW w:w="998"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常温</w:t>
            </w:r>
          </w:p>
        </w:tc>
        <w:tc>
          <w:tcPr>
            <w:tcW w:w="114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常压</w:t>
            </w:r>
          </w:p>
        </w:tc>
        <w:tc>
          <w:tcPr>
            <w:tcW w:w="99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100</w:t>
            </w:r>
          </w:p>
        </w:tc>
        <w:tc>
          <w:tcPr>
            <w:tcW w:w="14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4400*7585</w:t>
            </w:r>
          </w:p>
        </w:tc>
        <w:tc>
          <w:tcPr>
            <w:tcW w:w="713"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2</w:t>
            </w:r>
          </w:p>
        </w:tc>
        <w:tc>
          <w:tcPr>
            <w:tcW w:w="85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116</w:t>
            </w:r>
          </w:p>
        </w:tc>
        <w:tc>
          <w:tcPr>
            <w:tcW w:w="109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固定罐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3</w:t>
            </w:r>
          </w:p>
        </w:tc>
        <w:tc>
          <w:tcPr>
            <w:tcW w:w="118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氨水</w:t>
            </w:r>
          </w:p>
        </w:tc>
        <w:tc>
          <w:tcPr>
            <w:tcW w:w="998"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60-80</w:t>
            </w:r>
            <w:r>
              <w:rPr>
                <w:rFonts w:hint="eastAsia" w:ascii="宋体" w:hAnsi="宋体" w:cs="宋体"/>
                <w:kern w:val="0"/>
                <w:szCs w:val="20"/>
              </w:rPr>
              <w:t>℃</w:t>
            </w:r>
          </w:p>
        </w:tc>
        <w:tc>
          <w:tcPr>
            <w:tcW w:w="114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常压</w:t>
            </w:r>
          </w:p>
        </w:tc>
        <w:tc>
          <w:tcPr>
            <w:tcW w:w="99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400</w:t>
            </w:r>
          </w:p>
        </w:tc>
        <w:tc>
          <w:tcPr>
            <w:tcW w:w="14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8000*8500</w:t>
            </w:r>
          </w:p>
        </w:tc>
        <w:tc>
          <w:tcPr>
            <w:tcW w:w="713"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2</w:t>
            </w:r>
          </w:p>
        </w:tc>
        <w:tc>
          <w:tcPr>
            <w:tcW w:w="85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1.56</w:t>
            </w:r>
          </w:p>
        </w:tc>
        <w:tc>
          <w:tcPr>
            <w:tcW w:w="109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固定罐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4</w:t>
            </w:r>
          </w:p>
        </w:tc>
        <w:tc>
          <w:tcPr>
            <w:tcW w:w="118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焦油氨水槽</w:t>
            </w:r>
          </w:p>
        </w:tc>
        <w:tc>
          <w:tcPr>
            <w:tcW w:w="998"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70-90</w:t>
            </w:r>
            <w:r>
              <w:rPr>
                <w:rFonts w:hint="eastAsia" w:ascii="宋体" w:hAnsi="宋体" w:cs="宋体"/>
                <w:kern w:val="0"/>
                <w:szCs w:val="20"/>
              </w:rPr>
              <w:t>℃</w:t>
            </w:r>
          </w:p>
        </w:tc>
        <w:tc>
          <w:tcPr>
            <w:tcW w:w="114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常压</w:t>
            </w:r>
          </w:p>
        </w:tc>
        <w:tc>
          <w:tcPr>
            <w:tcW w:w="99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1000</w:t>
            </w:r>
          </w:p>
        </w:tc>
        <w:tc>
          <w:tcPr>
            <w:tcW w:w="14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12500*9500</w:t>
            </w:r>
          </w:p>
        </w:tc>
        <w:tc>
          <w:tcPr>
            <w:tcW w:w="713"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2</w:t>
            </w:r>
          </w:p>
        </w:tc>
        <w:tc>
          <w:tcPr>
            <w:tcW w:w="85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3.9</w:t>
            </w:r>
          </w:p>
        </w:tc>
        <w:tc>
          <w:tcPr>
            <w:tcW w:w="109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固定罐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5</w:t>
            </w:r>
          </w:p>
        </w:tc>
        <w:tc>
          <w:tcPr>
            <w:tcW w:w="1182"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cs="Times New Roman"/>
                <w:kern w:val="0"/>
                <w:szCs w:val="20"/>
              </w:rPr>
              <w:t>粗苯</w:t>
            </w:r>
          </w:p>
        </w:tc>
        <w:tc>
          <w:tcPr>
            <w:tcW w:w="998"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常温</w:t>
            </w:r>
          </w:p>
        </w:tc>
        <w:tc>
          <w:tcPr>
            <w:tcW w:w="114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常压</w:t>
            </w:r>
          </w:p>
        </w:tc>
        <w:tc>
          <w:tcPr>
            <w:tcW w:w="999"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400</w:t>
            </w:r>
          </w:p>
        </w:tc>
        <w:tc>
          <w:tcPr>
            <w:tcW w:w="1426"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7700*9725</w:t>
            </w:r>
          </w:p>
        </w:tc>
        <w:tc>
          <w:tcPr>
            <w:tcW w:w="713"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2</w:t>
            </w:r>
          </w:p>
        </w:tc>
        <w:tc>
          <w:tcPr>
            <w:tcW w:w="855"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t>654.72</w:t>
            </w:r>
          </w:p>
        </w:tc>
        <w:tc>
          <w:tcPr>
            <w:tcW w:w="1091" w:type="dxa"/>
            <w:vAlign w:val="center"/>
          </w:tcPr>
          <w:p>
            <w:pPr>
              <w:pStyle w:val="35"/>
              <w:keepNext w:val="0"/>
              <w:keepLines w:val="0"/>
              <w:pageBreakBefore w:val="0"/>
              <w:widowControl/>
              <w:kinsoku/>
              <w:wordWrap/>
              <w:overflowPunct/>
              <w:topLinePunct w:val="0"/>
              <w:autoSpaceDE/>
              <w:autoSpaceDN/>
              <w:bidi w:val="0"/>
              <w:adjustRightInd w:val="0"/>
              <w:snapToGrid/>
              <w:spacing w:line="240" w:lineRule="auto"/>
              <w:textAlignment w:val="auto"/>
            </w:pPr>
            <w:r>
              <w:rPr>
                <w:rFonts w:hint="eastAsia"/>
              </w:rPr>
              <w:t>浮顶罐</w:t>
            </w:r>
          </w:p>
        </w:tc>
      </w:tr>
    </w:tbl>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ascii="Times New Roman" w:hAnsi="Times New Roman" w:eastAsia="宋体" w:cs="Times New Roman"/>
          <w:sz w:val="24"/>
        </w:rPr>
      </w:pPr>
      <w:r>
        <w:rPr>
          <w:rFonts w:ascii="Times New Roman" w:hAnsi="Times New Roman" w:eastAsia="宋体" w:cs="Times New Roman"/>
          <w:sz w:val="24"/>
        </w:rPr>
        <w:t>（3）固体废物储存</w:t>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ascii="Times New Roman" w:hAnsi="Times New Roman" w:eastAsia="宋体" w:cs="Times New Roman"/>
          <w:sz w:val="24"/>
        </w:rPr>
      </w:pPr>
      <w:r>
        <w:rPr>
          <w:rFonts w:hint="eastAsia" w:ascii="Times New Roman" w:hAnsi="Times New Roman" w:eastAsia="宋体" w:cs="Times New Roman"/>
          <w:sz w:val="24"/>
          <w:lang w:val="en-US" w:eastAsia="zh-CN"/>
        </w:rPr>
        <w:t>1）</w:t>
      </w:r>
      <w:r>
        <w:rPr>
          <w:rFonts w:ascii="Times New Roman" w:hAnsi="Times New Roman" w:eastAsia="宋体" w:cs="Times New Roman"/>
          <w:sz w:val="24"/>
        </w:rPr>
        <w:t>危险固废储存场所</w:t>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ascii="Times New Roman" w:hAnsi="Times New Roman" w:eastAsia="宋体" w:cs="Times New Roman"/>
          <w:sz w:val="24"/>
        </w:rPr>
      </w:pP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表3.1-</w:t>
      </w:r>
      <w:r>
        <w:rPr>
          <w:rFonts w:hint="eastAsia" w:ascii="Times New Roman" w:hAnsi="Times New Roman" w:eastAsia="黑体" w:cs="Times New Roman"/>
          <w:color w:val="FF0000"/>
          <w:sz w:val="24"/>
        </w:rPr>
        <w:t>5</w:t>
      </w:r>
      <w:r>
        <w:rPr>
          <w:rFonts w:ascii="Times New Roman" w:hAnsi="Times New Roman" w:eastAsia="黑体" w:cs="Times New Roman"/>
          <w:color w:val="FF0000"/>
          <w:sz w:val="24"/>
        </w:rPr>
        <w:t xml:space="preserve">  危险废物储存场所信息一览表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091"/>
        <w:gridCol w:w="1276"/>
        <w:gridCol w:w="851"/>
        <w:gridCol w:w="1275"/>
        <w:gridCol w:w="851"/>
        <w:gridCol w:w="850"/>
        <w:gridCol w:w="851"/>
        <w:gridCol w:w="709"/>
        <w:gridCol w:w="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序号</w:t>
            </w:r>
          </w:p>
        </w:tc>
        <w:tc>
          <w:tcPr>
            <w:tcW w:w="10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贮存场所名称</w:t>
            </w: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危险废物</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名称</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危险废物类别</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危险废物</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代码</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位置</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占地面积（</w:t>
            </w:r>
            <w:r>
              <w:rPr>
                <w:rFonts w:ascii="Times New Roman" w:hAnsi="Times New Roman" w:eastAsia="宋体" w:cs="Times New Roman"/>
                <w:b/>
                <w:bCs/>
                <w:color w:val="FF0000"/>
                <w:kern w:val="0"/>
                <w:szCs w:val="18"/>
              </w:rPr>
              <w:t>m</w:t>
            </w:r>
            <w:r>
              <w:rPr>
                <w:rFonts w:ascii="Times New Roman" w:hAnsi="Times New Roman" w:eastAsia="宋体" w:cs="Times New Roman"/>
                <w:b/>
                <w:bCs/>
                <w:color w:val="FF0000"/>
                <w:kern w:val="0"/>
                <w:szCs w:val="18"/>
                <w:vertAlign w:val="superscript"/>
              </w:rPr>
              <w:t>2</w:t>
            </w:r>
            <w:r>
              <w:rPr>
                <w:rFonts w:hint="eastAsia" w:ascii="Times New Roman" w:hAnsi="Times New Roman" w:eastAsia="宋体" w:cs="Times New Roman"/>
                <w:b/>
                <w:bCs/>
                <w:color w:val="FF0000"/>
                <w:kern w:val="0"/>
                <w:szCs w:val="18"/>
              </w:rPr>
              <w:t>）</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贮存</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方式</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贮存</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能力</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贮存</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bCs/>
                <w:color w:val="FF0000"/>
                <w:kern w:val="0"/>
                <w:szCs w:val="18"/>
              </w:rPr>
            </w:pPr>
            <w:r>
              <w:rPr>
                <w:rFonts w:hint="eastAsia" w:ascii="Times New Roman" w:hAnsi="Times New Roman" w:eastAsia="宋体" w:cs="Times New Roman"/>
                <w:b/>
                <w:bCs/>
                <w:color w:val="FF0000"/>
                <w:kern w:val="0"/>
                <w:szCs w:val="18"/>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1</w:t>
            </w:r>
          </w:p>
        </w:tc>
        <w:tc>
          <w:tcPr>
            <w:tcW w:w="10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备煤车间</w:t>
            </w: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焦油渣</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HW11</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252-001-11</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炼焦</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车间</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不暂存</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2</w:t>
            </w:r>
          </w:p>
        </w:tc>
        <w:tc>
          <w:tcPr>
            <w:tcW w:w="10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油库焦油槽</w:t>
            </w: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再生器残渣</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HW11</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252-003-11</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炼焦</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车间</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不暂存</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3</w:t>
            </w:r>
          </w:p>
        </w:tc>
        <w:tc>
          <w:tcPr>
            <w:tcW w:w="10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备煤车间</w:t>
            </w: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沥青渣</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HW11</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252-001-11</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炼焦</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车间</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不暂存</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4</w:t>
            </w:r>
          </w:p>
        </w:tc>
        <w:tc>
          <w:tcPr>
            <w:tcW w:w="10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备煤车间</w:t>
            </w: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焦化酚氰废水处理站污泥</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HW38</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261-069-38</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炼焦</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车间</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不暂存</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5</w:t>
            </w:r>
          </w:p>
        </w:tc>
        <w:tc>
          <w:tcPr>
            <w:tcW w:w="10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备煤车间</w:t>
            </w: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废活性炭</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HW49</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900-041-49</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炼焦</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车间</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不暂存</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6</w:t>
            </w:r>
          </w:p>
        </w:tc>
        <w:tc>
          <w:tcPr>
            <w:tcW w:w="1091" w:type="dxa"/>
            <w:vMerge w:val="restart"/>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危险废物暂存库</w:t>
            </w: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废催化剂</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HW50</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772-007-50</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暂存库区1</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50</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袋装</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44t</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7</w:t>
            </w:r>
          </w:p>
        </w:tc>
        <w:tc>
          <w:tcPr>
            <w:tcW w:w="1091" w:type="dxa"/>
            <w:vMerge w:val="continue"/>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锌粉</w:t>
            </w:r>
            <w:r>
              <w:rPr>
                <w:rFonts w:ascii="Times New Roman" w:hAnsi="Times New Roman" w:eastAsia="宋体" w:cs="Times New Roman"/>
                <w:color w:val="FF0000"/>
                <w:kern w:val="0"/>
                <w:szCs w:val="18"/>
              </w:rPr>
              <w:t>/</w:t>
            </w:r>
            <w:r>
              <w:rPr>
                <w:rFonts w:hint="eastAsia" w:ascii="Times New Roman" w:hAnsi="Times New Roman" w:eastAsia="宋体" w:cs="Times New Roman"/>
                <w:color w:val="FF0000"/>
                <w:kern w:val="0"/>
                <w:szCs w:val="18"/>
              </w:rPr>
              <w:t>泥</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HW23</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336-103-23</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暂存库区2</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80</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袋装</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100t</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2个月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8</w:t>
            </w:r>
          </w:p>
        </w:tc>
        <w:tc>
          <w:tcPr>
            <w:tcW w:w="1091" w:type="dxa"/>
            <w:vMerge w:val="continue"/>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含树脂废砂芯</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HW13</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900-015-13</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暂存库区3</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50</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袋装</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30t</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2个月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2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9</w:t>
            </w:r>
          </w:p>
        </w:tc>
        <w:tc>
          <w:tcPr>
            <w:tcW w:w="1091" w:type="dxa"/>
            <w:vMerge w:val="continue"/>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p>
        </w:tc>
        <w:tc>
          <w:tcPr>
            <w:tcW w:w="127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废油</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HW08</w:t>
            </w:r>
          </w:p>
        </w:tc>
        <w:tc>
          <w:tcPr>
            <w:tcW w:w="127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ascii="Times New Roman" w:hAnsi="Times New Roman" w:eastAsia="宋体" w:cs="Times New Roman"/>
                <w:color w:val="FF0000"/>
                <w:kern w:val="0"/>
                <w:szCs w:val="18"/>
              </w:rPr>
              <w:t>900-201-08</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暂存库区4</w:t>
            </w:r>
          </w:p>
        </w:tc>
        <w:tc>
          <w:tcPr>
            <w:tcW w:w="850"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80</w:t>
            </w:r>
          </w:p>
        </w:tc>
        <w:tc>
          <w:tcPr>
            <w:tcW w:w="85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桶装</w:t>
            </w:r>
          </w:p>
        </w:tc>
        <w:tc>
          <w:tcPr>
            <w:tcW w:w="70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80t</w:t>
            </w:r>
          </w:p>
        </w:tc>
        <w:tc>
          <w:tcPr>
            <w:tcW w:w="891"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kern w:val="0"/>
                <w:szCs w:val="18"/>
              </w:rPr>
            </w:pPr>
            <w:r>
              <w:rPr>
                <w:rFonts w:hint="eastAsia" w:ascii="Times New Roman" w:hAnsi="Times New Roman" w:eastAsia="宋体" w:cs="Times New Roman"/>
                <w:color w:val="FF0000"/>
                <w:kern w:val="0"/>
                <w:szCs w:val="18"/>
              </w:rPr>
              <w:t>6个月</w:t>
            </w:r>
          </w:p>
        </w:tc>
      </w:tr>
    </w:tbl>
    <w:p>
      <w:pPr>
        <w:pStyle w:val="2"/>
        <w:keepNext w:val="0"/>
        <w:keepLines w:val="0"/>
        <w:pageBreakBefore w:val="0"/>
        <w:widowControl w:val="0"/>
        <w:kinsoku/>
        <w:wordWrap/>
        <w:overflowPunct/>
        <w:topLinePunct w:val="0"/>
        <w:autoSpaceDE/>
        <w:autoSpaceDN/>
        <w:bidi w:val="0"/>
        <w:adjustRightInd/>
        <w:snapToGrid/>
        <w:spacing w:after="0"/>
        <w:ind w:firstLine="0" w:firstLineChars="0"/>
        <w:textAlignment w:val="auto"/>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注：1、焦油渣、再生器残渣、沥青渣、焦化酚氰废水处理站污泥、废活性炭等危险废物产生后，直接厂内运至备煤车间，回用于炼焦系统（环审[2013]300号文中要求）；</w:t>
      </w:r>
    </w:p>
    <w:p>
      <w:pPr>
        <w:pStyle w:val="2"/>
        <w:keepNext w:val="0"/>
        <w:keepLines w:val="0"/>
        <w:pageBreakBefore w:val="0"/>
        <w:widowControl w:val="0"/>
        <w:kinsoku/>
        <w:wordWrap/>
        <w:overflowPunct/>
        <w:topLinePunct w:val="0"/>
        <w:autoSpaceDE/>
        <w:autoSpaceDN/>
        <w:bidi w:val="0"/>
        <w:adjustRightInd/>
        <w:snapToGrid/>
        <w:spacing w:after="0"/>
        <w:ind w:firstLine="0" w:firstLineChars="0"/>
        <w:textAlignment w:val="auto"/>
        <w:rPr>
          <w:rFonts w:hint="eastAsia"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2、危险废物暂存库根据储存物料性质不同</w:t>
      </w:r>
      <w:r>
        <w:rPr>
          <w:rFonts w:ascii="Times New Roman" w:hAnsi="Times New Roman" w:eastAsia="宋体" w:cs="Times New Roman"/>
          <w:color w:val="FF0000"/>
          <w:sz w:val="18"/>
          <w:szCs w:val="18"/>
        </w:rPr>
        <w:t>，分区储存。</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lang w:val="en-US" w:eastAsia="zh-CN"/>
        </w:rPr>
        <w:t>2）</w:t>
      </w:r>
      <w:r>
        <w:rPr>
          <w:rFonts w:ascii="Times New Roman" w:hAnsi="Times New Roman" w:eastAsia="宋体" w:cs="Times New Roman"/>
          <w:sz w:val="24"/>
        </w:rPr>
        <w:t>一般固废储存场所</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表3.1-</w:t>
      </w:r>
      <w:r>
        <w:rPr>
          <w:rFonts w:hint="eastAsia" w:ascii="Times New Roman" w:hAnsi="Times New Roman" w:eastAsia="黑体" w:cs="Times New Roman"/>
          <w:sz w:val="24"/>
          <w:lang w:val="en-US" w:eastAsia="zh-CN"/>
        </w:rPr>
        <w:t>6</w:t>
      </w:r>
      <w:r>
        <w:rPr>
          <w:rFonts w:ascii="Times New Roman" w:hAnsi="Times New Roman" w:eastAsia="黑体" w:cs="Times New Roman"/>
          <w:sz w:val="24"/>
        </w:rPr>
        <w:t xml:space="preserve">  一般固废储存场所信息一览表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1134"/>
        <w:gridCol w:w="1344"/>
        <w:gridCol w:w="1296"/>
        <w:gridCol w:w="1145"/>
        <w:gridCol w:w="1593"/>
        <w:gridCol w:w="1053"/>
        <w:gridCol w:w="8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序号</w:t>
            </w:r>
          </w:p>
        </w:tc>
        <w:tc>
          <w:tcPr>
            <w:tcW w:w="113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贮存场所名称</w:t>
            </w:r>
          </w:p>
        </w:tc>
        <w:tc>
          <w:tcPr>
            <w:tcW w:w="134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一般固废名称</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位置</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占地面积（m</w:t>
            </w:r>
            <w:r>
              <w:rPr>
                <w:rFonts w:hint="default" w:ascii="Times New Roman" w:hAnsi="Times New Roman" w:eastAsia="宋体" w:cs="Times New Roman"/>
                <w:b/>
                <w:bCs/>
                <w:kern w:val="0"/>
                <w:sz w:val="21"/>
                <w:szCs w:val="21"/>
                <w:vertAlign w:val="superscript"/>
              </w:rPr>
              <w:t>2</w:t>
            </w:r>
            <w:r>
              <w:rPr>
                <w:rFonts w:hint="default" w:ascii="Times New Roman" w:hAnsi="Times New Roman" w:eastAsia="宋体" w:cs="Times New Roman"/>
                <w:b/>
                <w:bCs/>
                <w:kern w:val="0"/>
                <w:sz w:val="21"/>
                <w:szCs w:val="21"/>
              </w:rPr>
              <w:t>）</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highlight w:val="none"/>
              </w:rPr>
              <w:t>贮存方式</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贮存</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能力（t）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贮存</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高炉渣暂存处</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高炉渣(水渣)</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矿渣微粉车间</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15</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eastAsia" w:ascii="Times New Roman" w:hAnsi="Times New Roman" w:eastAsia="宋体" w:cs="Times New Roman"/>
                <w:kern w:val="0"/>
                <w:sz w:val="21"/>
                <w:szCs w:val="21"/>
                <w:lang w:eastAsia="zh-CN"/>
              </w:rPr>
              <w:t>密闭料</w:t>
            </w:r>
            <w:r>
              <w:rPr>
                <w:rFonts w:hint="default" w:ascii="Times New Roman" w:hAnsi="Times New Roman" w:eastAsia="宋体" w:cs="Times New Roman"/>
                <w:kern w:val="0"/>
                <w:sz w:val="21"/>
                <w:szCs w:val="21"/>
              </w:rPr>
              <w:t>仓</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800</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val="en-US" w:eastAsia="zh-CN"/>
              </w:rPr>
              <w:t>1天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除尘灰、瓦斯灰</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eastAsia" w:ascii="Times New Roman" w:hAnsi="Times New Roman" w:eastAsia="宋体" w:cs="Times New Roman"/>
                <w:kern w:val="0"/>
                <w:sz w:val="21"/>
                <w:szCs w:val="21"/>
                <w:lang w:eastAsia="zh-CN"/>
              </w:rPr>
              <w:t>及时送烧结车间配料</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eastAsia="宋体" w:cs="Times New Roman"/>
                <w:kern w:val="0"/>
                <w:sz w:val="21"/>
                <w:szCs w:val="21"/>
              </w:rPr>
              <w:t>/</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氧化铁皮</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eastAsia" w:ascii="Times New Roman" w:hAnsi="Times New Roman" w:eastAsia="宋体" w:cs="Times New Roman"/>
                <w:kern w:val="0"/>
                <w:sz w:val="21"/>
                <w:szCs w:val="21"/>
                <w:lang w:eastAsia="zh-CN"/>
              </w:rPr>
              <w:t>及时送烧结车间配料</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eastAsia="宋体" w:cs="Times New Roman"/>
                <w:kern w:val="0"/>
                <w:sz w:val="21"/>
                <w:szCs w:val="21"/>
              </w:rPr>
              <w:t>/</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切头尾等轧废</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及时</w:t>
            </w:r>
            <w:r>
              <w:rPr>
                <w:rFonts w:hint="eastAsia" w:ascii="Times New Roman" w:hAnsi="Times New Roman" w:eastAsia="宋体" w:cs="Times New Roman"/>
                <w:kern w:val="0"/>
                <w:sz w:val="21"/>
                <w:szCs w:val="21"/>
                <w:lang w:eastAsia="zh-CN"/>
              </w:rPr>
              <w:t>返回</w:t>
            </w:r>
            <w:r>
              <w:rPr>
                <w:rFonts w:hint="default" w:ascii="Times New Roman" w:hAnsi="Times New Roman" w:eastAsia="宋体" w:cs="Times New Roman"/>
                <w:kern w:val="0"/>
                <w:sz w:val="21"/>
                <w:szCs w:val="21"/>
              </w:rPr>
              <w:t>炼钢冶炼</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eastAsia="宋体" w:cs="Times New Roman"/>
                <w:kern w:val="0"/>
                <w:sz w:val="21"/>
                <w:szCs w:val="21"/>
              </w:rPr>
              <w:t>/</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球化渣</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及时</w:t>
            </w:r>
            <w:r>
              <w:rPr>
                <w:rFonts w:hint="eastAsia" w:ascii="Times New Roman" w:hAnsi="Times New Roman" w:eastAsia="宋体" w:cs="Times New Roman"/>
                <w:kern w:val="0"/>
                <w:sz w:val="21"/>
                <w:szCs w:val="21"/>
                <w:lang w:eastAsia="zh-CN"/>
              </w:rPr>
              <w:t>返回</w:t>
            </w:r>
            <w:r>
              <w:rPr>
                <w:rFonts w:hint="default" w:ascii="Times New Roman" w:hAnsi="Times New Roman" w:eastAsia="宋体" w:cs="Times New Roman"/>
                <w:kern w:val="0"/>
                <w:sz w:val="21"/>
                <w:szCs w:val="21"/>
              </w:rPr>
              <w:t>铸管熔炼</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7</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eastAsia="宋体" w:cs="Times New Roman"/>
                <w:kern w:val="0"/>
                <w:sz w:val="21"/>
                <w:szCs w:val="21"/>
              </w:rPr>
              <w:t>/</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废轧辊</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及时</w:t>
            </w:r>
            <w:r>
              <w:rPr>
                <w:rFonts w:hint="eastAsia" w:ascii="Times New Roman" w:hAnsi="Times New Roman" w:eastAsia="宋体" w:cs="Times New Roman"/>
                <w:kern w:val="0"/>
                <w:sz w:val="21"/>
                <w:szCs w:val="21"/>
                <w:lang w:eastAsia="zh-CN"/>
              </w:rPr>
              <w:t>返回</w:t>
            </w:r>
            <w:r>
              <w:rPr>
                <w:rFonts w:hint="default" w:ascii="Times New Roman" w:hAnsi="Times New Roman" w:eastAsia="宋体" w:cs="Times New Roman"/>
                <w:kern w:val="0"/>
                <w:sz w:val="21"/>
                <w:szCs w:val="21"/>
              </w:rPr>
              <w:t>轧钢车间熔炼</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eastAsia="宋体" w:cs="Times New Roman"/>
                <w:kern w:val="0"/>
                <w:sz w:val="21"/>
                <w:szCs w:val="21"/>
              </w:rPr>
              <w:t>/</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水泥砂浆</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压滤后送现有固废堆场</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eastAsia="宋体" w:cs="Times New Roman"/>
                <w:kern w:val="0"/>
                <w:sz w:val="21"/>
                <w:szCs w:val="21"/>
              </w:rPr>
              <w:t>/</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溜槽铁</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及时返铸管熔炼</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10</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eastAsia" w:ascii="Times New Roman" w:hAnsi="Times New Roman" w:eastAsia="宋体" w:cs="Times New Roman"/>
                <w:kern w:val="0"/>
                <w:sz w:val="21"/>
                <w:szCs w:val="21"/>
                <w:lang w:val="en-US" w:eastAsia="zh-CN"/>
              </w:rPr>
              <w:t>不含树脂废砂芯</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做建筑材料外售</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1</w:t>
            </w:r>
            <w:r>
              <w:rPr>
                <w:rFonts w:hint="eastAsia" w:ascii="Times New Roman" w:hAnsi="Times New Roman" w:eastAsia="宋体" w:cs="Times New Roman"/>
                <w:kern w:val="0"/>
                <w:sz w:val="21"/>
                <w:szCs w:val="21"/>
                <w:lang w:val="en-US" w:eastAsia="zh-CN"/>
              </w:rPr>
              <w:t>1</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综合料场</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焦粉和煤尘</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综合料场</w:t>
            </w:r>
            <w:r>
              <w:rPr>
                <w:rFonts w:hint="eastAsia" w:ascii="Times New Roman" w:hAnsi="Times New Roman" w:eastAsia="宋体" w:cs="Times New Roman"/>
                <w:kern w:val="0"/>
                <w:sz w:val="21"/>
                <w:szCs w:val="21"/>
                <w:lang w:eastAsia="zh-CN"/>
              </w:rPr>
              <w:t>西北侧</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2950</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露天（挡风抑尘网、洒水）</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 xml:space="preserve">5000 </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1-2</w:t>
            </w:r>
            <w:r>
              <w:rPr>
                <w:rFonts w:hint="eastAsia" w:ascii="Times New Roman" w:hAnsi="Times New Roman" w:eastAsia="宋体" w:cs="Times New Roman"/>
                <w:kern w:val="0"/>
                <w:sz w:val="21"/>
                <w:szCs w:val="21"/>
                <w:lang w:eastAsia="zh-CN"/>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12</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水处理污泥</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及时送烧结车间配料</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1</w:t>
            </w:r>
            <w:r>
              <w:rPr>
                <w:rFonts w:hint="eastAsia" w:ascii="Times New Roman" w:hAnsi="Times New Roman" w:eastAsia="宋体" w:cs="Times New Roman"/>
                <w:kern w:val="0"/>
                <w:sz w:val="21"/>
                <w:szCs w:val="21"/>
                <w:lang w:val="en-US" w:eastAsia="zh-CN"/>
              </w:rPr>
              <w:t>3</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eastAsia" w:ascii="Times New Roman" w:hAnsi="Times New Roman" w:cs="Times New Roman"/>
                <w:sz w:val="21"/>
                <w:szCs w:val="21"/>
                <w:lang w:eastAsia="zh-CN"/>
              </w:rPr>
              <w:t>综合料场</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废耐火材料等工业垃圾</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lang w:eastAsia="zh-CN"/>
              </w:rPr>
              <w:t>综合料场</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2000</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露天（挡风抑尘网、洒水）</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300</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3</w:t>
            </w:r>
            <w:r>
              <w:rPr>
                <w:rFonts w:hint="eastAsia" w:ascii="Times New Roman" w:hAnsi="Times New Roman" w:eastAsia="宋体" w:cs="Times New Roman"/>
                <w:kern w:val="0"/>
                <w:sz w:val="21"/>
                <w:szCs w:val="21"/>
                <w:lang w:eastAsia="zh-CN"/>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rPr>
              <w:t>1</w:t>
            </w:r>
            <w:r>
              <w:rPr>
                <w:rFonts w:hint="eastAsia" w:ascii="Times New Roman" w:hAnsi="Times New Roman" w:eastAsia="宋体" w:cs="Times New Roman"/>
                <w:kern w:val="0"/>
                <w:sz w:val="21"/>
                <w:szCs w:val="21"/>
                <w:lang w:val="en-US" w:eastAsia="zh-CN"/>
              </w:rPr>
              <w:t>4</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钢渣暂存处</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钢渣</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eastAsia" w:ascii="Times New Roman" w:hAnsi="Times New Roman" w:eastAsia="宋体" w:cs="Times New Roman"/>
                <w:kern w:val="0"/>
                <w:sz w:val="21"/>
                <w:szCs w:val="21"/>
                <w:lang w:eastAsia="zh-CN"/>
              </w:rPr>
              <w:t>炼钢车间</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2000</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半封闭</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7500</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1</w:t>
            </w:r>
            <w:r>
              <w:rPr>
                <w:rFonts w:hint="eastAsia" w:ascii="Times New Roman" w:hAnsi="Times New Roman" w:eastAsia="宋体" w:cs="Times New Roman"/>
                <w:kern w:val="0"/>
                <w:sz w:val="21"/>
                <w:szCs w:val="21"/>
                <w:lang w:eastAsia="zh-CN"/>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1</w:t>
            </w:r>
            <w:r>
              <w:rPr>
                <w:rFonts w:hint="eastAsia" w:ascii="Times New Roman" w:hAnsi="Times New Roman" w:eastAsia="宋体" w:cs="Times New Roman"/>
                <w:kern w:val="0"/>
                <w:sz w:val="21"/>
                <w:szCs w:val="21"/>
                <w:lang w:val="en-US" w:eastAsia="zh-CN"/>
              </w:rPr>
              <w:t>5</w:t>
            </w:r>
          </w:p>
        </w:tc>
        <w:tc>
          <w:tcPr>
            <w:tcW w:w="113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脱硫渣</w:t>
            </w:r>
            <w:r>
              <w:rPr>
                <w:rFonts w:hint="eastAsia" w:cs="Times New Roman"/>
                <w:sz w:val="21"/>
                <w:szCs w:val="21"/>
                <w:lang w:eastAsia="zh-CN"/>
              </w:rPr>
              <w:t>暂存间</w:t>
            </w:r>
          </w:p>
        </w:tc>
        <w:tc>
          <w:tcPr>
            <w:tcW w:w="1344"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rPr>
            </w:pPr>
            <w:r>
              <w:rPr>
                <w:rFonts w:hint="default" w:ascii="Times New Roman" w:hAnsi="Times New Roman" w:cs="Times New Roman"/>
                <w:sz w:val="21"/>
                <w:szCs w:val="21"/>
              </w:rPr>
              <w:t>烧结脱硫渣</w:t>
            </w:r>
          </w:p>
        </w:tc>
        <w:tc>
          <w:tcPr>
            <w:tcW w:w="1296"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烧结车间</w:t>
            </w:r>
          </w:p>
        </w:tc>
        <w:tc>
          <w:tcPr>
            <w:tcW w:w="1145"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50</w:t>
            </w:r>
          </w:p>
        </w:tc>
        <w:tc>
          <w:tcPr>
            <w:tcW w:w="159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eastAsia" w:ascii="Times New Roman" w:hAnsi="Times New Roman" w:eastAsia="宋体" w:cs="Times New Roman"/>
                <w:kern w:val="0"/>
                <w:sz w:val="21"/>
                <w:szCs w:val="21"/>
                <w:lang w:eastAsia="zh-CN"/>
              </w:rPr>
              <w:t>全</w:t>
            </w:r>
            <w:r>
              <w:rPr>
                <w:rFonts w:hint="default" w:ascii="Times New Roman" w:hAnsi="Times New Roman" w:eastAsia="宋体" w:cs="Times New Roman"/>
                <w:kern w:val="0"/>
                <w:sz w:val="21"/>
                <w:szCs w:val="21"/>
              </w:rPr>
              <w:t>密闭库</w:t>
            </w:r>
          </w:p>
        </w:tc>
        <w:tc>
          <w:tcPr>
            <w:tcW w:w="1053"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200</w:t>
            </w:r>
          </w:p>
        </w:tc>
        <w:tc>
          <w:tcPr>
            <w:tcW w:w="839"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4-5</w:t>
            </w:r>
            <w:r>
              <w:rPr>
                <w:rFonts w:hint="eastAsia" w:ascii="Times New Roman" w:hAnsi="Times New Roman" w:eastAsia="宋体" w:cs="Times New Roman"/>
                <w:kern w:val="0"/>
                <w:sz w:val="21"/>
                <w:szCs w:val="21"/>
                <w:lang w:eastAsia="zh-CN"/>
              </w:rPr>
              <w:t>天</w:t>
            </w:r>
          </w:p>
        </w:tc>
      </w:tr>
    </w:tbl>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（4）运输</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原料通过货船运至</w:t>
      </w:r>
      <w:r>
        <w:rPr>
          <w:rFonts w:ascii="Times New Roman" w:hAnsi="Times New Roman" w:eastAsia="宋体" w:cs="Times New Roman"/>
          <w:sz w:val="24"/>
          <w:szCs w:val="24"/>
        </w:rPr>
        <w:t>码头来料输入接口，通过火车受卸设施和汽车受料设施运至一次料场；产品通过汽车和火车运输。</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3.1.4厂区</w:t>
      </w:r>
      <w:r>
        <w:rPr>
          <w:rFonts w:hint="eastAsia" w:ascii="Times New Roman" w:hAnsi="Times New Roman" w:eastAsia="黑体" w:cs="Times New Roman"/>
          <w:sz w:val="24"/>
          <w:szCs w:val="24"/>
          <w:lang w:eastAsia="zh-CN"/>
        </w:rPr>
        <w:t>现有</w:t>
      </w:r>
      <w:r>
        <w:rPr>
          <w:rFonts w:ascii="Times New Roman" w:hAnsi="Times New Roman" w:eastAsia="黑体" w:cs="Times New Roman"/>
          <w:sz w:val="24"/>
          <w:szCs w:val="24"/>
        </w:rPr>
        <w:t>主要生产设备</w:t>
      </w:r>
    </w:p>
    <w:p>
      <w:pPr>
        <w:pStyle w:val="2"/>
        <w:keepNext w:val="0"/>
        <w:keepLines w:val="0"/>
        <w:pageBreakBefore w:val="0"/>
        <w:kinsoku/>
        <w:wordWrap/>
        <w:bidi w:val="0"/>
        <w:snapToGrid/>
        <w:spacing w:after="0" w:line="360" w:lineRule="auto"/>
        <w:ind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eastAsia="zh-CN"/>
        </w:rPr>
        <w:t>厂区现有主要生产设备见下表所示。</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表3.1-</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 xml:space="preserve">  现有厂区主要生产设备一览表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2"/>
        <w:gridCol w:w="1295"/>
        <w:gridCol w:w="2539"/>
        <w:gridCol w:w="850"/>
        <w:gridCol w:w="864"/>
        <w:gridCol w:w="27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b/>
                <w:color w:val="auto"/>
                <w:kern w:val="0"/>
                <w:szCs w:val="21"/>
              </w:rPr>
            </w:pPr>
            <w:r>
              <w:rPr>
                <w:rFonts w:hint="eastAsia" w:ascii="Times New Roman" w:hAnsi="Times New Roman" w:eastAsia="宋体"/>
                <w:b/>
                <w:color w:val="auto"/>
                <w:kern w:val="0"/>
                <w:szCs w:val="21"/>
              </w:rPr>
              <w:t>序号</w:t>
            </w:r>
          </w:p>
        </w:tc>
        <w:tc>
          <w:tcPr>
            <w:tcW w:w="1295" w:type="dxa"/>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eastAsia="宋体"/>
                <w:b/>
                <w:color w:val="auto"/>
                <w:kern w:val="0"/>
                <w:szCs w:val="21"/>
              </w:rPr>
            </w:pPr>
            <w:r>
              <w:rPr>
                <w:rFonts w:hint="eastAsia" w:ascii="Times New Roman" w:hAnsi="Times New Roman" w:eastAsia="宋体"/>
                <w:b/>
                <w:color w:val="auto"/>
                <w:kern w:val="0"/>
                <w:szCs w:val="21"/>
              </w:rPr>
              <w:t>车间名称</w:t>
            </w:r>
          </w:p>
        </w:tc>
        <w:tc>
          <w:tcPr>
            <w:tcW w:w="2539" w:type="dxa"/>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eastAsia="宋体"/>
                <w:b/>
                <w:color w:val="auto"/>
                <w:kern w:val="0"/>
                <w:szCs w:val="21"/>
              </w:rPr>
            </w:pPr>
            <w:r>
              <w:rPr>
                <w:rFonts w:hint="eastAsia" w:ascii="Times New Roman" w:hAnsi="Times New Roman" w:eastAsia="宋体"/>
                <w:b/>
                <w:color w:val="auto"/>
                <w:kern w:val="0"/>
                <w:szCs w:val="21"/>
              </w:rPr>
              <w:t>设备名称</w:t>
            </w:r>
          </w:p>
        </w:tc>
        <w:tc>
          <w:tcPr>
            <w:tcW w:w="850" w:type="dxa"/>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eastAsia="宋体"/>
                <w:b/>
                <w:color w:val="auto"/>
                <w:kern w:val="0"/>
                <w:szCs w:val="21"/>
              </w:rPr>
            </w:pPr>
            <w:r>
              <w:rPr>
                <w:rFonts w:hint="eastAsia" w:ascii="Times New Roman" w:hAnsi="Times New Roman" w:eastAsia="宋体"/>
                <w:b/>
                <w:color w:val="auto"/>
                <w:kern w:val="0"/>
                <w:szCs w:val="21"/>
              </w:rPr>
              <w:t>单位</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b/>
                <w:color w:val="auto"/>
                <w:kern w:val="0"/>
                <w:szCs w:val="21"/>
              </w:rPr>
            </w:pPr>
            <w:r>
              <w:rPr>
                <w:rFonts w:hint="eastAsia" w:ascii="Times New Roman" w:hAnsi="Times New Roman" w:eastAsia="宋体"/>
                <w:b/>
                <w:color w:val="auto"/>
                <w:kern w:val="0"/>
                <w:szCs w:val="21"/>
              </w:rPr>
              <w:t>数量</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b/>
                <w:color w:val="auto"/>
                <w:kern w:val="0"/>
                <w:szCs w:val="21"/>
              </w:rPr>
            </w:pPr>
            <w:r>
              <w:rPr>
                <w:rFonts w:hint="eastAsia" w:ascii="Times New Roman" w:hAnsi="Times New Roman" w:eastAsia="宋体"/>
                <w:b/>
                <w:color w:val="auto"/>
                <w:kern w:val="0"/>
                <w:szCs w:val="21"/>
              </w:rPr>
              <w:t>规格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1295"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宋体" w:hAnsi="宋体" w:eastAsia="宋体" w:cs="Times New Roman"/>
                <w:color w:val="auto"/>
                <w:kern w:val="0"/>
                <w:szCs w:val="21"/>
              </w:rPr>
            </w:pPr>
            <w:r>
              <w:rPr>
                <w:rFonts w:ascii="宋体" w:hAnsi="宋体" w:eastAsia="宋体" w:cs="Times New Roman"/>
                <w:color w:val="auto"/>
              </w:rPr>
              <w:t>原料场</w:t>
            </w:r>
          </w:p>
        </w:tc>
        <w:tc>
          <w:tcPr>
            <w:tcW w:w="2539"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rPr>
            </w:pPr>
            <w:r>
              <w:rPr>
                <w:color w:val="auto"/>
              </w:rPr>
              <w:t>卸车机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rPr>
            </w:pPr>
            <w:r>
              <w:rPr>
                <w:rFonts w:hint="eastAsia"/>
                <w:color w:val="auto"/>
              </w:rPr>
              <w:t>4</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rPr>
            </w:pPr>
            <w:r>
              <w:rPr>
                <w:color w:val="auto"/>
              </w:rPr>
              <w:t>堆取料机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rPr>
            </w:pPr>
            <w:r>
              <w:rPr>
                <w:rFonts w:hint="eastAsia"/>
                <w:color w:val="auto"/>
              </w:rPr>
              <w:t>4</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1295"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焦化车间</w:t>
            </w: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焦炉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58</w:t>
            </w:r>
            <w:r>
              <w:rPr>
                <w:rFonts w:hint="eastAsia" w:ascii="Times New Roman" w:hAnsi="Times New Roman" w:eastAsia="宋体"/>
                <w:color w:val="auto"/>
                <w:kern w:val="0"/>
                <w:szCs w:val="21"/>
              </w:rPr>
              <w:t>孔</w:t>
            </w:r>
            <w:r>
              <w:rPr>
                <w:rFonts w:ascii="Times New Roman" w:hAnsi="Times New Roman" w:eastAsia="宋体"/>
                <w:color w:val="auto"/>
                <w:kern w:val="0"/>
                <w:szCs w:val="21"/>
              </w:rPr>
              <w:t>6m</w:t>
            </w:r>
            <w:r>
              <w:rPr>
                <w:rFonts w:hint="eastAsia" w:ascii="Times New Roman" w:hAnsi="Times New Roman" w:eastAsia="宋体"/>
                <w:color w:val="auto"/>
                <w:kern w:val="0"/>
                <w:szCs w:val="21"/>
              </w:rPr>
              <w:t>焦炉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干熄焦装置</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150t/h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冷凝鼓风系统</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按焦炉配套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硫铵系统</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按焦炉配套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粗苯系统</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按焦炉配套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油库系统</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按焦炉配套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备煤系统</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按焦炉配套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废水处理系统</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100m</w:t>
            </w:r>
            <w:r>
              <w:rPr>
                <w:rFonts w:hint="eastAsia" w:ascii="Times New Roman" w:hAnsi="Times New Roman" w:eastAsia="宋体"/>
                <w:color w:val="auto"/>
                <w:kern w:val="0"/>
                <w:szCs w:val="21"/>
                <w:vertAlign w:val="superscript"/>
                <w:lang w:val="en-US" w:eastAsia="zh-CN"/>
              </w:rPr>
              <w:t>3</w:t>
            </w:r>
            <w:r>
              <w:rPr>
                <w:rFonts w:hint="eastAsia" w:ascii="Times New Roman" w:hAnsi="Times New Roman" w:eastAsia="宋体"/>
                <w:color w:val="auto"/>
                <w:kern w:val="0"/>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3</w:t>
            </w:r>
          </w:p>
        </w:tc>
        <w:tc>
          <w:tcPr>
            <w:tcW w:w="1295"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烧结车间</w:t>
            </w: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烧结机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Times New Roman"/>
                <w:color w:val="auto"/>
                <w:kern w:val="0"/>
                <w:szCs w:val="21"/>
              </w:rPr>
            </w:pPr>
            <w:r>
              <w:rPr>
                <w:rFonts w:ascii="Times New Roman" w:hAnsi="Times New Roman" w:eastAsia="宋体" w:cs="Times New Roman"/>
                <w:color w:val="auto"/>
              </w:rPr>
              <w:t>265m</w:t>
            </w:r>
            <w:r>
              <w:rPr>
                <w:rFonts w:ascii="Times New Roman" w:hAnsi="Times New Roman" w:eastAsia="宋体" w:cs="Times New Roman"/>
                <w:color w:val="auto"/>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配料系统</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Times New Roman"/>
                <w:color w:val="auto"/>
              </w:rPr>
            </w:pPr>
            <w:r>
              <w:rPr>
                <w:rFonts w:hint="eastAsia" w:ascii="Times New Roman" w:hAnsi="Times New Roman" w:eastAsia="宋体"/>
                <w:color w:val="auto"/>
              </w:rPr>
              <w:t>44</w:t>
            </w:r>
            <w:r>
              <w:rPr>
                <w:rFonts w:ascii="Times New Roman" w:hAnsi="Times New Roman" w:eastAsia="宋体"/>
                <w:color w:val="auto"/>
              </w:rPr>
              <w:t>个Ø2</w:t>
            </w:r>
            <w:r>
              <w:rPr>
                <w:rFonts w:hint="eastAsia" w:ascii="Times New Roman" w:hAnsi="Times New Roman" w:eastAsia="宋体"/>
                <w:color w:val="auto"/>
              </w:rPr>
              <w:t>6</w:t>
            </w:r>
            <w:r>
              <w:rPr>
                <w:rFonts w:ascii="Times New Roman" w:hAnsi="Times New Roman" w:eastAsia="宋体"/>
                <w:color w:val="auto"/>
              </w:rPr>
              <w:t>00圆盘给料</w:t>
            </w:r>
            <w:r>
              <w:rPr>
                <w:rFonts w:hint="eastAsia" w:ascii="Times New Roman" w:hAnsi="Times New Roman" w:eastAsia="宋体"/>
                <w:color w:val="auto"/>
              </w:rPr>
              <w:t>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混合系统</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Times New Roman"/>
                <w:color w:val="auto"/>
              </w:rPr>
            </w:pPr>
            <w:r>
              <w:rPr>
                <w:rFonts w:hint="eastAsia" w:ascii="Times New Roman" w:hAnsi="Times New Roman" w:eastAsia="宋体" w:cs="Times New Roman"/>
                <w:color w:val="auto"/>
              </w:rPr>
              <w:t>混合机4台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color w:val="auto"/>
              </w:rPr>
              <w:t>环冷机</w:t>
            </w:r>
          </w:p>
        </w:tc>
        <w:tc>
          <w:tcPr>
            <w:tcW w:w="850"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rFonts w:hint="eastAsia"/>
                <w:color w:val="auto"/>
                <w:szCs w:val="21"/>
              </w:rPr>
              <w:t>台</w:t>
            </w:r>
          </w:p>
        </w:tc>
        <w:tc>
          <w:tcPr>
            <w:tcW w:w="864"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color w:val="auto"/>
              </w:rPr>
              <w:t>2</w:t>
            </w:r>
          </w:p>
        </w:tc>
        <w:tc>
          <w:tcPr>
            <w:tcW w:w="2722"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rPr>
            </w:pPr>
            <w:r>
              <w:rPr>
                <w:rFonts w:hint="eastAsia"/>
                <w:color w:val="auto"/>
              </w:rPr>
              <w:t>320</w:t>
            </w:r>
            <w:r>
              <w:rPr>
                <w:color w:val="auto"/>
              </w:rPr>
              <w:t>m</w:t>
            </w:r>
            <w:r>
              <w:rPr>
                <w:color w:val="auto"/>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rFonts w:hint="eastAsia"/>
                <w:color w:val="auto"/>
              </w:rPr>
              <w:t>一</w:t>
            </w:r>
            <w:r>
              <w:rPr>
                <w:color w:val="auto"/>
              </w:rPr>
              <w:t>次冷矿振动筛</w:t>
            </w:r>
          </w:p>
        </w:tc>
        <w:tc>
          <w:tcPr>
            <w:tcW w:w="850"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rFonts w:hint="eastAsia"/>
                <w:color w:val="auto"/>
                <w:szCs w:val="21"/>
              </w:rPr>
              <w:t>台</w:t>
            </w:r>
          </w:p>
        </w:tc>
        <w:tc>
          <w:tcPr>
            <w:tcW w:w="864"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color w:val="auto"/>
              </w:rPr>
              <w:t>3</w:t>
            </w:r>
          </w:p>
        </w:tc>
        <w:tc>
          <w:tcPr>
            <w:tcW w:w="2722"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rPr>
            </w:pPr>
            <w:r>
              <w:rPr>
                <w:rFonts w:hint="eastAsia"/>
                <w:color w:val="auto"/>
              </w:rPr>
              <w:t>LHBJ150×700-III</w:t>
            </w:r>
          </w:p>
          <w:p>
            <w:pPr>
              <w:pStyle w:val="41"/>
              <w:keepNext w:val="0"/>
              <w:keepLines w:val="0"/>
              <w:pageBreakBefore w:val="0"/>
              <w:kinsoku/>
              <w:wordWrap/>
              <w:overflowPunct/>
              <w:topLinePunct w:val="0"/>
              <w:autoSpaceDE/>
              <w:autoSpaceDN/>
              <w:bidi w:val="0"/>
              <w:adjustRightInd/>
              <w:snapToGrid/>
              <w:spacing w:line="240" w:lineRule="auto"/>
              <w:rPr>
                <w:color w:val="auto"/>
              </w:rPr>
            </w:pPr>
            <w:r>
              <w:rPr>
                <w:rFonts w:hint="eastAsia"/>
                <w:color w:val="auto"/>
              </w:rPr>
              <w:t>700t/h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rFonts w:hint="eastAsia"/>
                <w:color w:val="auto"/>
              </w:rPr>
              <w:t>二</w:t>
            </w:r>
            <w:r>
              <w:rPr>
                <w:color w:val="auto"/>
              </w:rPr>
              <w:t>次冷矿振动筛</w:t>
            </w:r>
          </w:p>
        </w:tc>
        <w:tc>
          <w:tcPr>
            <w:tcW w:w="850"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rFonts w:hint="eastAsia"/>
                <w:color w:val="auto"/>
                <w:szCs w:val="21"/>
              </w:rPr>
              <w:t>台</w:t>
            </w:r>
          </w:p>
        </w:tc>
        <w:tc>
          <w:tcPr>
            <w:tcW w:w="864"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color w:val="auto"/>
              </w:rPr>
              <w:t>3</w:t>
            </w:r>
          </w:p>
        </w:tc>
        <w:tc>
          <w:tcPr>
            <w:tcW w:w="2722"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rPr>
            </w:pPr>
            <w:r>
              <w:rPr>
                <w:rFonts w:hint="eastAsia"/>
                <w:color w:val="auto"/>
              </w:rPr>
              <w:t>LHBJ150×700-III</w:t>
            </w:r>
          </w:p>
          <w:p>
            <w:pPr>
              <w:pStyle w:val="41"/>
              <w:keepNext w:val="0"/>
              <w:keepLines w:val="0"/>
              <w:pageBreakBefore w:val="0"/>
              <w:kinsoku/>
              <w:wordWrap/>
              <w:overflowPunct/>
              <w:topLinePunct w:val="0"/>
              <w:autoSpaceDE/>
              <w:autoSpaceDN/>
              <w:bidi w:val="0"/>
              <w:adjustRightInd/>
              <w:snapToGrid/>
              <w:spacing w:line="240" w:lineRule="auto"/>
              <w:rPr>
                <w:color w:val="auto"/>
              </w:rPr>
            </w:pPr>
            <w:r>
              <w:rPr>
                <w:rFonts w:hint="eastAsia"/>
                <w:color w:val="auto"/>
              </w:rPr>
              <w:t>700</w:t>
            </w:r>
            <w:r>
              <w:rPr>
                <w:color w:val="auto"/>
              </w:rPr>
              <w:t>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rFonts w:hint="eastAsia"/>
                <w:color w:val="auto"/>
              </w:rPr>
              <w:t>三</w:t>
            </w:r>
            <w:r>
              <w:rPr>
                <w:color w:val="auto"/>
              </w:rPr>
              <w:t>次冷矿振动筛</w:t>
            </w:r>
          </w:p>
        </w:tc>
        <w:tc>
          <w:tcPr>
            <w:tcW w:w="850"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rFonts w:hint="eastAsia"/>
                <w:color w:val="auto"/>
                <w:szCs w:val="21"/>
              </w:rPr>
              <w:t>台</w:t>
            </w:r>
          </w:p>
        </w:tc>
        <w:tc>
          <w:tcPr>
            <w:tcW w:w="864"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szCs w:val="21"/>
              </w:rPr>
            </w:pPr>
            <w:r>
              <w:rPr>
                <w:color w:val="auto"/>
              </w:rPr>
              <w:t>3</w:t>
            </w:r>
          </w:p>
        </w:tc>
        <w:tc>
          <w:tcPr>
            <w:tcW w:w="2722" w:type="dxa"/>
            <w:vAlign w:val="center"/>
          </w:tcPr>
          <w:p>
            <w:pPr>
              <w:pStyle w:val="41"/>
              <w:keepNext w:val="0"/>
              <w:keepLines w:val="0"/>
              <w:pageBreakBefore w:val="0"/>
              <w:kinsoku/>
              <w:wordWrap/>
              <w:overflowPunct/>
              <w:topLinePunct w:val="0"/>
              <w:autoSpaceDE/>
              <w:autoSpaceDN/>
              <w:bidi w:val="0"/>
              <w:adjustRightInd/>
              <w:snapToGrid/>
              <w:spacing w:line="240" w:lineRule="auto"/>
              <w:rPr>
                <w:color w:val="auto"/>
              </w:rPr>
            </w:pPr>
            <w:r>
              <w:rPr>
                <w:rFonts w:hint="eastAsia"/>
                <w:color w:val="auto"/>
              </w:rPr>
              <w:t>LHBJ150×600-III</w:t>
            </w:r>
          </w:p>
          <w:p>
            <w:pPr>
              <w:pStyle w:val="41"/>
              <w:keepNext w:val="0"/>
              <w:keepLines w:val="0"/>
              <w:pageBreakBefore w:val="0"/>
              <w:kinsoku/>
              <w:wordWrap/>
              <w:overflowPunct/>
              <w:topLinePunct w:val="0"/>
              <w:autoSpaceDE/>
              <w:autoSpaceDN/>
              <w:bidi w:val="0"/>
              <w:adjustRightInd/>
              <w:snapToGrid/>
              <w:spacing w:line="240" w:lineRule="auto"/>
              <w:rPr>
                <w:color w:val="auto"/>
              </w:rPr>
            </w:pPr>
            <w:r>
              <w:rPr>
                <w:rFonts w:hint="eastAsia"/>
                <w:color w:val="auto"/>
              </w:rPr>
              <w:t>600t/h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4</w:t>
            </w:r>
          </w:p>
        </w:tc>
        <w:tc>
          <w:tcPr>
            <w:tcW w:w="1295"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炼铁车间</w:t>
            </w: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高炉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Times New Roman"/>
                <w:color w:val="auto"/>
                <w:kern w:val="0"/>
                <w:szCs w:val="21"/>
              </w:rPr>
            </w:pPr>
            <w:r>
              <w:rPr>
                <w:rFonts w:ascii="Times New Roman" w:hAnsi="Times New Roman" w:eastAsia="宋体" w:cs="Times New Roman"/>
                <w:color w:val="auto"/>
              </w:rPr>
              <w:t>1280m</w:t>
            </w:r>
            <w:r>
              <w:rPr>
                <w:rFonts w:ascii="Times New Roman" w:hAnsi="Times New Roman" w:eastAsia="宋体" w:cs="Times New Roman"/>
                <w:color w:val="auto"/>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中速磨</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Times New Roman"/>
                <w:color w:val="auto"/>
              </w:rPr>
            </w:pPr>
            <w:r>
              <w:rPr>
                <w:rFonts w:hint="eastAsia" w:ascii="Times New Roman" w:hAnsi="Times New Roman" w:eastAsia="宋体"/>
                <w:color w:val="auto"/>
                <w:kern w:val="0"/>
                <w:szCs w:val="21"/>
              </w:rPr>
              <w:t>45t/h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铸铁机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Times New Roman"/>
                <w:color w:val="auto"/>
              </w:rPr>
            </w:pPr>
            <w:r>
              <w:rPr>
                <w:rFonts w:hint="eastAsia" w:ascii="Times New Roman" w:hAnsi="Times New Roman" w:eastAsia="宋体"/>
                <w:color w:val="auto"/>
                <w:kern w:val="0"/>
                <w:szCs w:val="21"/>
              </w:rPr>
              <w:t>300t/h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堆取料机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4</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textAlignment w:val="center"/>
              <w:rPr>
                <w:rFonts w:ascii="Times New Roman" w:hAnsi="Times New Roman" w:eastAsia="宋体" w:cs="Times New Roman"/>
                <w:color w:val="auto"/>
              </w:rPr>
            </w:pPr>
            <w:r>
              <w:rPr>
                <w:rFonts w:hint="eastAsia" w:ascii="Times New Roman" w:hAnsi="Times New Roman" w:eastAsia="宋体" w:cs="宋体"/>
                <w:color w:val="auto"/>
                <w:kern w:val="0"/>
                <w:szCs w:val="24"/>
              </w:rPr>
              <w:t>1200/200*40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5</w:t>
            </w:r>
          </w:p>
        </w:tc>
        <w:tc>
          <w:tcPr>
            <w:tcW w:w="1295"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球墨铸铁车间</w:t>
            </w: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混铁炉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300t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工频电炉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8</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15t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水冷离心机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7</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热模法离心机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水冷退火炉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DN80-1200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热模退火炉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4</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DN1200-2600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水冷涂衬机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DN80-1200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热模涂衬机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DN1200-2600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水冷水压机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DN80-1200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热模水压机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DN1200-2600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水冷喷锌机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DN80-1200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热模喷锌机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DN1200-2600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水冷养生炉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DN80-1200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热模养生炉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DN1200-2600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水冷内磨机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DN80-1200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热模内磨机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DN1200-2600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水冷包装线</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DN80-1200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热模包装线</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DN1200-2600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水冷制芯机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5</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DN80-1200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热模制芯机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DN1200-2600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6</w:t>
            </w:r>
          </w:p>
        </w:tc>
        <w:tc>
          <w:tcPr>
            <w:tcW w:w="1295"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炼钢车间</w:t>
            </w: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转炉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120t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lang w:eastAsia="zh-CN"/>
              </w:rPr>
              <w:t>钢包精炼炉（</w:t>
            </w:r>
            <w:r>
              <w:rPr>
                <w:rFonts w:ascii="Times New Roman" w:hAnsi="Times New Roman" w:eastAsia="宋体"/>
                <w:color w:val="auto"/>
                <w:kern w:val="0"/>
                <w:szCs w:val="21"/>
              </w:rPr>
              <w:t>LF</w:t>
            </w:r>
            <w:r>
              <w:rPr>
                <w:rFonts w:hint="eastAsia" w:ascii="Times New Roman" w:hAnsi="Times New Roman" w:eastAsia="宋体"/>
                <w:color w:val="auto"/>
                <w:kern w:val="0"/>
                <w:szCs w:val="21"/>
              </w:rPr>
              <w:t>炉</w:t>
            </w:r>
            <w:r>
              <w:rPr>
                <w:rFonts w:hint="eastAsia" w:ascii="Times New Roman" w:hAnsi="Times New Roman" w:eastAsia="宋体"/>
                <w:color w:val="auto"/>
                <w:kern w:val="0"/>
                <w:szCs w:val="21"/>
                <w:lang w:eastAsia="zh-CN"/>
              </w:rPr>
              <w:t>）</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120t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olor w:val="auto"/>
                <w:kern w:val="0"/>
                <w:szCs w:val="21"/>
                <w:lang w:val="en-US" w:eastAsia="zh-CN"/>
              </w:rPr>
            </w:pPr>
            <w:r>
              <w:rPr>
                <w:rFonts w:hint="eastAsia" w:ascii="Times New Roman" w:hAnsi="Times New Roman" w:eastAsia="宋体"/>
                <w:color w:val="auto"/>
                <w:kern w:val="0"/>
                <w:szCs w:val="21"/>
              </w:rPr>
              <w:t>真空精炼</w:t>
            </w:r>
            <w:r>
              <w:rPr>
                <w:rFonts w:hint="eastAsia" w:ascii="Times New Roman" w:hAnsi="Times New Roman" w:eastAsia="宋体"/>
                <w:color w:val="auto"/>
                <w:kern w:val="0"/>
                <w:szCs w:val="21"/>
                <w:lang w:eastAsia="zh-CN"/>
              </w:rPr>
              <w:t>炉（</w:t>
            </w:r>
            <w:r>
              <w:rPr>
                <w:rFonts w:hint="eastAsia" w:ascii="Times New Roman" w:hAnsi="Times New Roman" w:eastAsia="宋体"/>
                <w:color w:val="auto"/>
                <w:kern w:val="0"/>
                <w:szCs w:val="21"/>
                <w:lang w:val="en-US" w:eastAsia="zh-CN"/>
              </w:rPr>
              <w:t>RH炉</w:t>
            </w:r>
            <w:r>
              <w:rPr>
                <w:rFonts w:hint="eastAsia" w:ascii="Times New Roman" w:hAnsi="Times New Roman" w:eastAsia="宋体"/>
                <w:color w:val="auto"/>
                <w:kern w:val="0"/>
                <w:szCs w:val="21"/>
                <w:lang w:eastAsia="zh-CN"/>
              </w:rPr>
              <w:t>）</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120t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方坯连铸机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10</w:t>
            </w:r>
            <w:r>
              <w:rPr>
                <w:rFonts w:hint="eastAsia" w:ascii="Times New Roman" w:hAnsi="Times New Roman" w:eastAsia="宋体"/>
                <w:color w:val="auto"/>
                <w:kern w:val="0"/>
                <w:szCs w:val="21"/>
              </w:rPr>
              <w:t>机</w:t>
            </w:r>
            <w:r>
              <w:rPr>
                <w:rFonts w:ascii="Times New Roman" w:hAnsi="Times New Roman" w:eastAsia="宋体"/>
                <w:color w:val="auto"/>
                <w:kern w:val="0"/>
                <w:szCs w:val="21"/>
              </w:rPr>
              <w:t>10</w:t>
            </w:r>
            <w:r>
              <w:rPr>
                <w:rFonts w:hint="eastAsia" w:ascii="Times New Roman" w:hAnsi="Times New Roman" w:eastAsia="宋体"/>
                <w:color w:val="auto"/>
                <w:kern w:val="0"/>
                <w:szCs w:val="21"/>
              </w:rPr>
              <w:t>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圆坯连铸机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4</w:t>
            </w:r>
            <w:r>
              <w:rPr>
                <w:rFonts w:hint="eastAsia" w:ascii="Times New Roman" w:hAnsi="Times New Roman" w:eastAsia="宋体"/>
                <w:color w:val="auto"/>
                <w:kern w:val="0"/>
                <w:szCs w:val="21"/>
              </w:rPr>
              <w:t>机</w:t>
            </w:r>
            <w:r>
              <w:rPr>
                <w:rFonts w:ascii="Times New Roman" w:hAnsi="Times New Roman" w:eastAsia="宋体"/>
                <w:color w:val="auto"/>
                <w:kern w:val="0"/>
                <w:szCs w:val="21"/>
              </w:rPr>
              <w:t>4</w:t>
            </w:r>
            <w:r>
              <w:rPr>
                <w:rFonts w:hint="eastAsia" w:ascii="Times New Roman" w:hAnsi="Times New Roman" w:eastAsia="宋体"/>
                <w:color w:val="auto"/>
                <w:kern w:val="0"/>
                <w:szCs w:val="21"/>
              </w:rPr>
              <w:t>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特殊钢圆坯连铸机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6</w:t>
            </w:r>
            <w:r>
              <w:rPr>
                <w:rFonts w:hint="eastAsia" w:ascii="Times New Roman" w:hAnsi="Times New Roman" w:eastAsia="宋体"/>
                <w:color w:val="auto"/>
                <w:kern w:val="0"/>
                <w:szCs w:val="21"/>
              </w:rPr>
              <w:t>机</w:t>
            </w:r>
            <w:r>
              <w:rPr>
                <w:rFonts w:ascii="Times New Roman" w:hAnsi="Times New Roman" w:eastAsia="宋体"/>
                <w:color w:val="auto"/>
                <w:kern w:val="0"/>
                <w:szCs w:val="21"/>
              </w:rPr>
              <w:t>6</w:t>
            </w:r>
            <w:r>
              <w:rPr>
                <w:rFonts w:hint="eastAsia" w:ascii="Times New Roman" w:hAnsi="Times New Roman" w:eastAsia="宋体"/>
                <w:color w:val="auto"/>
                <w:kern w:val="0"/>
                <w:szCs w:val="21"/>
              </w:rPr>
              <w:t>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精炼及地下料仓除尘风机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2240kw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转炉二次除尘风机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2000</w:t>
            </w:r>
            <w:r>
              <w:rPr>
                <w:rFonts w:hint="eastAsia" w:ascii="Times New Roman" w:hAnsi="Times New Roman" w:eastAsia="宋体"/>
                <w:color w:val="auto"/>
              </w:rPr>
              <w:t>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转炉屋顶除尘风机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1600</w:t>
            </w:r>
            <w:r>
              <w:rPr>
                <w:rFonts w:hint="eastAsia" w:ascii="Times New Roman" w:hAnsi="Times New Roman" w:eastAsia="宋体"/>
                <w:color w:val="auto"/>
              </w:rPr>
              <w:t>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铁水预处理除尘风机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1400</w:t>
            </w:r>
            <w:r>
              <w:rPr>
                <w:rFonts w:hint="eastAsia" w:ascii="Times New Roman" w:hAnsi="Times New Roman" w:eastAsia="宋体"/>
                <w:color w:val="auto"/>
              </w:rPr>
              <w:t>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7</w:t>
            </w:r>
          </w:p>
        </w:tc>
        <w:tc>
          <w:tcPr>
            <w:tcW w:w="1295"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石灰窑</w:t>
            </w: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回转窑</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400t/d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8</w:t>
            </w:r>
          </w:p>
        </w:tc>
        <w:tc>
          <w:tcPr>
            <w:tcW w:w="1295"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发电站</w:t>
            </w: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高温高压全燃煤气锅炉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130t/h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鼓风机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4</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88922m³/h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引风机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4</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185650m³/h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抽凝机组</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25MW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hint="eastAsia" w:ascii="Times New Roman" w:hAnsi="Times New Roman" w:eastAsia="宋体"/>
                <w:color w:val="auto"/>
                <w:kern w:val="0"/>
                <w:szCs w:val="21"/>
                <w:lang w:eastAsia="zh-CN"/>
              </w:rPr>
            </w:pPr>
            <w:r>
              <w:rPr>
                <w:rFonts w:hint="eastAsia" w:ascii="Times New Roman" w:hAnsi="Times New Roman" w:eastAsia="宋体"/>
                <w:color w:val="auto"/>
                <w:kern w:val="0"/>
                <w:szCs w:val="21"/>
                <w:lang w:eastAsia="zh-CN"/>
              </w:rPr>
              <w:t>过热炉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60</w:t>
            </w:r>
            <w:r>
              <w:rPr>
                <w:rFonts w:ascii="Times New Roman" w:hAnsi="Times New Roman" w:eastAsia="宋体"/>
                <w:color w:val="auto"/>
                <w:kern w:val="0"/>
                <w:szCs w:val="21"/>
              </w:rPr>
              <w:t>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循环风机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2930m3/h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纯凝机组</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25MW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宋体"/>
                <w:color w:val="auto"/>
                <w:kern w:val="0"/>
                <w:szCs w:val="21"/>
              </w:rPr>
            </w:pPr>
            <w:r>
              <w:rPr>
                <w:rFonts w:hint="eastAsia" w:ascii="Times New Roman" w:hAnsi="Times New Roman" w:eastAsia="宋体"/>
                <w:color w:val="auto"/>
                <w:kern w:val="0"/>
                <w:szCs w:val="21"/>
              </w:rPr>
              <w:t>抽凝式汽轮发电机组</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套</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宋体"/>
                <w:color w:val="auto"/>
                <w:kern w:val="0"/>
                <w:szCs w:val="21"/>
              </w:rPr>
            </w:pPr>
            <w:r>
              <w:rPr>
                <w:rFonts w:ascii="Times New Roman" w:hAnsi="Times New Roman" w:eastAsia="宋体"/>
                <w:color w:val="auto"/>
                <w:kern w:val="0"/>
                <w:szCs w:val="21"/>
              </w:rPr>
              <w:t>3</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宋体"/>
                <w:color w:val="auto"/>
                <w:kern w:val="0"/>
                <w:szCs w:val="21"/>
              </w:rPr>
            </w:pPr>
            <w:r>
              <w:rPr>
                <w:rFonts w:ascii="Times New Roman" w:hAnsi="Times New Roman" w:eastAsia="宋体"/>
                <w:color w:val="auto"/>
                <w:kern w:val="0"/>
                <w:szCs w:val="21"/>
              </w:rPr>
              <w:t>30MW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宋体"/>
                <w:color w:val="auto"/>
                <w:kern w:val="0"/>
                <w:szCs w:val="21"/>
              </w:rPr>
            </w:pPr>
            <w:r>
              <w:rPr>
                <w:rFonts w:hint="eastAsia" w:ascii="Times New Roman" w:hAnsi="Times New Roman" w:eastAsia="宋体"/>
                <w:color w:val="auto"/>
                <w:kern w:val="0"/>
                <w:szCs w:val="21"/>
              </w:rPr>
              <w:t>燃煤气锅炉</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s="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hint="eastAsia" w:ascii="Times New Roman" w:hAnsi="Times New Roman" w:eastAsia="宋体" w:cs="宋体"/>
                <w:color w:val="auto"/>
                <w:kern w:val="0"/>
                <w:szCs w:val="21"/>
                <w:lang w:eastAsia="zh-CN"/>
              </w:rPr>
            </w:pPr>
            <w:r>
              <w:rPr>
                <w:rFonts w:ascii="Times New Roman" w:hAnsi="Times New Roman" w:eastAsia="宋体"/>
                <w:color w:val="auto"/>
                <w:kern w:val="0"/>
                <w:szCs w:val="21"/>
              </w:rPr>
              <w:t>35t/h</w:t>
            </w:r>
            <w:r>
              <w:rPr>
                <w:rFonts w:hint="eastAsia" w:ascii="Times New Roman" w:hAnsi="Times New Roman" w:eastAsia="宋体"/>
                <w:color w:val="auto"/>
                <w:kern w:val="0"/>
                <w:szCs w:val="21"/>
                <w:lang w:eastAsia="zh-CN"/>
              </w:rPr>
              <w:t>（已停用）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9</w:t>
            </w:r>
          </w:p>
        </w:tc>
        <w:tc>
          <w:tcPr>
            <w:tcW w:w="1295"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氧气站</w:t>
            </w:r>
          </w:p>
        </w:tc>
        <w:tc>
          <w:tcPr>
            <w:tcW w:w="2539"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制氧机组</w:t>
            </w:r>
          </w:p>
        </w:tc>
        <w:tc>
          <w:tcPr>
            <w:tcW w:w="850"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组</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15000</w:t>
            </w:r>
            <w:r>
              <w:rPr>
                <w:rFonts w:ascii="Times New Roman" w:hAnsi="Times New Roman" w:eastAsia="宋体" w:cs="Times New Roman"/>
                <w:i/>
                <w:color w:val="auto"/>
              </w:rPr>
              <w:t>N</w:t>
            </w:r>
            <w:r>
              <w:rPr>
                <w:rFonts w:ascii="Times New Roman" w:hAnsi="Times New Roman" w:eastAsia="宋体" w:cs="Times New Roman"/>
                <w:color w:val="auto"/>
              </w:rPr>
              <w:t>m</w:t>
            </w:r>
            <w:r>
              <w:rPr>
                <w:rFonts w:ascii="Times New Roman" w:hAnsi="Times New Roman" w:eastAsia="宋体" w:cs="Times New Roman"/>
                <w:color w:val="auto"/>
                <w:vertAlign w:val="superscript"/>
              </w:rPr>
              <w:t>3</w:t>
            </w:r>
            <w:r>
              <w:rPr>
                <w:rFonts w:ascii="Times New Roman" w:hAnsi="Times New Roman" w:eastAsia="宋体" w:cs="Times New Roman"/>
                <w:color w:val="auto"/>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850"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10000</w:t>
            </w:r>
            <w:r>
              <w:rPr>
                <w:rFonts w:ascii="Times New Roman" w:hAnsi="Times New Roman" w:eastAsia="宋体" w:cs="Times New Roman"/>
                <w:i/>
                <w:color w:val="auto"/>
              </w:rPr>
              <w:t>N</w:t>
            </w:r>
            <w:r>
              <w:rPr>
                <w:rFonts w:ascii="Times New Roman" w:hAnsi="Times New Roman" w:eastAsia="宋体" w:cs="Times New Roman"/>
                <w:color w:val="auto"/>
              </w:rPr>
              <w:t>m</w:t>
            </w:r>
            <w:r>
              <w:rPr>
                <w:rFonts w:ascii="Times New Roman" w:hAnsi="Times New Roman" w:eastAsia="宋体" w:cs="Times New Roman"/>
                <w:color w:val="auto"/>
                <w:vertAlign w:val="superscript"/>
              </w:rPr>
              <w:t>3</w:t>
            </w:r>
            <w:r>
              <w:rPr>
                <w:rFonts w:ascii="Times New Roman" w:hAnsi="Times New Roman" w:eastAsia="宋体" w:cs="Times New Roman"/>
                <w:color w:val="auto"/>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空压机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85000</w:t>
            </w:r>
            <w:r>
              <w:rPr>
                <w:rFonts w:ascii="Times New Roman" w:hAnsi="Times New Roman" w:eastAsia="宋体"/>
                <w:color w:val="auto"/>
              </w:rPr>
              <w:t>m</w:t>
            </w:r>
            <w:r>
              <w:rPr>
                <w:rFonts w:hint="eastAsia" w:ascii="Times New Roman" w:hAnsi="Times New Roman" w:eastAsia="宋体"/>
                <w:color w:val="auto"/>
                <w:vertAlign w:val="superscript"/>
              </w:rPr>
              <w:t>3</w:t>
            </w:r>
            <w:r>
              <w:rPr>
                <w:rFonts w:hint="eastAsia" w:ascii="Times New Roman" w:hAnsi="Times New Roman" w:eastAsia="宋体"/>
                <w:color w:val="auto"/>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氧压机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4</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排气量84m</w:t>
            </w:r>
            <w:r>
              <w:rPr>
                <w:rFonts w:hint="eastAsia" w:ascii="Times New Roman" w:hAnsi="Times New Roman" w:eastAsia="宋体"/>
                <w:color w:val="auto"/>
                <w:vertAlign w:val="superscript"/>
              </w:rPr>
              <w:t>3</w:t>
            </w:r>
            <w:r>
              <w:rPr>
                <w:rFonts w:hint="eastAsia" w:ascii="Times New Roman" w:hAnsi="Times New Roman" w:eastAsia="宋体"/>
                <w:color w:val="auto"/>
              </w:rPr>
              <w:t>/min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氮压机</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4</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排气量84m</w:t>
            </w:r>
            <w:r>
              <w:rPr>
                <w:rFonts w:hint="eastAsia" w:ascii="Times New Roman" w:hAnsi="Times New Roman" w:eastAsia="宋体"/>
                <w:color w:val="auto"/>
                <w:vertAlign w:val="superscript"/>
              </w:rPr>
              <w:t>3</w:t>
            </w:r>
            <w:r>
              <w:rPr>
                <w:rFonts w:hint="eastAsia" w:ascii="Times New Roman" w:hAnsi="Times New Roman" w:eastAsia="宋体"/>
                <w:color w:val="auto"/>
              </w:rPr>
              <w:t>/min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氧透</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15000</w:t>
            </w:r>
            <w:r>
              <w:rPr>
                <w:rFonts w:ascii="Times New Roman" w:hAnsi="Times New Roman" w:eastAsia="宋体" w:cs="Times New Roman"/>
                <w:i/>
                <w:color w:val="auto"/>
              </w:rPr>
              <w:t>N</w:t>
            </w:r>
            <w:r>
              <w:rPr>
                <w:rFonts w:ascii="Times New Roman" w:hAnsi="Times New Roman" w:eastAsia="宋体" w:cs="Times New Roman"/>
                <w:color w:val="auto"/>
              </w:rPr>
              <w:t>m</w:t>
            </w:r>
            <w:r>
              <w:rPr>
                <w:rFonts w:ascii="Times New Roman" w:hAnsi="Times New Roman" w:eastAsia="宋体" w:cs="Times New Roman"/>
                <w:color w:val="auto"/>
                <w:vertAlign w:val="superscript"/>
              </w:rPr>
              <w:t>3</w:t>
            </w:r>
            <w:r>
              <w:rPr>
                <w:rFonts w:ascii="Times New Roman" w:hAnsi="Times New Roman" w:eastAsia="宋体" w:cs="Times New Roman"/>
                <w:color w:val="auto"/>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氮透</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台</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2</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2</w:t>
            </w:r>
            <w:r>
              <w:rPr>
                <w:rFonts w:ascii="Times New Roman" w:hAnsi="Times New Roman" w:eastAsia="宋体"/>
                <w:color w:val="auto"/>
                <w:kern w:val="0"/>
                <w:szCs w:val="21"/>
              </w:rPr>
              <w:t>5000</w:t>
            </w:r>
            <w:r>
              <w:rPr>
                <w:rFonts w:ascii="Times New Roman" w:hAnsi="Times New Roman" w:eastAsia="宋体" w:cs="Times New Roman"/>
                <w:i/>
                <w:color w:val="auto"/>
              </w:rPr>
              <w:t>N</w:t>
            </w:r>
            <w:r>
              <w:rPr>
                <w:rFonts w:ascii="Times New Roman" w:hAnsi="Times New Roman" w:eastAsia="宋体" w:cs="Times New Roman"/>
                <w:color w:val="auto"/>
              </w:rPr>
              <w:t>m</w:t>
            </w:r>
            <w:r>
              <w:rPr>
                <w:rFonts w:ascii="Times New Roman" w:hAnsi="Times New Roman" w:eastAsia="宋体" w:cs="Times New Roman"/>
                <w:color w:val="auto"/>
                <w:vertAlign w:val="superscript"/>
              </w:rPr>
              <w:t>3</w:t>
            </w:r>
            <w:r>
              <w:rPr>
                <w:rFonts w:ascii="Times New Roman" w:hAnsi="Times New Roman" w:eastAsia="宋体" w:cs="Times New Roman"/>
                <w:color w:val="auto"/>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10</w:t>
            </w:r>
          </w:p>
        </w:tc>
        <w:tc>
          <w:tcPr>
            <w:tcW w:w="1295" w:type="dxa"/>
            <w:vMerge w:val="restart"/>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煤气设施</w:t>
            </w: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高炉煤气柜</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座</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rPr>
              <w:t>20</w:t>
            </w:r>
            <w:r>
              <w:rPr>
                <w:rFonts w:hint="eastAsia" w:ascii="Times New Roman" w:hAnsi="Times New Roman" w:eastAsia="宋体"/>
                <w:color w:val="auto"/>
              </w:rPr>
              <w:t>万</w:t>
            </w:r>
            <w:r>
              <w:rPr>
                <w:rFonts w:ascii="Times New Roman" w:hAnsi="Times New Roman" w:eastAsia="宋体"/>
                <w:color w:val="auto"/>
              </w:rPr>
              <w:t>m</w:t>
            </w:r>
            <w:r>
              <w:rPr>
                <w:rFonts w:ascii="Times New Roman" w:hAnsi="Times New Roman" w:eastAsia="宋体"/>
                <w:color w:val="auto"/>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焦炉煤气柜</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座</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rPr>
              <w:t>10</w:t>
            </w:r>
            <w:r>
              <w:rPr>
                <w:rFonts w:hint="eastAsia" w:ascii="Times New Roman" w:hAnsi="Times New Roman" w:eastAsia="宋体"/>
                <w:color w:val="auto"/>
              </w:rPr>
              <w:t>万</w:t>
            </w:r>
            <w:r>
              <w:rPr>
                <w:rFonts w:ascii="Times New Roman" w:hAnsi="Times New Roman" w:eastAsia="宋体"/>
                <w:color w:val="auto"/>
              </w:rPr>
              <w:t>m</w:t>
            </w:r>
            <w:r>
              <w:rPr>
                <w:rFonts w:ascii="Times New Roman" w:hAnsi="Times New Roman" w:eastAsia="宋体"/>
                <w:color w:val="auto"/>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rPr>
            </w:pPr>
            <w:r>
              <w:rPr>
                <w:rFonts w:hint="eastAsia" w:ascii="Times New Roman" w:hAnsi="Times New Roman" w:eastAsia="宋体"/>
                <w:color w:val="auto"/>
              </w:rPr>
              <w:t>转炉煤气柜</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座</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rPr>
            </w:pPr>
            <w:r>
              <w:rPr>
                <w:rFonts w:ascii="Times New Roman" w:hAnsi="Times New Roman" w:eastAsia="宋体"/>
                <w:color w:val="auto"/>
              </w:rPr>
              <w:t>10</w:t>
            </w:r>
            <w:r>
              <w:rPr>
                <w:rFonts w:hint="eastAsia" w:ascii="Times New Roman" w:hAnsi="Times New Roman" w:eastAsia="宋体"/>
                <w:color w:val="auto"/>
              </w:rPr>
              <w:t>万</w:t>
            </w:r>
            <w:r>
              <w:rPr>
                <w:rFonts w:ascii="Times New Roman" w:hAnsi="Times New Roman" w:eastAsia="宋体"/>
                <w:color w:val="auto"/>
              </w:rPr>
              <w:t>m</w:t>
            </w:r>
            <w:r>
              <w:rPr>
                <w:rFonts w:ascii="Times New Roman" w:hAnsi="Times New Roman" w:eastAsia="宋体"/>
                <w:color w:val="auto"/>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2"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1295" w:type="dxa"/>
            <w:vMerge w:val="continue"/>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p>
        </w:tc>
        <w:tc>
          <w:tcPr>
            <w:tcW w:w="2539"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rPr>
              <w:t>转炉煤气加压站</w:t>
            </w:r>
          </w:p>
        </w:tc>
        <w:tc>
          <w:tcPr>
            <w:tcW w:w="850"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hint="eastAsia" w:ascii="Times New Roman" w:hAnsi="Times New Roman" w:eastAsia="宋体"/>
                <w:color w:val="auto"/>
                <w:kern w:val="0"/>
                <w:szCs w:val="21"/>
              </w:rPr>
              <w:t>座</w:t>
            </w:r>
          </w:p>
        </w:tc>
        <w:tc>
          <w:tcPr>
            <w:tcW w:w="864"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2722" w:type="dxa"/>
            <w:vAlign w:val="center"/>
          </w:tcPr>
          <w:p>
            <w:pPr>
              <w:keepNext w:val="0"/>
              <w:keepLines w:val="0"/>
              <w:pageBreakBefore w:val="0"/>
              <w:widowControl/>
              <w:kinsoku/>
              <w:wordWrap/>
              <w:overflowPunct/>
              <w:topLinePunct w:val="0"/>
              <w:autoSpaceDE/>
              <w:autoSpaceDN/>
              <w:bidi w:val="0"/>
              <w:adjustRightInd/>
              <w:snapToGrid/>
              <w:jc w:val="center"/>
              <w:rPr>
                <w:rFonts w:ascii="Times New Roman" w:hAnsi="Times New Roman" w:eastAsia="宋体"/>
                <w:color w:val="auto"/>
                <w:kern w:val="0"/>
                <w:szCs w:val="21"/>
              </w:rPr>
            </w:pPr>
            <w:r>
              <w:rPr>
                <w:rFonts w:ascii="Times New Roman" w:hAnsi="Times New Roman" w:eastAsia="宋体"/>
                <w:color w:val="auto"/>
                <w:kern w:val="0"/>
                <w:szCs w:val="21"/>
              </w:rPr>
              <w:t>/</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3.1.5</w:t>
      </w:r>
      <w:r>
        <w:rPr>
          <w:rFonts w:hint="eastAsia" w:ascii="Times New Roman" w:hAnsi="Times New Roman" w:eastAsia="黑体" w:cs="Times New Roman"/>
          <w:sz w:val="24"/>
          <w:szCs w:val="24"/>
          <w:lang w:eastAsia="zh-CN"/>
        </w:rPr>
        <w:t>厂区现有</w:t>
      </w:r>
      <w:r>
        <w:rPr>
          <w:rFonts w:ascii="Times New Roman" w:hAnsi="Times New Roman" w:eastAsia="黑体" w:cs="Times New Roman"/>
          <w:sz w:val="24"/>
          <w:szCs w:val="24"/>
        </w:rPr>
        <w:t>主要原辅料消耗</w:t>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ascii="Times New Roman" w:hAnsi="Times New Roman" w:eastAsia="宋体" w:cs="Times New Roman"/>
          <w:sz w:val="24"/>
        </w:rPr>
      </w:pPr>
      <w:r>
        <w:rPr>
          <w:rFonts w:ascii="Times New Roman" w:hAnsi="Times New Roman" w:eastAsia="宋体" w:cs="Times New Roman"/>
          <w:sz w:val="24"/>
        </w:rPr>
        <w:t>后评价阶段主要原辅料消耗量见表3.1-</w:t>
      </w:r>
      <w:r>
        <w:rPr>
          <w:rFonts w:hint="eastAsia" w:ascii="Times New Roman" w:hAnsi="Times New Roman" w:eastAsia="宋体" w:cs="Times New Roman"/>
          <w:sz w:val="24"/>
          <w:lang w:val="en-US" w:eastAsia="zh-CN"/>
        </w:rPr>
        <w:t>8</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表3.1-</w:t>
      </w:r>
      <w:r>
        <w:rPr>
          <w:rFonts w:hint="eastAsia" w:ascii="Times New Roman" w:hAnsi="Times New Roman" w:eastAsia="黑体" w:cs="Times New Roman"/>
          <w:sz w:val="24"/>
          <w:lang w:val="en-US" w:eastAsia="zh-CN"/>
        </w:rPr>
        <w:t>8</w:t>
      </w:r>
      <w:r>
        <w:rPr>
          <w:rFonts w:ascii="Times New Roman" w:hAnsi="Times New Roman" w:eastAsia="黑体" w:cs="Times New Roman"/>
          <w:sz w:val="24"/>
        </w:rPr>
        <w:t xml:space="preserve">  后评价阶段</w:t>
      </w:r>
      <w:r>
        <w:rPr>
          <w:rFonts w:hint="eastAsia" w:ascii="Times New Roman" w:hAnsi="Times New Roman" w:eastAsia="黑体" w:cs="Times New Roman"/>
          <w:sz w:val="24"/>
        </w:rPr>
        <w:t>现有</w:t>
      </w:r>
      <w:r>
        <w:rPr>
          <w:rFonts w:ascii="Times New Roman" w:hAnsi="Times New Roman" w:eastAsia="黑体" w:cs="Times New Roman"/>
          <w:sz w:val="24"/>
        </w:rPr>
        <w:t>厂区主要原辅料消耗一览表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5"/>
        <w:gridCol w:w="1305"/>
        <w:gridCol w:w="930"/>
        <w:gridCol w:w="1020"/>
        <w:gridCol w:w="1095"/>
        <w:gridCol w:w="1335"/>
        <w:gridCol w:w="1755"/>
        <w:gridCol w:w="9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序号</w:t>
            </w:r>
          </w:p>
        </w:tc>
        <w:tc>
          <w:tcPr>
            <w:tcW w:w="13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名称</w:t>
            </w:r>
          </w:p>
        </w:tc>
        <w:tc>
          <w:tcPr>
            <w:tcW w:w="930"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消耗量（t/a）</w:t>
            </w:r>
          </w:p>
        </w:tc>
        <w:tc>
          <w:tcPr>
            <w:tcW w:w="1020"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储存</w:t>
            </w:r>
          </w:p>
          <w:p>
            <w:pPr>
              <w:pStyle w:val="2"/>
              <w:keepNext w:val="0"/>
              <w:keepLines w:val="0"/>
              <w:pageBreakBefore w:val="0"/>
              <w:kinsoku/>
              <w:wordWrap/>
              <w:bidi w:val="0"/>
              <w:snapToGrid/>
              <w:spacing w:after="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位置</w:t>
            </w:r>
          </w:p>
        </w:tc>
        <w:tc>
          <w:tcPr>
            <w:tcW w:w="109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最大储存量（t/a）</w:t>
            </w:r>
          </w:p>
        </w:tc>
        <w:tc>
          <w:tcPr>
            <w:tcW w:w="133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运入方式</w:t>
            </w:r>
          </w:p>
        </w:tc>
        <w:tc>
          <w:tcPr>
            <w:tcW w:w="175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来源</w:t>
            </w:r>
          </w:p>
        </w:tc>
        <w:tc>
          <w:tcPr>
            <w:tcW w:w="94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含硫率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进口铁精矿</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197.44</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综合</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料场</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4.5</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水路、公路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智利、澳洲、伊朗、马来西亚、加拿大、巴西等</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2</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国内铁精矿</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36.22</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综合</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料场</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2.5</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水路、公路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铜陵、梅山、弋江等</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3</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球团矿</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53.04</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综合</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料场</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5.5</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水路、公路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巴西、乌克兰</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4</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块矿</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1.40</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块矿</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大棚</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2</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水路、公路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伊朗、南非</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5</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炼焦煤</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125.53</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煤仓</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8</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铁路、水路、公路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山东、山西、内蒙、朝鲜等</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6</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喷吹煤</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11.09</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煤仓</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2</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铁路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河南、皖北</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7</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废钢</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23.01</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炼钢</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5</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芜湖、马鞍山、巢湖、安庆</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8</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生铁块</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0.068</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炼钢</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0.001</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芜湖、马鞍山、巢湖、安庆</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9</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合金</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3.06</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炼钢</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0.02</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铁路、公路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内蒙、湖南、四川甘肃</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10</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孕育剂</w:t>
            </w:r>
            <w:r>
              <w:rPr>
                <w:rFonts w:hint="eastAsia"/>
                <w:color w:val="auto"/>
                <w:sz w:val="21"/>
                <w:szCs w:val="21"/>
                <w:lang w:eastAsia="zh-CN"/>
              </w:rPr>
              <w:t>（</w:t>
            </w:r>
            <w:r>
              <w:rPr>
                <w:rFonts w:hint="eastAsia"/>
                <w:color w:val="auto"/>
                <w:sz w:val="21"/>
                <w:szCs w:val="21"/>
              </w:rPr>
              <w:t>硅铁合金</w:t>
            </w:r>
            <w:r>
              <w:rPr>
                <w:rFonts w:hint="eastAsia"/>
                <w:color w:val="auto"/>
                <w:sz w:val="21"/>
                <w:szCs w:val="21"/>
                <w:lang w:eastAsia="zh-CN"/>
              </w:rPr>
              <w:t>）</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0.18</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公司</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仓库</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0.01</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铁路、公路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11</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球化剂</w:t>
            </w:r>
            <w:r>
              <w:rPr>
                <w:rFonts w:hint="eastAsia"/>
                <w:color w:val="auto"/>
                <w:sz w:val="21"/>
                <w:szCs w:val="21"/>
                <w:lang w:eastAsia="zh-CN"/>
              </w:rPr>
              <w:t>（</w:t>
            </w:r>
            <w:r>
              <w:rPr>
                <w:rFonts w:hint="eastAsia"/>
                <w:color w:val="auto"/>
                <w:sz w:val="21"/>
                <w:szCs w:val="21"/>
              </w:rPr>
              <w:t>镁颗粒</w:t>
            </w:r>
            <w:r>
              <w:rPr>
                <w:rFonts w:hint="eastAsia"/>
                <w:color w:val="auto"/>
                <w:sz w:val="21"/>
                <w:szCs w:val="21"/>
                <w:lang w:eastAsia="zh-CN"/>
              </w:rPr>
              <w:t>）</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0.13</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公司</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仓库</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0.01</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铁路、公路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10</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管模内喷涂料</w:t>
            </w:r>
            <w:r>
              <w:rPr>
                <w:rFonts w:hint="eastAsia"/>
                <w:color w:val="auto"/>
                <w:sz w:val="21"/>
                <w:szCs w:val="21"/>
                <w:lang w:eastAsia="zh-CN"/>
              </w:rPr>
              <w:t>（</w:t>
            </w:r>
            <w:r>
              <w:rPr>
                <w:rFonts w:hint="eastAsia"/>
                <w:color w:val="auto"/>
                <w:sz w:val="21"/>
                <w:szCs w:val="21"/>
              </w:rPr>
              <w:t>硅藻土</w:t>
            </w:r>
            <w:r>
              <w:rPr>
                <w:rFonts w:hint="eastAsia"/>
                <w:color w:val="auto"/>
                <w:sz w:val="21"/>
                <w:szCs w:val="21"/>
                <w:lang w:eastAsia="zh-CN"/>
              </w:rPr>
              <w:t>）</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0.07</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铸管</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0.005</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铁路、公路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11</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沥青漆</w:t>
            </w:r>
            <w:r>
              <w:rPr>
                <w:color w:val="auto"/>
                <w:sz w:val="21"/>
                <w:szCs w:val="21"/>
                <w:vertAlign w:val="superscript"/>
              </w:rPr>
              <w:t>*1</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0.26</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铸管</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0.003</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铁路、公路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12</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水泥</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2.66</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铸管</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0.01</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13</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锌丝</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0.29</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铸管</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0.005</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铁路、公路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14</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萤石</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0.018</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烧结</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料仓</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0.001</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14</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石灰石</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64.28</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白灰</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料棚</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0.3</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芜湖、青阳</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15</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生白云石</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1.95</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烧结</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料仓</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0.02</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芜湖、南陵</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w:t>
            </w:r>
            <w:r>
              <w:rPr>
                <w:color w:val="auto"/>
                <w:sz w:val="21"/>
                <w:szCs w:val="21"/>
              </w:rPr>
              <w:t>05</w:t>
            </w: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16</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轻烧白云石</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11.00</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烧结</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料仓</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0.02</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芜湖、南陵</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17</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制芯砂</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0.026</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铸管</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0.01</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18</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树脂</w:t>
            </w:r>
            <w:r>
              <w:rPr>
                <w:color w:val="auto"/>
                <w:sz w:val="21"/>
                <w:szCs w:val="21"/>
                <w:vertAlign w:val="superscript"/>
              </w:rPr>
              <w:t>*2</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0.070</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铸管</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0.02</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8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19</w:t>
            </w:r>
          </w:p>
        </w:tc>
        <w:tc>
          <w:tcPr>
            <w:tcW w:w="130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三乙胺</w:t>
            </w:r>
          </w:p>
        </w:tc>
        <w:tc>
          <w:tcPr>
            <w:tcW w:w="93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0.0016</w:t>
            </w:r>
          </w:p>
        </w:tc>
        <w:tc>
          <w:tcPr>
            <w:tcW w:w="1020"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铸管</w:t>
            </w:r>
          </w:p>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车间</w:t>
            </w:r>
          </w:p>
        </w:tc>
        <w:tc>
          <w:tcPr>
            <w:tcW w:w="109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0.001</w:t>
            </w:r>
          </w:p>
        </w:tc>
        <w:tc>
          <w:tcPr>
            <w:tcW w:w="133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公路</w:t>
            </w:r>
          </w:p>
        </w:tc>
        <w:tc>
          <w:tcPr>
            <w:tcW w:w="1755"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rFonts w:hint="eastAsia"/>
                <w:color w:val="auto"/>
                <w:sz w:val="21"/>
                <w:szCs w:val="21"/>
              </w:rPr>
              <w:t>省内</w:t>
            </w:r>
          </w:p>
        </w:tc>
        <w:tc>
          <w:tcPr>
            <w:tcW w:w="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sz w:val="21"/>
                <w:szCs w:val="21"/>
              </w:rPr>
            </w:pPr>
            <w:r>
              <w:rPr>
                <w:color w:val="auto"/>
                <w:sz w:val="21"/>
                <w:szCs w:val="21"/>
              </w:rPr>
              <w:t>-</w:t>
            </w:r>
          </w:p>
        </w:tc>
      </w:tr>
    </w:tbl>
    <w:p>
      <w:pPr>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sz w:val="18"/>
          <w:szCs w:val="18"/>
        </w:rPr>
      </w:pPr>
      <w:r>
        <w:rPr>
          <w:rFonts w:ascii="Times New Roman" w:hAnsi="Times New Roman" w:eastAsia="宋体" w:cs="Times New Roman"/>
          <w:sz w:val="18"/>
          <w:szCs w:val="18"/>
        </w:rPr>
        <w:t>注：*1—沥青漆由高氯化聚乙烯树脂、改性树脂、增塑剂、环氧树脂、氧化铁黑、炭黑、滑石粉、高岭土、铁钛粉、助剂、甲苯、二甲苯溶剂等组成的单组分防腐涂料。</w:t>
      </w:r>
    </w:p>
    <w:p>
      <w:pPr>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sz w:val="18"/>
          <w:szCs w:val="18"/>
        </w:rPr>
      </w:pPr>
      <w:r>
        <w:rPr>
          <w:rFonts w:ascii="Times New Roman" w:hAnsi="Times New Roman" w:eastAsia="宋体" w:cs="Times New Roman"/>
          <w:sz w:val="18"/>
          <w:szCs w:val="18"/>
        </w:rPr>
        <w:t>*2—树脂包括两种：</w:t>
      </w:r>
    </w:p>
    <w:p>
      <w:pPr>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sz w:val="18"/>
          <w:szCs w:val="18"/>
        </w:rPr>
      </w:pPr>
      <w:r>
        <w:rPr>
          <w:rFonts w:ascii="Times New Roman" w:hAnsi="Times New Roman" w:eastAsia="宋体" w:cs="Times New Roman"/>
          <w:sz w:val="18"/>
          <w:szCs w:val="18"/>
          <w:lang w:eastAsia="ja-JP"/>
        </w:rPr>
        <w:t>①</w:t>
      </w:r>
      <w:r>
        <w:rPr>
          <w:rFonts w:ascii="Times New Roman" w:hAnsi="Times New Roman" w:eastAsia="宋体" w:cs="Times New Roman"/>
          <w:sz w:val="18"/>
          <w:szCs w:val="18"/>
        </w:rPr>
        <w:t>冷芯盒树脂：用于水冷法离心球墨铸铁管生产线，耗量约0.04万t/a</w:t>
      </w:r>
      <w:r>
        <w:rPr>
          <w:rFonts w:hint="eastAsia" w:ascii="Times New Roman" w:hAnsi="Times New Roman" w:eastAsia="宋体" w:cs="Times New Roman"/>
          <w:sz w:val="18"/>
          <w:szCs w:val="18"/>
        </w:rPr>
        <w:t>。</w:t>
      </w:r>
    </w:p>
    <w:p>
      <w:pPr>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sz w:val="18"/>
          <w:szCs w:val="18"/>
        </w:rPr>
      </w:pPr>
      <w:r>
        <w:rPr>
          <w:rFonts w:ascii="Times New Roman" w:hAnsi="Times New Roman" w:eastAsia="宋体" w:cs="Times New Roman"/>
          <w:sz w:val="18"/>
          <w:szCs w:val="18"/>
        </w:rPr>
        <w:t>I组份：酚醛树脂，占50%；II组份：聚异氰酸酯50%。</w:t>
      </w:r>
    </w:p>
    <w:p>
      <w:pPr>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sz w:val="18"/>
          <w:szCs w:val="18"/>
        </w:rPr>
      </w:pPr>
      <w:r>
        <w:rPr>
          <w:rFonts w:ascii="Times New Roman" w:hAnsi="Times New Roman" w:eastAsia="宋体" w:cs="Times New Roman"/>
          <w:sz w:val="18"/>
          <w:szCs w:val="18"/>
          <w:lang w:eastAsia="ja-JP"/>
        </w:rPr>
        <w:t>②</w:t>
      </w:r>
      <w:r>
        <w:rPr>
          <w:rFonts w:ascii="Times New Roman" w:hAnsi="Times New Roman" w:eastAsia="宋体" w:cs="Times New Roman"/>
          <w:sz w:val="18"/>
          <w:szCs w:val="18"/>
        </w:rPr>
        <w:t>呋喃树脂：用于热模法离心球墨铸铁管生产线，耗量约0.028万t/a。</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sz w:val="24"/>
          <w:szCs w:val="24"/>
          <w:lang w:eastAsia="zh-CN"/>
        </w:rPr>
      </w:pPr>
      <w:r>
        <w:rPr>
          <w:rFonts w:ascii="Times New Roman" w:hAnsi="Times New Roman" w:eastAsia="宋体" w:cs="Times New Roman"/>
          <w:sz w:val="24"/>
          <w:szCs w:val="24"/>
        </w:rPr>
        <w:t>沥青漆</w:t>
      </w:r>
      <w:r>
        <w:rPr>
          <w:rFonts w:hint="eastAsia" w:ascii="Times New Roman" w:hAnsi="Times New Roman" w:eastAsia="宋体" w:cs="Times New Roman"/>
          <w:sz w:val="24"/>
          <w:szCs w:val="24"/>
          <w:lang w:eastAsia="zh-CN"/>
        </w:rPr>
        <w:t>成分</w:t>
      </w:r>
      <w:r>
        <w:rPr>
          <w:rFonts w:ascii="Times New Roman" w:hAnsi="Times New Roman" w:eastAsia="宋体" w:cs="Times New Roman"/>
          <w:sz w:val="24"/>
          <w:szCs w:val="24"/>
        </w:rPr>
        <w:t>含量如下表所示</w:t>
      </w:r>
      <w:r>
        <w:rPr>
          <w:rFonts w:hint="eastAsia" w:ascii="Times New Roman" w:hAnsi="Times New Roman" w:eastAsia="宋体" w:cs="Times New Roman"/>
          <w:sz w:val="24"/>
          <w:szCs w:val="24"/>
          <w:lang w:eastAsia="zh-CN"/>
        </w:rPr>
        <w:t>。</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表3.1-</w:t>
      </w:r>
      <w:r>
        <w:rPr>
          <w:rFonts w:hint="eastAsia" w:ascii="Times New Roman" w:hAnsi="Times New Roman" w:eastAsia="黑体" w:cs="Times New Roman"/>
          <w:sz w:val="24"/>
          <w:lang w:val="en-US" w:eastAsia="zh-CN"/>
        </w:rPr>
        <w:t>9</w:t>
      </w:r>
      <w:r>
        <w:rPr>
          <w:rFonts w:ascii="Times New Roman" w:hAnsi="Times New Roman" w:eastAsia="黑体" w:cs="Times New Roman"/>
          <w:sz w:val="24"/>
        </w:rPr>
        <w:t xml:space="preserve">  沥青漆成分一览表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72"/>
        <w:gridCol w:w="727"/>
        <w:gridCol w:w="727"/>
        <w:gridCol w:w="1782"/>
        <w:gridCol w:w="726"/>
        <w:gridCol w:w="726"/>
        <w:gridCol w:w="1360"/>
        <w:gridCol w:w="726"/>
        <w:gridCol w:w="7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15"/>
              </w:rPr>
            </w:pPr>
            <w:r>
              <w:rPr>
                <w:rFonts w:ascii="Times New Roman" w:hAnsi="Times New Roman" w:eastAsia="宋体" w:cs="Times New Roman"/>
                <w:b/>
                <w:szCs w:val="15"/>
              </w:rPr>
              <w:t>沥青漆</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15"/>
              </w:rPr>
            </w:pPr>
            <w:r>
              <w:rPr>
                <w:rFonts w:ascii="Times New Roman" w:hAnsi="Times New Roman" w:eastAsia="宋体" w:cs="Times New Roman"/>
                <w:b/>
                <w:szCs w:val="15"/>
              </w:rPr>
              <w:t>比例</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15"/>
              </w:rPr>
            </w:pPr>
            <w:r>
              <w:rPr>
                <w:rFonts w:ascii="Times New Roman" w:hAnsi="Times New Roman" w:eastAsia="宋体" w:cs="Times New Roman"/>
                <w:b/>
                <w:szCs w:val="15"/>
              </w:rPr>
              <w:t>备注</w:t>
            </w:r>
          </w:p>
        </w:tc>
        <w:tc>
          <w:tcPr>
            <w:tcW w:w="178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15"/>
              </w:rPr>
            </w:pPr>
            <w:r>
              <w:rPr>
                <w:rFonts w:ascii="Times New Roman" w:hAnsi="Times New Roman" w:eastAsia="宋体" w:cs="Times New Roman"/>
                <w:b/>
                <w:szCs w:val="15"/>
              </w:rPr>
              <w:t>沥青漆</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15"/>
              </w:rPr>
            </w:pPr>
            <w:r>
              <w:rPr>
                <w:rFonts w:ascii="Times New Roman" w:hAnsi="Times New Roman" w:eastAsia="宋体" w:cs="Times New Roman"/>
                <w:b/>
                <w:szCs w:val="15"/>
              </w:rPr>
              <w:t>比例</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15"/>
              </w:rPr>
            </w:pPr>
            <w:r>
              <w:rPr>
                <w:rFonts w:ascii="Times New Roman" w:hAnsi="Times New Roman" w:eastAsia="宋体" w:cs="Times New Roman"/>
                <w:b/>
                <w:szCs w:val="15"/>
              </w:rPr>
              <w:t>备注</w:t>
            </w:r>
          </w:p>
        </w:tc>
        <w:tc>
          <w:tcPr>
            <w:tcW w:w="13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15"/>
              </w:rPr>
            </w:pPr>
            <w:r>
              <w:rPr>
                <w:rFonts w:ascii="Times New Roman" w:hAnsi="Times New Roman" w:eastAsia="宋体" w:cs="Times New Roman"/>
                <w:b/>
                <w:szCs w:val="15"/>
              </w:rPr>
              <w:t>沥青漆</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15"/>
              </w:rPr>
            </w:pPr>
            <w:r>
              <w:rPr>
                <w:rFonts w:ascii="Times New Roman" w:hAnsi="Times New Roman" w:eastAsia="宋体" w:cs="Times New Roman"/>
                <w:b/>
                <w:szCs w:val="15"/>
              </w:rPr>
              <w:t>比例</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15"/>
              </w:rPr>
            </w:pPr>
            <w:r>
              <w:rPr>
                <w:rFonts w:ascii="Times New Roman" w:hAnsi="Times New Roman" w:eastAsia="宋体" w:cs="Times New Roman"/>
                <w:b/>
                <w:szCs w:val="15"/>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高氯化聚乙烯</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10</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78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分散剂</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0.3</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3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高岭土</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5</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丙烯酸树脂</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5</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78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有机改性膨润土</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0.5</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3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空心微珠</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10</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改性树脂</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7</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78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碳黑</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3</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3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复合铁鈦粉</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2.5</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氯化石蜡</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4.5</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78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氧化铁黑</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5</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3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甲苯</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26.4</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溶剂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环氧树脂</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0.8</w:t>
            </w:r>
          </w:p>
        </w:tc>
        <w:tc>
          <w:tcPr>
            <w:tcW w:w="7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78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滑石粉</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10</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固相</w:t>
            </w:r>
          </w:p>
        </w:tc>
        <w:tc>
          <w:tcPr>
            <w:tcW w:w="13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二甲苯</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10</w:t>
            </w:r>
          </w:p>
        </w:tc>
        <w:tc>
          <w:tcPr>
            <w:tcW w:w="72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15"/>
              </w:rPr>
            </w:pPr>
            <w:r>
              <w:rPr>
                <w:rFonts w:ascii="Times New Roman" w:hAnsi="Times New Roman" w:eastAsia="宋体" w:cs="Times New Roman"/>
                <w:szCs w:val="15"/>
              </w:rPr>
              <w:t>溶剂</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3.1.6</w:t>
      </w:r>
      <w:r>
        <w:rPr>
          <w:rFonts w:hint="eastAsia" w:ascii="Times New Roman" w:hAnsi="Times New Roman" w:eastAsia="黑体" w:cs="Times New Roman"/>
          <w:sz w:val="24"/>
          <w:szCs w:val="24"/>
        </w:rPr>
        <w:t>厂区</w:t>
      </w:r>
      <w:r>
        <w:rPr>
          <w:rFonts w:ascii="Times New Roman" w:hAnsi="Times New Roman" w:eastAsia="黑体" w:cs="Times New Roman"/>
          <w:sz w:val="24"/>
          <w:szCs w:val="24"/>
        </w:rPr>
        <w:t>产品上下游关系</w:t>
      </w:r>
    </w:p>
    <w:p>
      <w:pPr>
        <w:pStyle w:val="27"/>
        <w:keepNext w:val="0"/>
        <w:keepLines w:val="0"/>
        <w:pageBreakBefore w:val="0"/>
        <w:kinsoku/>
        <w:wordWrap/>
        <w:bidi w:val="0"/>
        <w:snapToGrid/>
        <w:spacing w:beforeLines="0" w:afterLines="0" w:line="360" w:lineRule="auto"/>
        <w:ind w:firstLine="480" w:firstLineChars="200"/>
        <w:outlineLvl w:val="9"/>
        <w:rPr>
          <w:rFonts w:ascii="Times New Roman" w:eastAsia="宋体"/>
          <w:b w:val="0"/>
          <w:sz w:val="24"/>
        </w:rPr>
      </w:pPr>
      <w:r>
        <w:rPr>
          <w:rFonts w:hint="eastAsia" w:ascii="Times New Roman" w:eastAsia="宋体"/>
          <w:b w:val="0"/>
          <w:sz w:val="24"/>
        </w:rPr>
        <w:t>厂区</w:t>
      </w:r>
      <w:r>
        <w:rPr>
          <w:rFonts w:ascii="Times New Roman" w:eastAsia="宋体"/>
          <w:b w:val="0"/>
          <w:sz w:val="24"/>
        </w:rPr>
        <w:t>产品上下游关系见图</w:t>
      </w:r>
      <w:r>
        <w:rPr>
          <w:rFonts w:hint="eastAsia" w:ascii="Times New Roman" w:eastAsia="宋体"/>
          <w:b w:val="0"/>
          <w:sz w:val="24"/>
        </w:rPr>
        <w:t>3.1-1。</w:t>
      </w:r>
    </w:p>
    <w:p>
      <w:pPr>
        <w:keepNext w:val="0"/>
        <w:keepLines w:val="0"/>
        <w:pageBreakBefore w:val="0"/>
        <w:widowControl/>
        <w:kinsoku/>
        <w:wordWrap/>
        <w:bidi w:val="0"/>
        <w:snapToGrid/>
        <w:spacing w:line="360" w:lineRule="auto"/>
        <w:jc w:val="center"/>
        <w:rPr>
          <w:rFonts w:ascii="Times New Roman" w:hAnsi="Times New Roman" w:eastAsia="黑体" w:cs="宋体"/>
          <w:kern w:val="0"/>
          <w:sz w:val="24"/>
          <w:szCs w:val="24"/>
        </w:rPr>
      </w:pPr>
      <w:bookmarkStart w:id="7" w:name="_MON_1620633520"/>
      <w:bookmarkEnd w:id="7"/>
      <w:r>
        <w:rPr>
          <w:rFonts w:ascii="Times New Roman"/>
        </w:rPr>
        <w:object>
          <v:shape id="_x0000_i1025" o:spt="75" type="#_x0000_t75" style="height:457.6pt;width:427.6pt;" o:ole="t" filled="f" o:preferrelative="t" stroked="f" coordsize="21600,21600">
            <v:path/>
            <v:fill on="f" focussize="0,0"/>
            <v:stroke on="f"/>
            <v:imagedata r:id="rId16" o:title=""/>
            <o:lock v:ext="edit" aspectratio="t"/>
            <w10:wrap type="none"/>
            <w10:anchorlock/>
          </v:shape>
          <o:OLEObject Type="Embed" ProgID="RFFlow4" ShapeID="_x0000_i1025" DrawAspect="Content" ObjectID="_1468075725" r:id="rId15">
            <o:LockedField>false</o:LockedField>
          </o:OLEObject>
        </w:object>
      </w:r>
      <w:r>
        <w:rPr>
          <w:rFonts w:hint="eastAsia" w:ascii="Times New Roman" w:hAnsi="Times New Roman" w:eastAsia="黑体"/>
          <w:sz w:val="24"/>
          <w:szCs w:val="24"/>
        </w:rPr>
        <w:t xml:space="preserve">图3.1-1 </w:t>
      </w:r>
      <w:r>
        <w:rPr>
          <w:rFonts w:hint="eastAsia" w:ascii="Times New Roman" w:hAnsi="Times New Roman" w:eastAsia="黑体"/>
          <w:sz w:val="24"/>
          <w:szCs w:val="24"/>
          <w:lang w:val="en-US" w:eastAsia="zh-CN"/>
        </w:rPr>
        <w:t xml:space="preserve"> </w:t>
      </w:r>
      <w:r>
        <w:rPr>
          <w:rFonts w:ascii="Times New Roman" w:hAnsi="Times New Roman" w:eastAsia="黑体" w:cs="宋体"/>
          <w:kern w:val="0"/>
          <w:sz w:val="24"/>
          <w:szCs w:val="24"/>
        </w:rPr>
        <w:t>厂区产品上下游关系示意图</w:t>
      </w:r>
    </w:p>
    <w:p>
      <w:pPr>
        <w:keepNext w:val="0"/>
        <w:keepLines w:val="0"/>
        <w:pageBreakBefore w:val="0"/>
        <w:kinsoku/>
        <w:wordWrap/>
        <w:bidi w:val="0"/>
        <w:snapToGrid/>
        <w:spacing w:before="156" w:beforeLines="50" w:after="156" w:afterLines="50" w:line="360" w:lineRule="auto"/>
        <w:outlineLvl w:val="2"/>
        <w:rPr>
          <w:rFonts w:hint="eastAsia" w:ascii="Times New Roman" w:hAnsi="Times New Roman" w:eastAsia="黑体" w:cs="Times New Roman"/>
          <w:color w:val="FF0000"/>
          <w:sz w:val="24"/>
          <w:szCs w:val="24"/>
          <w:lang w:eastAsia="zh-CN"/>
        </w:rPr>
      </w:pPr>
      <w:r>
        <w:rPr>
          <w:rFonts w:ascii="Times New Roman" w:hAnsi="Times New Roman" w:eastAsia="黑体" w:cs="Times New Roman"/>
          <w:color w:val="FF0000"/>
          <w:sz w:val="24"/>
          <w:szCs w:val="24"/>
        </w:rPr>
        <w:t>3.1.</w:t>
      </w:r>
      <w:r>
        <w:rPr>
          <w:rFonts w:hint="eastAsia" w:ascii="Times New Roman" w:hAnsi="Times New Roman" w:eastAsia="黑体" w:cs="Times New Roman"/>
          <w:color w:val="FF0000"/>
          <w:sz w:val="24"/>
          <w:szCs w:val="24"/>
          <w:lang w:val="en-US" w:eastAsia="zh-CN"/>
        </w:rPr>
        <w:t>7</w:t>
      </w:r>
      <w:r>
        <w:rPr>
          <w:rFonts w:hint="eastAsia" w:ascii="Times New Roman" w:hAnsi="Times New Roman" w:eastAsia="黑体" w:cs="Times New Roman"/>
          <w:color w:val="FF0000"/>
          <w:sz w:val="24"/>
          <w:szCs w:val="24"/>
        </w:rPr>
        <w:t>厂区</w:t>
      </w:r>
      <w:r>
        <w:rPr>
          <w:rFonts w:hint="eastAsia" w:ascii="Times New Roman" w:hAnsi="Times New Roman" w:eastAsia="黑体" w:cs="Times New Roman"/>
          <w:color w:val="FF0000"/>
          <w:sz w:val="24"/>
          <w:szCs w:val="24"/>
          <w:lang w:eastAsia="zh-CN"/>
        </w:rPr>
        <w:t>平面布置</w:t>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ascii="Times New Roman" w:hAnsi="Times New Roman" w:eastAsia="宋体" w:cs="Times New Roman"/>
          <w:color w:val="FF0000"/>
          <w:sz w:val="24"/>
        </w:rPr>
      </w:pPr>
      <w:r>
        <w:rPr>
          <w:rFonts w:hint="eastAsia" w:ascii="Times New Roman" w:hAnsi="Times New Roman" w:eastAsia="宋体" w:cs="Times New Roman"/>
          <w:color w:val="FF0000"/>
          <w:sz w:val="24"/>
          <w:lang w:eastAsia="zh-CN"/>
        </w:rPr>
        <w:t>现有</w:t>
      </w:r>
      <w:r>
        <w:rPr>
          <w:rFonts w:ascii="Times New Roman" w:hAnsi="Times New Roman" w:eastAsia="宋体" w:cs="Times New Roman"/>
          <w:color w:val="FF0000"/>
          <w:sz w:val="24"/>
        </w:rPr>
        <w:t>项目厂址位于三山</w:t>
      </w:r>
      <w:r>
        <w:rPr>
          <w:rFonts w:hint="eastAsia" w:ascii="Times New Roman" w:hAnsi="Times New Roman" w:eastAsia="宋体" w:cs="Times New Roman"/>
          <w:color w:val="FF0000"/>
          <w:sz w:val="24"/>
        </w:rPr>
        <w:t>经济开发</w:t>
      </w:r>
      <w:r>
        <w:rPr>
          <w:rFonts w:ascii="Times New Roman" w:hAnsi="Times New Roman" w:eastAsia="宋体" w:cs="Times New Roman"/>
          <w:color w:val="FF0000"/>
          <w:sz w:val="24"/>
        </w:rPr>
        <w:t>区内，厂址北面是华电芜湖发电厂</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华电芜湖发电厂紧邻长江</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；南面是小江，小江与长江相通；西侧邻接长江大堤，为三山港区中外运码头所在</w:t>
      </w:r>
      <w:r>
        <w:rPr>
          <w:rFonts w:hint="eastAsia" w:ascii="Times New Roman" w:hAnsi="Times New Roman" w:eastAsia="宋体" w:cs="Times New Roman"/>
          <w:color w:val="FF0000"/>
          <w:sz w:val="24"/>
        </w:rPr>
        <w:t>地，</w:t>
      </w:r>
      <w:r>
        <w:rPr>
          <w:rFonts w:hint="eastAsia" w:ascii="Times New Roman" w:hAnsi="Times New Roman" w:eastAsia="宋体" w:cs="Times New Roman"/>
          <w:color w:val="FF0000"/>
          <w:sz w:val="24"/>
          <w:lang w:eastAsia="zh-CN"/>
        </w:rPr>
        <w:t>厂区</w:t>
      </w:r>
      <w:r>
        <w:rPr>
          <w:rFonts w:ascii="Times New Roman" w:hAnsi="Times New Roman" w:eastAsia="宋体" w:cs="Times New Roman"/>
          <w:color w:val="FF0000"/>
          <w:sz w:val="24"/>
        </w:rPr>
        <w:t>水路物流通过该码头送至厂内，该码头建设方为芜湖三山港口有限责任公司，不包括在本评价</w:t>
      </w:r>
      <w:r>
        <w:rPr>
          <w:rFonts w:hint="eastAsia" w:ascii="Times New Roman" w:hAnsi="Times New Roman" w:eastAsia="宋体" w:cs="Times New Roman"/>
          <w:color w:val="FF0000"/>
          <w:sz w:val="24"/>
        </w:rPr>
        <w:t>范围内</w:t>
      </w:r>
      <w:r>
        <w:rPr>
          <w:rFonts w:ascii="Times New Roman" w:hAnsi="Times New Roman" w:eastAsia="宋体" w:cs="Times New Roman"/>
          <w:color w:val="FF0000"/>
          <w:sz w:val="24"/>
        </w:rPr>
        <w:t>，该码头2011年12月开工建设，计划2013年10月全部竣工投运</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东侧为规划</w:t>
      </w:r>
      <w:r>
        <w:rPr>
          <w:rFonts w:hint="eastAsia" w:ascii="Times New Roman" w:hAnsi="Times New Roman" w:eastAsia="宋体" w:cs="Times New Roman"/>
          <w:color w:val="FF0000"/>
          <w:sz w:val="24"/>
        </w:rPr>
        <w:t>的</w:t>
      </w:r>
      <w:r>
        <w:rPr>
          <w:rFonts w:ascii="Times New Roman" w:hAnsi="Times New Roman" w:eastAsia="宋体" w:cs="Times New Roman"/>
          <w:color w:val="FF0000"/>
          <w:sz w:val="24"/>
        </w:rPr>
        <w:t>三角防护绿地。</w:t>
      </w:r>
      <w:r>
        <w:rPr>
          <w:rFonts w:hint="eastAsia" w:ascii="Times New Roman" w:hAnsi="Times New Roman" w:eastAsia="宋体" w:cs="Times New Roman"/>
          <w:color w:val="FF0000"/>
          <w:sz w:val="24"/>
          <w:lang w:eastAsia="zh-CN"/>
        </w:rPr>
        <w:t>厂区</w:t>
      </w:r>
      <w:r>
        <w:rPr>
          <w:rFonts w:ascii="Times New Roman" w:hAnsi="Times New Roman" w:eastAsia="宋体" w:cs="Times New Roman"/>
          <w:color w:val="FF0000"/>
          <w:sz w:val="24"/>
        </w:rPr>
        <w:t>东北距芜湖市区约29.2km，东北距芜湖南火车站约24.5km，东距沪渝高速公路约20km，东距S321省道约6.2km，南距繁昌老火车站约14.2km。</w:t>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eastAsia="宋体" w:cs="Times New Roman"/>
          <w:color w:val="FF0000"/>
          <w:sz w:val="24"/>
          <w:lang w:eastAsia="zh-CN"/>
        </w:rPr>
      </w:pPr>
      <w:r>
        <w:rPr>
          <w:rFonts w:ascii="Times New Roman" w:hAnsi="Times New Roman" w:eastAsia="宋体" w:cs="Times New Roman"/>
          <w:color w:val="FF0000"/>
          <w:sz w:val="24"/>
        </w:rPr>
        <w:t>厂内机械化综合原料场</w:t>
      </w:r>
      <w:r>
        <w:rPr>
          <w:rFonts w:hint="eastAsia" w:ascii="Times New Roman" w:hAnsi="Times New Roman" w:eastAsia="宋体" w:cs="Times New Roman"/>
          <w:color w:val="FF0000"/>
          <w:sz w:val="24"/>
        </w:rPr>
        <w:t>位于</w:t>
      </w:r>
      <w:r>
        <w:rPr>
          <w:rFonts w:ascii="Times New Roman" w:hAnsi="Times New Roman" w:eastAsia="宋体" w:cs="Times New Roman"/>
          <w:color w:val="FF0000"/>
          <w:sz w:val="24"/>
        </w:rPr>
        <w:t>场地西侧，铁路来料</w:t>
      </w:r>
      <w:r>
        <w:rPr>
          <w:rFonts w:hint="eastAsia" w:ascii="Times New Roman" w:hAnsi="Times New Roman" w:eastAsia="宋体" w:cs="Times New Roman"/>
          <w:color w:val="FF0000"/>
          <w:sz w:val="24"/>
        </w:rPr>
        <w:t>利用</w:t>
      </w:r>
      <w:r>
        <w:rPr>
          <w:rFonts w:ascii="Times New Roman" w:hAnsi="Times New Roman" w:eastAsia="宋体" w:cs="Times New Roman"/>
          <w:color w:val="FF0000"/>
          <w:sz w:val="24"/>
        </w:rPr>
        <w:t>华电现有火车线倾翻卸料，水运来料通过三山港区外运码头运</w:t>
      </w:r>
      <w:r>
        <w:rPr>
          <w:rFonts w:hint="eastAsia" w:ascii="Times New Roman" w:hAnsi="Times New Roman" w:eastAsia="宋体" w:cs="Times New Roman"/>
          <w:color w:val="FF0000"/>
          <w:sz w:val="24"/>
        </w:rPr>
        <w:t>入</w:t>
      </w:r>
      <w:r>
        <w:rPr>
          <w:rFonts w:ascii="Times New Roman" w:hAnsi="Times New Roman" w:eastAsia="宋体" w:cs="Times New Roman"/>
          <w:color w:val="FF0000"/>
          <w:sz w:val="24"/>
        </w:rPr>
        <w:t>，道路来料通过厂区主出入口经由厂内道路运至料场东侧汽车受料槽。</w:t>
      </w:r>
      <w:r>
        <w:rPr>
          <w:rFonts w:hint="eastAsia" w:ascii="Times New Roman" w:hAnsi="Times New Roman" w:eastAsia="宋体" w:cs="Times New Roman"/>
          <w:color w:val="FF0000"/>
          <w:sz w:val="24"/>
        </w:rPr>
        <w:t>原</w:t>
      </w:r>
      <w:r>
        <w:rPr>
          <w:rFonts w:ascii="Times New Roman" w:hAnsi="Times New Roman" w:eastAsia="宋体" w:cs="Times New Roman"/>
          <w:color w:val="FF0000"/>
          <w:sz w:val="24"/>
        </w:rPr>
        <w:t>料场东侧为烧结车间，料场采用胶带供料。烧结车间东侧为原煤</w:t>
      </w:r>
      <w:r>
        <w:rPr>
          <w:rFonts w:hint="eastAsia" w:ascii="Times New Roman" w:hAnsi="Times New Roman" w:eastAsia="宋体" w:cs="Times New Roman"/>
          <w:color w:val="FF0000"/>
          <w:sz w:val="24"/>
          <w:lang w:eastAsia="zh-CN"/>
        </w:rPr>
        <w:t>仓</w:t>
      </w:r>
      <w:r>
        <w:rPr>
          <w:rFonts w:ascii="Times New Roman" w:hAnsi="Times New Roman" w:eastAsia="宋体" w:cs="Times New Roman"/>
          <w:color w:val="FF0000"/>
          <w:sz w:val="24"/>
        </w:rPr>
        <w:t>。煤</w:t>
      </w:r>
      <w:r>
        <w:rPr>
          <w:rFonts w:hint="eastAsia" w:ascii="Times New Roman" w:hAnsi="Times New Roman" w:eastAsia="宋体" w:cs="Times New Roman"/>
          <w:color w:val="FF0000"/>
          <w:sz w:val="24"/>
          <w:lang w:eastAsia="zh-CN"/>
        </w:rPr>
        <w:t>仓</w:t>
      </w:r>
      <w:r>
        <w:rPr>
          <w:rFonts w:ascii="Times New Roman" w:hAnsi="Times New Roman" w:eastAsia="宋体" w:cs="Times New Roman"/>
          <w:color w:val="FF0000"/>
          <w:sz w:val="24"/>
        </w:rPr>
        <w:t>南侧为高炉区，石灰车间及堆场置于高炉区内，通过高炉矿槽胶带上料。焦化车间置于高炉区东侧，采用胶带运输上料。高炉区南侧为</w:t>
      </w:r>
      <w:r>
        <w:rPr>
          <w:rFonts w:hint="eastAsia" w:ascii="Times New Roman" w:hAnsi="Times New Roman" w:eastAsia="宋体" w:cs="Times New Roman"/>
          <w:color w:val="FF0000"/>
          <w:sz w:val="24"/>
          <w:lang w:eastAsia="zh-CN"/>
        </w:rPr>
        <w:t>球磨</w:t>
      </w:r>
      <w:r>
        <w:rPr>
          <w:rFonts w:ascii="Times New Roman" w:hAnsi="Times New Roman" w:eastAsia="宋体" w:cs="Times New Roman"/>
          <w:color w:val="FF0000"/>
          <w:sz w:val="24"/>
        </w:rPr>
        <w:t>铸管车间，铁水通过铁路运输。铸管车间西侧为炼钢</w:t>
      </w:r>
      <w:r>
        <w:rPr>
          <w:rFonts w:hint="eastAsia" w:ascii="Times New Roman" w:hAnsi="Times New Roman" w:eastAsia="宋体" w:cs="Times New Roman"/>
          <w:color w:val="FF0000"/>
          <w:sz w:val="24"/>
          <w:lang w:eastAsia="zh-CN"/>
        </w:rPr>
        <w:t>连铸</w:t>
      </w:r>
      <w:r>
        <w:rPr>
          <w:rFonts w:ascii="Times New Roman" w:hAnsi="Times New Roman" w:eastAsia="宋体" w:cs="Times New Roman"/>
          <w:color w:val="FF0000"/>
          <w:sz w:val="24"/>
        </w:rPr>
        <w:t>车间，炼钢</w:t>
      </w:r>
      <w:r>
        <w:rPr>
          <w:rFonts w:hint="eastAsia" w:ascii="Times New Roman" w:hAnsi="Times New Roman" w:eastAsia="宋体" w:cs="Times New Roman"/>
          <w:color w:val="FF0000"/>
          <w:sz w:val="24"/>
          <w:lang w:eastAsia="zh-CN"/>
        </w:rPr>
        <w:t>连铸</w:t>
      </w:r>
      <w:r>
        <w:rPr>
          <w:rFonts w:ascii="Times New Roman" w:hAnsi="Times New Roman" w:eastAsia="宋体" w:cs="Times New Roman"/>
          <w:color w:val="FF0000"/>
          <w:sz w:val="24"/>
        </w:rPr>
        <w:t>车间南侧为轧钢区，铁水通过铁路运输至炼钢车间。轧钢区自西向东依次为大棒材车间、</w:t>
      </w:r>
      <w:r>
        <w:rPr>
          <w:rFonts w:hint="eastAsia" w:ascii="Times New Roman" w:hAnsi="Times New Roman" w:eastAsia="宋体" w:cs="Times New Roman"/>
          <w:color w:val="FF0000"/>
          <w:sz w:val="24"/>
          <w:lang w:eastAsia="zh-CN"/>
        </w:rPr>
        <w:t>中棒材车间、</w:t>
      </w:r>
      <w:r>
        <w:rPr>
          <w:rFonts w:ascii="Times New Roman" w:hAnsi="Times New Roman" w:eastAsia="宋体" w:cs="Times New Roman"/>
          <w:color w:val="FF0000"/>
          <w:sz w:val="24"/>
        </w:rPr>
        <w:t>双高线车间</w:t>
      </w:r>
      <w:r>
        <w:rPr>
          <w:rFonts w:hint="eastAsia" w:ascii="Times New Roman" w:hAnsi="Times New Roman" w:eastAsia="宋体" w:cs="Times New Roman"/>
          <w:color w:val="FF0000"/>
          <w:sz w:val="24"/>
          <w:lang w:eastAsia="zh-CN"/>
        </w:rPr>
        <w:t>和</w:t>
      </w:r>
      <w:r>
        <w:rPr>
          <w:rFonts w:ascii="Times New Roman" w:hAnsi="Times New Roman" w:eastAsia="宋体" w:cs="Times New Roman"/>
          <w:color w:val="FF0000"/>
          <w:sz w:val="24"/>
        </w:rPr>
        <w:t>小棒材车间。轧钢区西侧为铸钢车间。成品车间置于轧钢车间南侧，成品通过铁路运出厂外。制氧和煤气柜区位于轧钢区的东南侧，其余公辅设施均靠近主服务车间，厂区总体布置见图3</w:t>
      </w:r>
      <w:r>
        <w:rPr>
          <w:rFonts w:hint="eastAsia" w:ascii="Times New Roman" w:hAnsi="Times New Roman" w:eastAsia="宋体" w:cs="Times New Roman"/>
          <w:color w:val="FF0000"/>
          <w:sz w:val="24"/>
          <w:lang w:val="en-US" w:eastAsia="zh-CN"/>
        </w:rPr>
        <w:t>.</w:t>
      </w:r>
      <w:r>
        <w:rPr>
          <w:rFonts w:ascii="Times New Roman" w:hAnsi="Times New Roman" w:eastAsia="宋体" w:cs="Times New Roman"/>
          <w:color w:val="FF0000"/>
          <w:sz w:val="24"/>
        </w:rPr>
        <w:t>2-</w:t>
      </w:r>
      <w:r>
        <w:rPr>
          <w:rFonts w:hint="eastAsia" w:ascii="Times New Roman" w:hAnsi="Times New Roman" w:eastAsia="宋体" w:cs="Times New Roman"/>
          <w:color w:val="FF0000"/>
          <w:sz w:val="24"/>
        </w:rPr>
        <w:t>1</w:t>
      </w:r>
      <w:r>
        <w:rPr>
          <w:rFonts w:hint="eastAsia" w:ascii="Times New Roman" w:hAnsi="Times New Roman" w:eastAsia="宋体" w:cs="Times New Roman"/>
          <w:color w:val="FF0000"/>
          <w:sz w:val="24"/>
          <w:lang w:eastAsia="zh-CN"/>
        </w:rPr>
        <w:t>所示，厂区雨污管网分布图见图</w:t>
      </w:r>
      <w:r>
        <w:rPr>
          <w:rFonts w:hint="eastAsia" w:ascii="Times New Roman" w:hAnsi="Times New Roman" w:eastAsia="宋体" w:cs="Times New Roman"/>
          <w:color w:val="FF0000"/>
          <w:sz w:val="24"/>
          <w:lang w:val="en-US" w:eastAsia="zh-CN"/>
        </w:rPr>
        <w:t>3.2-2所示</w:t>
      </w:r>
      <w:r>
        <w:rPr>
          <w:rFonts w:hint="eastAsia" w:ascii="Times New Roman" w:hAnsi="Times New Roman" w:eastAsia="宋体" w:cs="Times New Roman"/>
          <w:color w:val="FF0000"/>
          <w:sz w:val="24"/>
          <w:lang w:eastAsia="zh-CN"/>
        </w:rPr>
        <w:t>。</w:t>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eastAsia="宋体" w:cs="Times New Roman"/>
          <w:sz w:val="24"/>
          <w:lang w:eastAsia="zh-CN"/>
        </w:rPr>
      </w:pP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eastAsia="宋体" w:cs="Times New Roman"/>
          <w:sz w:val="24"/>
          <w:lang w:eastAsia="zh-CN"/>
        </w:rPr>
      </w:pP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eastAsia="宋体" w:cs="Times New Roman"/>
          <w:sz w:val="24"/>
          <w:lang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spacing w:after="0" w:line="360" w:lineRule="auto"/>
        <w:ind w:firstLine="0" w:firstLineChars="0"/>
        <w:jc w:val="center"/>
        <w:textAlignment w:val="auto"/>
        <w:rPr>
          <w:rFonts w:hint="eastAsia" w:ascii="Times New Roman" w:hAnsi="Times New Roman" w:eastAsia="宋体" w:cs="Times New Roman"/>
          <w:sz w:val="24"/>
          <w:lang w:val="en-US" w:eastAsia="zh-CN"/>
        </w:rPr>
      </w:pPr>
      <w:r>
        <w:rPr>
          <w:sz w:val="24"/>
        </w:rPr>
        <w:pict>
          <v:shape id="_x0000_s1050" o:spid="_x0000_s1050" o:spt="202" type="#_x0000_t202" style="position:absolute;left:0pt;margin-left:280.8pt;margin-top:436.3pt;height:27pt;width:253.25pt;z-index:252407808;mso-width-relative:page;mso-height-relative:page;" filled="f" stroked="f" coordsize="21600,21600">
            <v:path/>
            <v:fill on="f" focussize="0,0"/>
            <v:stroke on="f"/>
            <v:imagedata o:title=""/>
            <o:lock v:ext="edit" aspectratio="f"/>
            <v:textbox>
              <w:txbxContent>
                <w:p>
                  <w:pPr>
                    <w:rPr>
                      <w:rFonts w:hint="eastAsia" w:eastAsia="黑体"/>
                      <w:color w:val="FF0000"/>
                      <w:lang w:eastAsia="zh-CN"/>
                    </w:rPr>
                  </w:pPr>
                  <w:r>
                    <w:rPr>
                      <w:rFonts w:hint="eastAsia" w:ascii="Times New Roman" w:hAnsi="Times New Roman" w:eastAsia="黑体"/>
                      <w:color w:val="FF0000"/>
                      <w:sz w:val="24"/>
                      <w:szCs w:val="24"/>
                    </w:rPr>
                    <w:t>图3.1-</w:t>
                  </w:r>
                  <w:r>
                    <w:rPr>
                      <w:rFonts w:hint="eastAsia" w:ascii="Times New Roman" w:hAnsi="Times New Roman" w:eastAsia="黑体"/>
                      <w:color w:val="FF0000"/>
                      <w:sz w:val="24"/>
                      <w:szCs w:val="24"/>
                      <w:lang w:val="en-US" w:eastAsia="zh-CN"/>
                    </w:rPr>
                    <w:t>2</w:t>
                  </w:r>
                  <w:r>
                    <w:rPr>
                      <w:rFonts w:hint="eastAsia" w:ascii="Times New Roman" w:hAnsi="Times New Roman" w:eastAsia="黑体"/>
                      <w:color w:val="FF0000"/>
                      <w:sz w:val="24"/>
                      <w:szCs w:val="24"/>
                    </w:rPr>
                    <w:t xml:space="preserve"> </w:t>
                  </w:r>
                  <w:r>
                    <w:rPr>
                      <w:rFonts w:hint="eastAsia" w:ascii="Times New Roman" w:hAnsi="Times New Roman" w:eastAsia="黑体"/>
                      <w:color w:val="FF0000"/>
                      <w:sz w:val="24"/>
                      <w:szCs w:val="24"/>
                      <w:lang w:val="en-US" w:eastAsia="zh-CN"/>
                    </w:rPr>
                    <w:t xml:space="preserve"> </w:t>
                  </w:r>
                  <w:r>
                    <w:rPr>
                      <w:rFonts w:ascii="Times New Roman" w:hAnsi="Times New Roman" w:eastAsia="黑体" w:cs="宋体"/>
                      <w:color w:val="FF0000"/>
                      <w:kern w:val="0"/>
                      <w:sz w:val="24"/>
                      <w:szCs w:val="24"/>
                    </w:rPr>
                    <w:t>厂区</w:t>
                  </w:r>
                  <w:r>
                    <w:rPr>
                      <w:rFonts w:hint="eastAsia" w:ascii="Times New Roman" w:hAnsi="Times New Roman" w:eastAsia="黑体" w:cs="宋体"/>
                      <w:color w:val="FF0000"/>
                      <w:kern w:val="0"/>
                      <w:sz w:val="24"/>
                      <w:szCs w:val="24"/>
                      <w:lang w:eastAsia="zh-CN"/>
                    </w:rPr>
                    <w:t>平面布置图</w:t>
                  </w:r>
                </w:p>
              </w:txbxContent>
            </v:textbox>
          </v:shape>
        </w:pict>
      </w:r>
      <w:r>
        <w:rPr>
          <w:rFonts w:hint="eastAsia" w:ascii="Times New Roman" w:hAnsi="Times New Roman" w:eastAsia="宋体" w:cs="Times New Roman"/>
          <w:sz w:val="24"/>
          <w:lang w:val="en-US" w:eastAsia="zh-CN"/>
        </w:rPr>
        <w:drawing>
          <wp:inline distT="0" distB="0" distL="114300" distR="114300">
            <wp:extent cx="8800465" cy="5270500"/>
            <wp:effectExtent l="0" t="0" r="635" b="6350"/>
            <wp:docPr id="13" name="图片 13" descr="厂区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厂区平面布置图"/>
                    <pic:cNvPicPr>
                      <a:picLocks noChangeAspect="1"/>
                    </pic:cNvPicPr>
                  </pic:nvPicPr>
                  <pic:blipFill>
                    <a:blip r:embed="rId17"/>
                    <a:stretch>
                      <a:fillRect/>
                    </a:stretch>
                  </pic:blipFill>
                  <pic:spPr>
                    <a:xfrm>
                      <a:off x="0" y="0"/>
                      <a:ext cx="8800465" cy="527050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eastAsia="宋体" w:cs="Times New Roman"/>
          <w:sz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spacing w:after="0" w:line="360" w:lineRule="auto"/>
        <w:ind w:firstLine="0" w:firstLineChars="0"/>
        <w:jc w:val="center"/>
        <w:textAlignment w:val="auto"/>
        <w:rPr>
          <w:rFonts w:hint="eastAsia" w:ascii="Times New Roman" w:hAnsi="Times New Roman" w:eastAsia="宋体" w:cs="Times New Roman"/>
          <w:sz w:val="24"/>
          <w:lang w:val="en-US" w:eastAsia="zh-CN"/>
        </w:rPr>
      </w:pPr>
      <w:r>
        <w:rPr>
          <w:sz w:val="24"/>
        </w:rPr>
        <w:pict>
          <v:shape id="_x0000_s1051" o:spid="_x0000_s1051" o:spt="202" type="#_x0000_t202" style="position:absolute;left:0pt;margin-left:264.2pt;margin-top:434.8pt;height:27pt;width:253.25pt;z-index:253158400;mso-width-relative:page;mso-height-relative:page;" filled="f" stroked="f" coordsize="21600,21600">
            <v:path/>
            <v:fill on="f" focussize="0,0"/>
            <v:stroke on="f"/>
            <v:imagedata o:title=""/>
            <o:lock v:ext="edit" aspectratio="f"/>
            <v:textbox>
              <w:txbxContent>
                <w:p>
                  <w:pPr>
                    <w:rPr>
                      <w:rFonts w:hint="eastAsia" w:eastAsia="黑体"/>
                      <w:color w:val="FF0000"/>
                      <w:lang w:eastAsia="zh-CN"/>
                    </w:rPr>
                  </w:pPr>
                  <w:r>
                    <w:rPr>
                      <w:rFonts w:hint="eastAsia" w:ascii="Times New Roman" w:hAnsi="Times New Roman" w:eastAsia="黑体"/>
                      <w:color w:val="FF0000"/>
                      <w:sz w:val="24"/>
                      <w:szCs w:val="24"/>
                    </w:rPr>
                    <w:t>图3.1-</w:t>
                  </w:r>
                  <w:r>
                    <w:rPr>
                      <w:rFonts w:hint="eastAsia" w:ascii="Times New Roman" w:hAnsi="Times New Roman" w:eastAsia="黑体"/>
                      <w:color w:val="FF0000"/>
                      <w:sz w:val="24"/>
                      <w:szCs w:val="24"/>
                      <w:lang w:val="en-US" w:eastAsia="zh-CN"/>
                    </w:rPr>
                    <w:t>3</w:t>
                  </w:r>
                  <w:r>
                    <w:rPr>
                      <w:rFonts w:hint="eastAsia" w:ascii="Times New Roman" w:hAnsi="Times New Roman" w:eastAsia="黑体"/>
                      <w:color w:val="FF0000"/>
                      <w:sz w:val="24"/>
                      <w:szCs w:val="24"/>
                    </w:rPr>
                    <w:t xml:space="preserve"> </w:t>
                  </w:r>
                  <w:r>
                    <w:rPr>
                      <w:rFonts w:hint="eastAsia" w:ascii="Times New Roman" w:hAnsi="Times New Roman" w:eastAsia="黑体"/>
                      <w:color w:val="FF0000"/>
                      <w:sz w:val="24"/>
                      <w:szCs w:val="24"/>
                      <w:lang w:val="en-US" w:eastAsia="zh-CN"/>
                    </w:rPr>
                    <w:t xml:space="preserve"> </w:t>
                  </w:r>
                  <w:r>
                    <w:rPr>
                      <w:rFonts w:ascii="Times New Roman" w:hAnsi="Times New Roman" w:eastAsia="黑体" w:cs="宋体"/>
                      <w:color w:val="FF0000"/>
                      <w:kern w:val="0"/>
                      <w:sz w:val="24"/>
                      <w:szCs w:val="24"/>
                    </w:rPr>
                    <w:t>厂区</w:t>
                  </w:r>
                  <w:r>
                    <w:rPr>
                      <w:rFonts w:hint="eastAsia" w:ascii="Times New Roman" w:hAnsi="Times New Roman" w:eastAsia="黑体" w:cs="宋体"/>
                      <w:color w:val="FF0000"/>
                      <w:kern w:val="0"/>
                      <w:sz w:val="24"/>
                      <w:szCs w:val="24"/>
                      <w:lang w:eastAsia="zh-CN"/>
                    </w:rPr>
                    <w:t>污水管网分布图</w:t>
                  </w:r>
                </w:p>
              </w:txbxContent>
            </v:textbox>
          </v:shape>
        </w:pict>
      </w:r>
      <w:r>
        <w:rPr>
          <w:rFonts w:hint="eastAsia" w:ascii="Times New Roman" w:hAnsi="Times New Roman" w:eastAsia="宋体" w:cs="Times New Roman"/>
          <w:sz w:val="24"/>
          <w:lang w:val="en-US" w:eastAsia="zh-CN"/>
        </w:rPr>
        <w:drawing>
          <wp:inline distT="0" distB="0" distL="114300" distR="114300">
            <wp:extent cx="7857490" cy="5267325"/>
            <wp:effectExtent l="0" t="0" r="10160" b="9525"/>
            <wp:docPr id="14" name="图片 14" descr="污水管网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污水管网分布图"/>
                    <pic:cNvPicPr>
                      <a:picLocks noChangeAspect="1"/>
                    </pic:cNvPicPr>
                  </pic:nvPicPr>
                  <pic:blipFill>
                    <a:blip r:embed="rId18"/>
                    <a:stretch>
                      <a:fillRect/>
                    </a:stretch>
                  </pic:blipFill>
                  <pic:spPr>
                    <a:xfrm>
                      <a:off x="0" y="0"/>
                      <a:ext cx="7857490" cy="526732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0" w:firstLineChars="0"/>
        <w:jc w:val="center"/>
        <w:textAlignment w:val="auto"/>
        <w:rPr>
          <w:rFonts w:hint="eastAsia" w:ascii="Times New Roman" w:hAnsi="Times New Roman" w:eastAsia="宋体" w:cs="Times New Roman"/>
          <w:sz w:val="24"/>
          <w:lang w:val="en-US" w:eastAsia="zh-CN"/>
        </w:rPr>
      </w:pPr>
      <w:r>
        <w:rPr>
          <w:sz w:val="24"/>
        </w:rPr>
        <w:pict>
          <v:shape id="_x0000_s1053" o:spid="_x0000_s1053" o:spt="202" type="#_x0000_t202" style="position:absolute;left:0pt;margin-left:264.2pt;margin-top:434.8pt;height:27pt;width:253.25pt;z-index:254659584;mso-width-relative:page;mso-height-relative:page;" filled="f" stroked="f" coordsize="21600,21600">
            <v:path/>
            <v:fill on="f" focussize="0,0"/>
            <v:stroke on="f"/>
            <v:imagedata o:title=""/>
            <o:lock v:ext="edit" aspectratio="f"/>
            <v:textbox>
              <w:txbxContent>
                <w:p>
                  <w:pPr>
                    <w:rPr>
                      <w:rFonts w:hint="eastAsia" w:eastAsia="黑体"/>
                      <w:color w:val="FF0000"/>
                      <w:lang w:eastAsia="zh-CN"/>
                    </w:rPr>
                  </w:pPr>
                  <w:r>
                    <w:rPr>
                      <w:rFonts w:hint="eastAsia" w:ascii="Times New Roman" w:hAnsi="Times New Roman" w:eastAsia="黑体"/>
                      <w:color w:val="FF0000"/>
                      <w:sz w:val="24"/>
                      <w:szCs w:val="24"/>
                    </w:rPr>
                    <w:t>图3.1-</w:t>
                  </w:r>
                  <w:r>
                    <w:rPr>
                      <w:rFonts w:hint="eastAsia" w:ascii="Times New Roman" w:hAnsi="Times New Roman" w:eastAsia="黑体"/>
                      <w:color w:val="FF0000"/>
                      <w:sz w:val="24"/>
                      <w:szCs w:val="24"/>
                      <w:lang w:val="en-US" w:eastAsia="zh-CN"/>
                    </w:rPr>
                    <w:t>4</w:t>
                  </w:r>
                  <w:r>
                    <w:rPr>
                      <w:rFonts w:hint="eastAsia" w:ascii="Times New Roman" w:hAnsi="Times New Roman" w:eastAsia="黑体"/>
                      <w:color w:val="FF0000"/>
                      <w:sz w:val="24"/>
                      <w:szCs w:val="24"/>
                    </w:rPr>
                    <w:t xml:space="preserve"> </w:t>
                  </w:r>
                  <w:r>
                    <w:rPr>
                      <w:rFonts w:hint="eastAsia" w:ascii="Times New Roman" w:hAnsi="Times New Roman" w:eastAsia="黑体"/>
                      <w:color w:val="FF0000"/>
                      <w:sz w:val="24"/>
                      <w:szCs w:val="24"/>
                      <w:lang w:val="en-US" w:eastAsia="zh-CN"/>
                    </w:rPr>
                    <w:t xml:space="preserve"> </w:t>
                  </w:r>
                  <w:r>
                    <w:rPr>
                      <w:rFonts w:ascii="Times New Roman" w:hAnsi="Times New Roman" w:eastAsia="黑体" w:cs="宋体"/>
                      <w:color w:val="FF0000"/>
                      <w:kern w:val="0"/>
                      <w:sz w:val="24"/>
                      <w:szCs w:val="24"/>
                    </w:rPr>
                    <w:t>厂区</w:t>
                  </w:r>
                  <w:r>
                    <w:rPr>
                      <w:rFonts w:hint="eastAsia" w:ascii="Times New Roman" w:hAnsi="Times New Roman" w:eastAsia="黑体" w:cs="宋体"/>
                      <w:color w:val="FF0000"/>
                      <w:kern w:val="0"/>
                      <w:sz w:val="24"/>
                      <w:szCs w:val="24"/>
                      <w:lang w:eastAsia="zh-CN"/>
                    </w:rPr>
                    <w:t>雨水管网分布图</w:t>
                  </w:r>
                </w:p>
              </w:txbxContent>
            </v:textbox>
          </v:shape>
        </w:pict>
      </w:r>
      <w:r>
        <w:rPr>
          <w:rFonts w:hint="eastAsia" w:ascii="Times New Roman" w:hAnsi="Times New Roman" w:eastAsia="宋体" w:cs="Times New Roman"/>
          <w:sz w:val="24"/>
          <w:lang w:val="en-US" w:eastAsia="zh-CN"/>
        </w:rPr>
        <w:drawing>
          <wp:inline distT="0" distB="0" distL="114300" distR="114300">
            <wp:extent cx="7372350" cy="5261610"/>
            <wp:effectExtent l="0" t="0" r="0" b="15240"/>
            <wp:docPr id="15" name="图片 15" descr="雨水管网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雨水管网分布图"/>
                    <pic:cNvPicPr>
                      <a:picLocks noChangeAspect="1"/>
                    </pic:cNvPicPr>
                  </pic:nvPicPr>
                  <pic:blipFill>
                    <a:blip r:embed="rId19"/>
                    <a:stretch>
                      <a:fillRect/>
                    </a:stretch>
                  </pic:blipFill>
                  <pic:spPr>
                    <a:xfrm>
                      <a:off x="0" y="0"/>
                      <a:ext cx="7372350" cy="526161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eastAsia="宋体" w:cs="Times New Roman"/>
          <w:sz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27"/>
        <w:keepNext w:val="0"/>
        <w:keepLines w:val="0"/>
        <w:pageBreakBefore w:val="0"/>
        <w:widowControl w:val="0"/>
        <w:kinsoku/>
        <w:wordWrap/>
        <w:overflowPunct/>
        <w:topLinePunct w:val="0"/>
        <w:autoSpaceDE/>
        <w:autoSpaceDN/>
        <w:bidi w:val="0"/>
        <w:adjustRightInd/>
        <w:snapToGrid/>
        <w:spacing w:before="156" w:after="156" w:line="360" w:lineRule="auto"/>
        <w:textAlignment w:val="auto"/>
        <w:rPr>
          <w:rFonts w:ascii="Times New Roman"/>
          <w:b w:val="0"/>
        </w:rPr>
      </w:pPr>
      <w:r>
        <w:rPr>
          <w:rFonts w:ascii="Times New Roman"/>
          <w:b w:val="0"/>
        </w:rPr>
        <w:t>3.2污染因素分析</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3.2.1生产工艺及产污环节</w:t>
      </w:r>
    </w:p>
    <w:p>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ascii="Times New Roman" w:hAnsi="Times New Roman" w:eastAsia="宋体" w:cs="Times New Roman"/>
          <w:sz w:val="24"/>
        </w:rPr>
      </w:pPr>
      <w:r>
        <w:rPr>
          <w:rFonts w:ascii="Times New Roman" w:hAnsi="Times New Roman" w:eastAsia="宋体" w:cs="Times New Roman"/>
          <w:sz w:val="24"/>
        </w:rPr>
        <w:t>现有厂区包括原料场、烧结、焦化、炼铁、铸管、炼钢、轧钢等主要生产单元，各生产单元生产工艺流程如下：</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3.2.1.2原料场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机械化原料场主要为烧结、焦化、高炉服务，包括受卸设施、一次料场、供料设施、取制样设施及公用辅助设施等。汽车受料设直接供应输送系统，实现厂外原料短距离直供（不占用堆取料机），降低堆取料机的使用率。</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（1）受卸设施</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为保证原料顺畅流动，综合原料场设置码头来料输入接口。</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火车受卸设施，设置2条铁路卸车线，每条线长120m，可停卸8节车皮，共配置4台链斗卸车机卸车，链斗卸车机将原燃料卸至一次料场的输入系统并运往一次料场贮存。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汽车受料设施，设置3组汽车受料设施，共11个&gt;40t自卸汽车受料槽。接受厂外汽车运来的原燃料和厂内含铁废物。汽车受料槽地上设防雨棚，仓上设防止大块流入的格栅，仓下设给料设备实现连续输送。</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（2）贮料场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综合原料场占地面积约14.04万m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。堆取料机的布置可实现同时两进两出等4个系统作业的要求。</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堆取料机的堆料能力主要依据卸料能力选择，堆料能力为1500t/h（矿），取料机的能力为1200t/h（矿）。贮料场输送焦炭的系统能力为600t/h，输送含铁料和各种辅原料的系统能力为1200t/h。</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（3）供返料设施</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综合原料场集中管理各用户原燃料的配送。采用高速大运量、集中配送工艺，输送设备能力大、数量少，输送系统相互兼容、切换灵活可靠，可有效减少通廊占地，提高设备利用率，降低物料输送成本，使原料输送有序顺畅。</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①</w:t>
      </w:r>
      <w:r>
        <w:rPr>
          <w:rFonts w:ascii="Times New Roman" w:hAnsi="Times New Roman" w:eastAsia="宋体" w:cs="Times New Roman"/>
          <w:sz w:val="24"/>
        </w:rPr>
        <w:t>向烧结供料</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综合原料场设烧结原料输出系统，可向烧结供给原料、熔剂和燃料。供料系统采用双系统输送，其能力为1200t/h，带式输送机带宽1200mm，带速1.0m/s。</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②</w:t>
      </w:r>
      <w:r>
        <w:rPr>
          <w:rFonts w:ascii="Times New Roman" w:hAnsi="Times New Roman" w:eastAsia="宋体" w:cs="Times New Roman"/>
          <w:sz w:val="24"/>
        </w:rPr>
        <w:t>向炼铁供料</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综合原料场设炼铁供料系统，向矿槽输送块矿、球团矿、焦炭、落地烧结矿、杂矿等，供料系统采用单系统输送，在料场段可以和烧结共用原料输送系统，交叉使用，提高输送系统的可靠性。其系统能力为1200t/h，带式输送机带宽1200mm，带速2.0m/s。</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③</w:t>
      </w:r>
      <w:r>
        <w:rPr>
          <w:rFonts w:ascii="Times New Roman" w:hAnsi="Times New Roman" w:eastAsia="宋体" w:cs="Times New Roman"/>
          <w:sz w:val="24"/>
        </w:rPr>
        <w:t>烧结向炼铁供料</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烧结设炼铁供料系统，向矿槽输送烧结矿，供料系统采用单系统输送。其系统能力为1200t/h，带式输送机带宽1000mm，带速1.0m/s。</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（4）取制样设施</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为了对原燃料的品位、水分、强度等理化性能进行检验和测定，在综合原料场共设置4套自动取样和相应的制样设施。</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在受卸输出系统的带式输送机上设取样设备，并设取样站。对进厂原料进行取样，经缩分站处理后，制成标准试样送化验室检验，并将取样弃料回送到原输送系统。其目的是检查和测定进厂原料的品位和水分等，进行原料成分鉴定。</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各取样站均在线取样，离线制样，样品收集入筒，弃料返回原输送系统。取样制度为定时或定量取样，并设多挡选择。</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原料场生产工艺流程及产污节点图见图3.2-1。</w:t>
      </w:r>
    </w:p>
    <w:p>
      <w:pPr>
        <w:pStyle w:val="2"/>
        <w:keepNext w:val="0"/>
        <w:keepLines w:val="0"/>
        <w:pageBreakBefore w:val="0"/>
        <w:kinsoku/>
        <w:wordWrap/>
        <w:bidi w:val="0"/>
        <w:snapToGrid/>
        <w:spacing w:after="0" w:line="360" w:lineRule="auto"/>
        <w:jc w:val="center"/>
        <w:rPr>
          <w:rFonts w:ascii="Times New Roman" w:hAnsi="Times New Roman" w:cs="Times New Roman"/>
        </w:rPr>
      </w:pPr>
      <w:r>
        <w:rPr>
          <w:rFonts w:ascii="Times New Roman" w:hAnsi="Times New Roman" w:cs="Times New Roman"/>
        </w:rPr>
        <w:drawing>
          <wp:inline distT="0" distB="0" distL="114300" distR="114300">
            <wp:extent cx="4181475" cy="4248150"/>
            <wp:effectExtent l="0" t="0" r="952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0"/>
                    <a:stretch>
                      <a:fillRect/>
                    </a:stretch>
                  </pic:blipFill>
                  <pic:spPr>
                    <a:xfrm>
                      <a:off x="0" y="0"/>
                      <a:ext cx="4181475" cy="4248150"/>
                    </a:xfrm>
                    <a:prstGeom prst="rect">
                      <a:avLst/>
                    </a:prstGeom>
                    <a:noFill/>
                    <a:ln>
                      <a:noFill/>
                    </a:ln>
                  </pic:spPr>
                </pic:pic>
              </a:graphicData>
            </a:graphic>
          </wp:inline>
        </w:drawing>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图3.2-1  原料场生产工艺流程及产污节点图</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3.2.1.2石灰</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厂区</w:t>
      </w:r>
      <w:r>
        <w:rPr>
          <w:rFonts w:hint="eastAsia" w:ascii="Times New Roman" w:hAnsi="Times New Roman" w:eastAsia="宋体" w:cs="Times New Roman"/>
          <w:sz w:val="24"/>
        </w:rPr>
        <w:t>现有</w:t>
      </w:r>
      <w:r>
        <w:rPr>
          <w:rFonts w:ascii="Times New Roman" w:hAnsi="Times New Roman" w:eastAsia="宋体" w:cs="Times New Roman"/>
          <w:sz w:val="24"/>
        </w:rPr>
        <w:t>2座400t/d的回转窑，年产活性石灰27.6万t。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回转窑石灰生产线由原料运输、原料上料、原料筛分、竖式预热器、回转窑、竖式冷却器、烟气处理、燃烧系统、成品筛分及输送等系统组成，其生产工艺流程及产污节点图见图3.2-2。</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宋体" w:cs="Times New Roman"/>
          <w:sz w:val="24"/>
          <w:szCs w:val="24"/>
        </w:rPr>
        <w:object>
          <v:shape id="_x0000_i1026" o:spt="75" type="#_x0000_t75" style="height:547.2pt;width:453.9pt;" o:ole="t" filled="f" o:preferrelative="t" stroked="f" coordsize="21600,21600">
            <v:path/>
            <v:fill on="f" focussize="0,0"/>
            <v:stroke on="f" joinstyle="miter"/>
            <v:imagedata r:id="rId22" o:title=""/>
            <o:lock v:ext="edit" aspectratio="t"/>
            <w10:wrap type="none"/>
            <w10:anchorlock/>
          </v:shape>
          <o:OLEObject Type="Embed" ProgID="RFFlow4" ShapeID="_x0000_i1026" DrawAspect="Content" ObjectID="_1468075726" r:id="rId21">
            <o:LockedField>false</o:LockedField>
          </o:OLEObject>
        </w:object>
      </w:r>
      <w:r>
        <w:rPr>
          <w:rFonts w:ascii="Times New Roman" w:hAnsi="Times New Roman" w:eastAsia="黑体" w:cs="Times New Roman"/>
          <w:sz w:val="24"/>
        </w:rPr>
        <w:t>图3.2-2  石灰回转窑生产工艺流程及产污节点图</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3.2.1.3烧结</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厂区</w:t>
      </w:r>
      <w:r>
        <w:rPr>
          <w:rFonts w:hint="eastAsia" w:ascii="Times New Roman" w:hAnsi="Times New Roman" w:eastAsia="宋体" w:cs="Times New Roman"/>
          <w:sz w:val="24"/>
        </w:rPr>
        <w:t>现有</w:t>
      </w:r>
      <w:r>
        <w:rPr>
          <w:rFonts w:ascii="Times New Roman" w:hAnsi="Times New Roman" w:eastAsia="宋体" w:cs="Times New Roman"/>
          <w:sz w:val="24"/>
        </w:rPr>
        <w:t>2台265m</w:t>
      </w:r>
      <w:r>
        <w:rPr>
          <w:rFonts w:ascii="Times New Roman" w:hAnsi="Times New Roman" w:eastAsia="宋体" w:cs="Times New Roman"/>
          <w:sz w:val="24"/>
          <w:vertAlign w:val="superscript"/>
        </w:rPr>
        <w:t>2</w:t>
      </w:r>
      <w:r>
        <w:rPr>
          <w:rFonts w:ascii="Times New Roman" w:hAnsi="Times New Roman" w:eastAsia="宋体" w:cs="Times New Roman"/>
          <w:sz w:val="24"/>
        </w:rPr>
        <w:t>烧结机，设计</w:t>
      </w:r>
      <w:r>
        <w:rPr>
          <w:rFonts w:hint="eastAsia" w:ascii="Times New Roman" w:hAnsi="Times New Roman" w:eastAsia="宋体" w:cs="Times New Roman"/>
          <w:sz w:val="24"/>
        </w:rPr>
        <w:t>规模</w:t>
      </w:r>
      <w:r>
        <w:rPr>
          <w:rFonts w:ascii="Times New Roman" w:hAnsi="Times New Roman" w:eastAsia="宋体" w:cs="Times New Roman"/>
          <w:sz w:val="24"/>
        </w:rPr>
        <w:t>年产烧结矿628万t。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铁精矿、熔剂、燃料等按确定的比例分别通过定量圆盘给料机+胶带配料称或直拖式定量胶带给料机进行重量自动配料，由胶带运输机送至混合机进行加水混合，再由胶带机送至制粒机加水进行制粒，同时用蒸汽预热混合料；经过制粒和预热的混合料通过梭式布料机进入烧结机混合料矿槽，同时采用蒸汽射流预热；经圆辊布料机和曲面偏析布料机均匀等厚地布到铺有20~40mm厚铺底料的烧结机台车上。然后随着烧结机由头向尾经过点火、抽风烧结，最后变成烧结饼经单辊破碎机破碎后进入环冷机冷却到≤120℃；冷却后的烧结矿由胶带机送至筛分整粒室进行整粒筛分，再由胶带机运至成品仓或高炉供料系统。265m</w:t>
      </w:r>
      <w:r>
        <w:rPr>
          <w:rFonts w:ascii="Times New Roman" w:hAnsi="Times New Roman" w:eastAsia="宋体" w:cs="Times New Roman"/>
          <w:sz w:val="24"/>
          <w:vertAlign w:val="superscript"/>
        </w:rPr>
        <w:t>2</w:t>
      </w:r>
      <w:r>
        <w:rPr>
          <w:rFonts w:ascii="Times New Roman" w:hAnsi="Times New Roman" w:eastAsia="宋体" w:cs="Times New Roman"/>
          <w:sz w:val="24"/>
        </w:rPr>
        <w:t>烧结机生产工艺流程及产污节点图见图3.2-3。</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cs="Times New Roman"/>
        </w:rPr>
        <w:object>
          <v:shape id="_x0000_i1027" o:spt="75" type="#_x0000_t75" style="height:525.3pt;width:432pt;" o:ole="t" filled="f" o:preferrelative="t" stroked="f" coordsize="21600,21600">
            <v:path/>
            <v:fill on="f" focussize="0,0"/>
            <v:stroke on="f" joinstyle="miter"/>
            <v:imagedata r:id="rId24" o:title=""/>
            <o:lock v:ext="edit" aspectratio="t"/>
            <w10:wrap type="none"/>
            <w10:anchorlock/>
          </v:shape>
          <o:OLEObject Type="Embed" ProgID="RFFlow4" ShapeID="_x0000_i1027" DrawAspect="Content" ObjectID="_1468075727" r:id="rId23">
            <o:LockedField>false</o:LockedField>
          </o:OLEObject>
        </w:object>
      </w:r>
      <w:r>
        <w:rPr>
          <w:rFonts w:ascii="Times New Roman" w:hAnsi="Times New Roman" w:eastAsia="黑体" w:cs="Times New Roman"/>
          <w:sz w:val="24"/>
        </w:rPr>
        <w:t>图3.2-3  2×</w:t>
      </w:r>
      <w:r>
        <w:rPr>
          <w:rFonts w:ascii="Times New Roman" w:hAnsi="Times New Roman" w:eastAsia="黑体" w:cs="Times New Roman"/>
          <w:snapToGrid w:val="0"/>
          <w:kern w:val="0"/>
          <w:sz w:val="24"/>
        </w:rPr>
        <w:t>265m</w:t>
      </w:r>
      <w:r>
        <w:rPr>
          <w:rFonts w:ascii="Times New Roman" w:hAnsi="Times New Roman" w:eastAsia="黑体" w:cs="Times New Roman"/>
          <w:snapToGrid w:val="0"/>
          <w:kern w:val="0"/>
          <w:sz w:val="24"/>
          <w:vertAlign w:val="superscript"/>
        </w:rPr>
        <w:t>2</w:t>
      </w:r>
      <w:r>
        <w:rPr>
          <w:rFonts w:ascii="Times New Roman" w:hAnsi="Times New Roman" w:eastAsia="黑体" w:cs="Times New Roman"/>
          <w:snapToGrid w:val="0"/>
          <w:kern w:val="0"/>
          <w:sz w:val="24"/>
        </w:rPr>
        <w:t>烧结机生产工艺流程及排污节点示意</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3.2.1.4焦化</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厂区现有</w:t>
      </w:r>
      <w:r>
        <w:rPr>
          <w:rFonts w:ascii="Times New Roman" w:hAnsi="Times New Roman" w:eastAsia="宋体" w:cs="Times New Roman"/>
          <w:sz w:val="24"/>
        </w:rPr>
        <w:t>2座58孔6m焦炉，设计</w:t>
      </w:r>
      <w:r>
        <w:rPr>
          <w:rFonts w:hint="eastAsia" w:ascii="Times New Roman" w:hAnsi="Times New Roman" w:eastAsia="宋体" w:cs="Times New Roman"/>
          <w:sz w:val="24"/>
        </w:rPr>
        <w:t>规模</w:t>
      </w:r>
      <w:r>
        <w:rPr>
          <w:rFonts w:ascii="Times New Roman" w:hAnsi="Times New Roman" w:eastAsia="宋体" w:cs="Times New Roman"/>
          <w:sz w:val="24"/>
        </w:rPr>
        <w:t>年产焦炭120万t。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主要由备煤车间、炼焦车间、煤气净化车间组成。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（1）备煤车间</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备煤车间采用工艺过程简单、布置紧凑、操作方便的先配煤后粉碎工艺流程。备煤车间主要由配煤室、粉碎机室、煤塔顶层以及相应的带式输送机和转运站组成，并设有煤制样室等辅助设施。</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（2）炼焦车间</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炼焦车间由炼焦工段、干熄焦工段及筛焦工段组成。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①</w:t>
      </w:r>
      <w:r>
        <w:rPr>
          <w:rFonts w:ascii="Times New Roman" w:hAnsi="Times New Roman" w:eastAsia="宋体" w:cs="Times New Roman"/>
          <w:sz w:val="24"/>
        </w:rPr>
        <w:t>炼焦工段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炼焦工段主要包括焦炉本体、熄焦系统、装煤除尘及焦侧除尘系统。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炼焦工艺装备主要包括：集气系统、加热交换系统、护炉铁件、熄焦系统、焦炉除尘设施及辅助设施。</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焦炉机械主要包括：推焦机、拦焦机、装煤车、湿熄焦车、干湿两用电机车及液压交换机和煤塔电子秤。全套焦炉机械采用单元程序控制。</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②</w:t>
      </w:r>
      <w:r>
        <w:rPr>
          <w:rFonts w:ascii="Times New Roman" w:hAnsi="Times New Roman" w:eastAsia="宋体" w:cs="Times New Roman"/>
          <w:sz w:val="24"/>
        </w:rPr>
        <w:t>筛焦工段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筛焦工段由焦台、筛焦楼、炉前焦库及胶带运输系统组成。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采用干法熄焦时，干熄槽排出的冷焦经胶带机连续运至炉前焦库贮存，再通过胶带机定期运至筛焦楼。</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采用湿法熄焦时，焦台上的焦炭由刮板放焦机放到运焦胶带机上，由胶带机送到筛焦楼。</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③</w:t>
      </w:r>
      <w:r>
        <w:rPr>
          <w:rFonts w:ascii="Times New Roman" w:hAnsi="Times New Roman" w:eastAsia="宋体" w:cs="Times New Roman"/>
          <w:sz w:val="24"/>
        </w:rPr>
        <w:t>干熄焦工段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根据焦炉小时焦炭产量为~114t/h，配套建设额定处理能力为150t/h的干熄焦装置1套，余热锅炉产生的蒸汽用于发电。干法熄焦时，湿熄焦系统作为备用。</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干熄焦装置主要包括干熄炉、供气装置、一次及二次除尘器及循环系统。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（3）煤气净化车间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煤气净化车间年处理煤气量为41000×10</w:t>
      </w:r>
      <w:r>
        <w:rPr>
          <w:rFonts w:ascii="Times New Roman" w:hAnsi="Times New Roman" w:eastAsia="宋体" w:cs="Times New Roman"/>
          <w:sz w:val="24"/>
          <w:vertAlign w:val="superscript"/>
        </w:rPr>
        <w:t>4</w:t>
      </w:r>
      <w:r>
        <w:rPr>
          <w:rFonts w:ascii="Times New Roman" w:hAnsi="Times New Roman" w:eastAsia="宋体" w:cs="Times New Roman"/>
          <w:sz w:val="24"/>
        </w:rPr>
        <w:t>m</w:t>
      </w:r>
      <w:r>
        <w:rPr>
          <w:rFonts w:ascii="Times New Roman" w:hAnsi="Times New Roman" w:eastAsia="宋体" w:cs="Times New Roman"/>
          <w:sz w:val="24"/>
          <w:vertAlign w:val="superscript"/>
        </w:rPr>
        <w:t>3</w:t>
      </w:r>
      <w:r>
        <w:rPr>
          <w:rFonts w:ascii="Times New Roman" w:hAnsi="Times New Roman" w:eastAsia="宋体" w:cs="Times New Roman"/>
          <w:sz w:val="24"/>
        </w:rPr>
        <w:t>/a。</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煤气净化车间组成为：冷凝鼓风工段、KXTT脱硫提盐工段、硫铵工段</w:t>
      </w:r>
      <w:r>
        <w:rPr>
          <w:rFonts w:hint="eastAsia" w:ascii="Times New Roman" w:hAnsi="Times New Roman" w:eastAsia="宋体" w:cs="Times New Roman"/>
          <w:sz w:val="24"/>
        </w:rPr>
        <w:t>（</w:t>
      </w:r>
      <w:r>
        <w:rPr>
          <w:rFonts w:ascii="Times New Roman" w:hAnsi="Times New Roman" w:eastAsia="宋体" w:cs="Times New Roman"/>
          <w:sz w:val="24"/>
        </w:rPr>
        <w:t>含剩余氨水蒸氨装置</w:t>
      </w:r>
      <w:r>
        <w:rPr>
          <w:rFonts w:hint="eastAsia" w:ascii="Times New Roman" w:hAnsi="Times New Roman" w:eastAsia="宋体" w:cs="Times New Roman"/>
          <w:sz w:val="24"/>
        </w:rPr>
        <w:t>）</w:t>
      </w:r>
      <w:r>
        <w:rPr>
          <w:rFonts w:ascii="Times New Roman" w:hAnsi="Times New Roman" w:eastAsia="宋体" w:cs="Times New Roman"/>
          <w:sz w:val="24"/>
        </w:rPr>
        <w:t>、终冷洗苯工段、粗苯蒸馏工段和油库工段。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①</w:t>
      </w:r>
      <w:r>
        <w:rPr>
          <w:rFonts w:ascii="Times New Roman" w:hAnsi="Times New Roman" w:eastAsia="宋体" w:cs="Times New Roman"/>
          <w:bCs/>
          <w:sz w:val="24"/>
        </w:rPr>
        <w:t>冷凝鼓风工段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该工段的主要任务是煤气的冷凝、冷却和加压输送；焦油、氨水和焦油渣的分离、贮存和输送；煤气中焦油雾滴及萘的脱除。其主要工艺设备包括初冷器、煤气鼓风机、机械化氨水澄清槽及电捕焦油器等。</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②</w:t>
      </w:r>
      <w:r>
        <w:rPr>
          <w:rFonts w:ascii="Times New Roman" w:hAnsi="Times New Roman" w:eastAsia="宋体" w:cs="Times New Roman"/>
          <w:sz w:val="24"/>
        </w:rPr>
        <w:t>脱硫提盐工段</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KXTT脱硫工段包括脱硫、提盐及剩余氨水蒸氨两部分。其作用是将焦炉煤气中的硫化氢含量由2~9g/</w:t>
      </w:r>
      <w:r>
        <w:rPr>
          <w:rFonts w:ascii="Times New Roman" w:hAnsi="Times New Roman" w:eastAsia="宋体" w:cs="Times New Roman"/>
          <w:iCs/>
          <w:sz w:val="24"/>
        </w:rPr>
        <w:t>N</w:t>
      </w:r>
      <w:r>
        <w:rPr>
          <w:rFonts w:ascii="Times New Roman" w:hAnsi="Times New Roman" w:eastAsia="宋体" w:cs="Times New Roman"/>
          <w:sz w:val="24"/>
        </w:rPr>
        <w:t>m</w:t>
      </w:r>
      <w:r>
        <w:rPr>
          <w:rFonts w:ascii="Times New Roman" w:hAnsi="Times New Roman" w:eastAsia="宋体" w:cs="Times New Roman"/>
          <w:sz w:val="24"/>
          <w:vertAlign w:val="superscript"/>
        </w:rPr>
        <w:t>3</w:t>
      </w:r>
      <w:r>
        <w:rPr>
          <w:rFonts w:ascii="Times New Roman" w:hAnsi="Times New Roman" w:eastAsia="宋体" w:cs="Times New Roman"/>
          <w:sz w:val="24"/>
        </w:rPr>
        <w:t>脱至100mg/</w:t>
      </w:r>
      <w:r>
        <w:rPr>
          <w:rFonts w:ascii="Times New Roman" w:hAnsi="Times New Roman" w:eastAsia="宋体" w:cs="Times New Roman"/>
          <w:iCs/>
          <w:sz w:val="24"/>
        </w:rPr>
        <w:t>N</w:t>
      </w:r>
      <w:r>
        <w:rPr>
          <w:rFonts w:ascii="Times New Roman" w:hAnsi="Times New Roman" w:eastAsia="宋体" w:cs="Times New Roman"/>
          <w:sz w:val="24"/>
        </w:rPr>
        <w:t>m</w:t>
      </w:r>
      <w:r>
        <w:rPr>
          <w:rFonts w:ascii="Times New Roman" w:hAnsi="Times New Roman" w:eastAsia="宋体" w:cs="Times New Roman"/>
          <w:sz w:val="24"/>
          <w:vertAlign w:val="superscript"/>
        </w:rPr>
        <w:t>3</w:t>
      </w:r>
      <w:r>
        <w:rPr>
          <w:rFonts w:ascii="Times New Roman" w:hAnsi="Times New Roman" w:eastAsia="宋体" w:cs="Times New Roman"/>
          <w:sz w:val="24"/>
        </w:rPr>
        <w:t>以下，同时提盐得到硫代硫酸铵、硫氰酸铵产品</w:t>
      </w:r>
      <w:r>
        <w:rPr>
          <w:rFonts w:hint="eastAsia" w:ascii="Times New Roman" w:hAnsi="Times New Roman" w:eastAsia="宋体" w:cs="Times New Roman"/>
          <w:sz w:val="24"/>
        </w:rPr>
        <w:t>，</w:t>
      </w:r>
      <w:r>
        <w:rPr>
          <w:rFonts w:ascii="Times New Roman" w:hAnsi="Times New Roman" w:eastAsia="宋体" w:cs="Times New Roman"/>
          <w:sz w:val="24"/>
        </w:rPr>
        <w:t>主要工艺设备有吸收塔、氧化塔、脱色釜等。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煤气脱硫脱氰技术的吸收液是氨水。焦炉煤气进入吸收塔下部与塔顶喷淋的吸收液充分接触，使吸收的NH</w:t>
      </w:r>
      <w:r>
        <w:rPr>
          <w:rFonts w:ascii="Times New Roman" w:hAnsi="Times New Roman" w:eastAsia="宋体" w:cs="Times New Roman"/>
          <w:sz w:val="24"/>
          <w:vertAlign w:val="subscript"/>
        </w:rPr>
        <w:t>3</w:t>
      </w:r>
      <w:r>
        <w:rPr>
          <w:rFonts w:ascii="Times New Roman" w:hAnsi="Times New Roman" w:eastAsia="宋体" w:cs="Times New Roman"/>
          <w:sz w:val="24"/>
        </w:rPr>
        <w:t>、H</w:t>
      </w:r>
      <w:r>
        <w:rPr>
          <w:rFonts w:ascii="Times New Roman" w:hAnsi="Times New Roman" w:eastAsia="宋体" w:cs="Times New Roman"/>
          <w:sz w:val="24"/>
          <w:vertAlign w:val="subscript"/>
        </w:rPr>
        <w:t>2</w:t>
      </w:r>
      <w:r>
        <w:rPr>
          <w:rFonts w:ascii="Times New Roman" w:hAnsi="Times New Roman" w:eastAsia="宋体" w:cs="Times New Roman"/>
          <w:sz w:val="24"/>
        </w:rPr>
        <w:t>S、HCN全部转化成硫氰酸铵、硫代硫酸铵，以达到煤气脱硫脱氰的目的。提盐工序是以硫氰酸铵-硫代硫酸铵-水三元相图为理论基础，将脱硫液蒸发至进入硫代硫酸铵的结晶区后，保持一定温度，使硫代硫酸铵和硫酸铵同时结晶析出，再离心分离出硫代硫酸铵和硫酸铵产品。离心分离后的滤液再进一步冷却，使硫氰酸铵结晶析出，离心分离可得硫氰酸铵产品，分离硫氰酸铵后的滤液再返回脱硫系统，形成闭路循环。</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KXTT脱硫提盐工艺不产硫磺或硫膏、吸收塔阻力低，废液全部提盐，无废液产生，脱色釜产生的废活性炭掺入炼焦煤中，尾气设有专门的尾气回收塔进行回收，排放尾气中H</w:t>
      </w:r>
      <w:r>
        <w:rPr>
          <w:rFonts w:ascii="Times New Roman" w:hAnsi="Times New Roman" w:eastAsia="宋体" w:cs="Times New Roman"/>
          <w:sz w:val="24"/>
          <w:vertAlign w:val="subscript"/>
        </w:rPr>
        <w:t>2</w:t>
      </w:r>
      <w:r>
        <w:rPr>
          <w:rFonts w:ascii="Times New Roman" w:hAnsi="Times New Roman" w:eastAsia="宋体" w:cs="Times New Roman"/>
          <w:sz w:val="24"/>
        </w:rPr>
        <w:t>S≤3mg/m</w:t>
      </w:r>
      <w:r>
        <w:rPr>
          <w:rFonts w:ascii="Times New Roman" w:hAnsi="Times New Roman" w:eastAsia="宋体" w:cs="Times New Roman"/>
          <w:sz w:val="24"/>
          <w:vertAlign w:val="superscript"/>
        </w:rPr>
        <w:t>3</w:t>
      </w:r>
      <w:r>
        <w:rPr>
          <w:rFonts w:ascii="Times New Roman" w:hAnsi="Times New Roman" w:eastAsia="宋体" w:cs="Times New Roman"/>
          <w:sz w:val="24"/>
        </w:rPr>
        <w:t>，NH</w:t>
      </w:r>
      <w:r>
        <w:rPr>
          <w:rFonts w:ascii="Times New Roman" w:hAnsi="Times New Roman" w:eastAsia="宋体" w:cs="Times New Roman"/>
          <w:sz w:val="24"/>
          <w:vertAlign w:val="subscript"/>
        </w:rPr>
        <w:t>3</w:t>
      </w:r>
      <w:r>
        <w:rPr>
          <w:rFonts w:ascii="Times New Roman" w:hAnsi="Times New Roman" w:eastAsia="宋体" w:cs="Times New Roman"/>
          <w:sz w:val="24"/>
        </w:rPr>
        <w:t>≤30mg/m</w:t>
      </w:r>
      <w:r>
        <w:rPr>
          <w:rFonts w:ascii="Times New Roman" w:hAnsi="Times New Roman" w:eastAsia="宋体" w:cs="Times New Roman"/>
          <w:sz w:val="24"/>
          <w:vertAlign w:val="superscript"/>
        </w:rPr>
        <w:t>3</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③</w:t>
      </w:r>
      <w:r>
        <w:rPr>
          <w:rFonts w:ascii="Times New Roman" w:hAnsi="Times New Roman" w:eastAsia="宋体" w:cs="Times New Roman"/>
          <w:sz w:val="24"/>
        </w:rPr>
        <w:t>硫铵工段</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该工段的主要任务是用硫酸洗去煤气中的氨并生产硫铵，将煤气中的氨含量脱至30mg/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以下。其主要工艺设备包括煤气预热器、硫铵饱和器、满流槽、母液循环泵、结晶泵等。</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④</w:t>
      </w:r>
      <w:r>
        <w:rPr>
          <w:rFonts w:ascii="Times New Roman" w:hAnsi="Times New Roman" w:eastAsia="宋体" w:cs="Times New Roman"/>
          <w:sz w:val="24"/>
        </w:rPr>
        <w:t>洗脱苯工段</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该工段包括终冷、洗苯及脱苯三部分。终冷主要是将硫铵来的煤气冷却到25℃左右；洗苯的任务是用焦油洗油洗去煤气中的苯，洗苯后煤气含苯量为~4g/</w:t>
      </w:r>
      <w:r>
        <w:rPr>
          <w:rFonts w:ascii="Times New Roman" w:hAnsi="Times New Roman" w:eastAsia="宋体" w:cs="Times New Roman"/>
          <w:iCs/>
          <w:sz w:val="24"/>
        </w:rPr>
        <w:t>N</w:t>
      </w:r>
      <w:r>
        <w:rPr>
          <w:rFonts w:ascii="Times New Roman" w:hAnsi="Times New Roman" w:eastAsia="宋体" w:cs="Times New Roman"/>
          <w:sz w:val="24"/>
        </w:rPr>
        <w:t>m</w:t>
      </w:r>
      <w:r>
        <w:rPr>
          <w:rFonts w:ascii="Times New Roman" w:hAnsi="Times New Roman" w:eastAsia="宋体" w:cs="Times New Roman"/>
          <w:sz w:val="24"/>
          <w:vertAlign w:val="superscript"/>
        </w:rPr>
        <w:t>3</w:t>
      </w:r>
      <w:r>
        <w:rPr>
          <w:rFonts w:ascii="Times New Roman" w:hAnsi="Times New Roman" w:eastAsia="宋体" w:cs="Times New Roman"/>
          <w:sz w:val="24"/>
        </w:rPr>
        <w:t>；脱苯的主要任务是将洗苯后的含苯富油脱苯，生产轻重苯外售，脱苯后的贫油返回洗苯系统循环使用。</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主要工艺设备包括终冷塔、洗苯塔、脱苯塔、再生器、管式炉、贫富油换热器、一段贫油冷却器、二段贫油冷却器、油气换热器、粗苯冷凝冷却器等。</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⑤</w:t>
      </w:r>
      <w:r>
        <w:rPr>
          <w:rFonts w:ascii="Times New Roman" w:hAnsi="Times New Roman" w:eastAsia="宋体" w:cs="Times New Roman"/>
          <w:sz w:val="24"/>
        </w:rPr>
        <w:t>油库工段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该工段设置有焦油贮槽、粗苯贮槽、洗油贮槽、碱贮槽，卸碱槽，硫酸槽和卸酸槽等。</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焦化生产工艺流程及产污节点图见图3.2-4</w:t>
      </w:r>
      <w:r>
        <w:rPr>
          <w:rFonts w:hint="eastAsia" w:ascii="Times New Roman" w:hAnsi="Times New Roman" w:eastAsia="宋体" w:cs="Times New Roman"/>
          <w:sz w:val="24"/>
        </w:rPr>
        <w:t>至3.2-6</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ind w:left="-420" w:leftChars="-200"/>
        <w:jc w:val="center"/>
        <w:rPr>
          <w:rFonts w:ascii="Times New Roman" w:hAnsi="Times New Roman" w:eastAsia="黑体" w:cs="Times New Roman"/>
          <w:sz w:val="24"/>
        </w:rPr>
      </w:pPr>
      <w:r>
        <w:rPr>
          <w:rFonts w:ascii="Times New Roman" w:hAnsi="Times New Roman" w:eastAsia="宋体" w:cs="Times New Roman"/>
          <w:sz w:val="24"/>
          <w:szCs w:val="24"/>
        </w:rPr>
        <w:object>
          <v:shape id="_x0000_i1028" o:spt="75" type="#_x0000_t75" style="height:490.2pt;width:505.15pt;" o:ole="t" filled="f" o:preferrelative="t" stroked="f" coordsize="21600,21600">
            <v:path/>
            <v:fill on="f" focussize="0,0"/>
            <v:stroke on="f" joinstyle="miter"/>
            <v:imagedata r:id="rId26" o:title=""/>
            <o:lock v:ext="edit" aspectratio="t"/>
            <w10:wrap type="none"/>
            <w10:anchorlock/>
          </v:shape>
          <o:OLEObject Type="Embed" ProgID="RFFlow4" ShapeID="_x0000_i1028" DrawAspect="Content" ObjectID="_1468075728" r:id="rId25">
            <o:LockedField>false</o:LockedField>
          </o:OLEObject>
        </w:object>
      </w:r>
      <w:r>
        <w:rPr>
          <w:rFonts w:ascii="Times New Roman" w:hAnsi="Times New Roman" w:eastAsia="黑体" w:cs="Times New Roman"/>
          <w:sz w:val="24"/>
        </w:rPr>
        <w:t>图3.2-4  焦化备煤、炼焦生产主要工艺流程及产污节点图</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cs="Times New Roman"/>
        </w:rPr>
        <w:object>
          <v:shape id="_x0000_i1029" o:spt="75" type="#_x0000_t75" style="height:538.55pt;width:421.65pt;" o:ole="t" filled="f" o:preferrelative="t" stroked="f" coordsize="21600,21600">
            <v:path/>
            <v:fill on="f" focussize="0,0"/>
            <v:stroke on="f" joinstyle="miter"/>
            <v:imagedata r:id="rId28" o:title=""/>
            <o:lock v:ext="edit" aspectratio="t"/>
            <w10:wrap type="none"/>
            <w10:anchorlock/>
          </v:shape>
          <o:OLEObject Type="Embed" ProgID="RFFlow4" ShapeID="_x0000_i1029" DrawAspect="Content" ObjectID="_1468075729" r:id="rId27">
            <o:LockedField>false</o:LockedField>
          </o:OLEObject>
        </w:object>
      </w:r>
      <w:r>
        <w:rPr>
          <w:rFonts w:ascii="Times New Roman" w:hAnsi="Times New Roman" w:eastAsia="黑体" w:cs="Times New Roman"/>
          <w:sz w:val="24"/>
        </w:rPr>
        <w:t>图3.2-5  焦化煤气净化系统生产工艺流程及产污节点图</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cs="Times New Roman"/>
        </w:rPr>
        <w:object>
          <v:shape id="_x0000_i1030" o:spt="75" type="#_x0000_t75" style="height:410.1pt;width:460.8pt;" o:ole="t" filled="f" o:preferrelative="t" stroked="f" coordsize="21600,21600">
            <v:path/>
            <v:fill on="f" focussize="0,0"/>
            <v:stroke on="f" joinstyle="miter"/>
            <v:imagedata r:id="rId30" o:title=""/>
            <o:lock v:ext="edit" aspectratio="t"/>
            <w10:wrap type="none"/>
            <w10:anchorlock/>
          </v:shape>
          <o:OLEObject Type="Embed" ProgID="RFFlow4" ShapeID="_x0000_i1030" DrawAspect="Content" ObjectID="_1468075730" r:id="rId29">
            <o:LockedField>false</o:LockedField>
          </o:OLEObject>
        </w:object>
      </w:r>
      <w:r>
        <w:rPr>
          <w:rFonts w:ascii="Times New Roman" w:hAnsi="Times New Roman" w:eastAsia="黑体" w:cs="Times New Roman"/>
          <w:sz w:val="24"/>
        </w:rPr>
        <w:t>图3.2-6  KXTT煤气脱硫脱氰工艺流程及产污节点图</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3.2.1.5炼铁</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厂区现有</w:t>
      </w:r>
      <w:r>
        <w:rPr>
          <w:rFonts w:ascii="Times New Roman" w:hAnsi="Times New Roman" w:eastAsia="宋体" w:cs="Times New Roman"/>
          <w:sz w:val="24"/>
        </w:rPr>
        <w:t>2座1280m</w:t>
      </w:r>
      <w:r>
        <w:rPr>
          <w:rFonts w:ascii="Times New Roman" w:hAnsi="Times New Roman" w:eastAsia="宋体" w:cs="Times New Roman"/>
          <w:sz w:val="24"/>
          <w:vertAlign w:val="superscript"/>
        </w:rPr>
        <w:t>3</w:t>
      </w:r>
      <w:r>
        <w:rPr>
          <w:rFonts w:ascii="Times New Roman" w:hAnsi="Times New Roman" w:eastAsia="宋体" w:cs="Times New Roman"/>
          <w:sz w:val="24"/>
        </w:rPr>
        <w:t>高炉，设计</w:t>
      </w:r>
      <w:r>
        <w:rPr>
          <w:rFonts w:hint="eastAsia" w:ascii="Times New Roman" w:hAnsi="Times New Roman" w:eastAsia="宋体" w:cs="Times New Roman"/>
          <w:sz w:val="24"/>
        </w:rPr>
        <w:t>规模</w:t>
      </w:r>
      <w:r>
        <w:rPr>
          <w:rFonts w:ascii="Times New Roman" w:hAnsi="Times New Roman" w:eastAsia="宋体" w:cs="Times New Roman"/>
          <w:sz w:val="24"/>
        </w:rPr>
        <w:t>年产铁水198万t。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主要生产工艺流程为：高炉生产所需要各种原燃料通过胶带机输送至高炉矿槽，通过槽下的筛分、称量设备配料后的入炉料由胶带机运送至高炉炉顶料罐内，通过无料钟炉顶设备加入到高炉内，筛下的返矿和返焦通过胶带机运送到烧结机车间。高炉铁水采用铁水罐车运送至炼钢车间及铸管车间；高炉渣经水淬粒化、脱水后汽车外运；煤气灰经加湿搅拌后通过汽车运出。高炉炼铁生产工艺流程及产污节点图见图3.2-7。</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cs="Times New Roman"/>
        </w:rPr>
        <w:object>
          <v:shape id="_x0000_i1031" o:spt="75" type="#_x0000_t75" style="height:354.25pt;width:424.5pt;" o:ole="t" filled="f" o:preferrelative="t" stroked="f" coordsize="21600,21600">
            <v:path/>
            <v:fill on="f" focussize="0,0"/>
            <v:stroke on="f" joinstyle="miter"/>
            <v:imagedata r:id="rId32" o:title=""/>
            <o:lock v:ext="edit" aspectratio="t"/>
            <w10:wrap type="none"/>
            <w10:anchorlock/>
          </v:shape>
          <o:OLEObject Type="Embed" ProgID="RFFlow4" ShapeID="_x0000_i1031" DrawAspect="Content" ObjectID="_1468075731" r:id="rId31">
            <o:LockedField>false</o:LockedField>
          </o:OLEObject>
        </w:object>
      </w:r>
      <w:r>
        <w:rPr>
          <w:rFonts w:ascii="Times New Roman" w:hAnsi="Times New Roman" w:eastAsia="黑体" w:cs="Times New Roman"/>
          <w:sz w:val="24"/>
        </w:rPr>
        <w:t>图3.2-7  高炉炼铁生产工艺流程及产污节点图</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3.2.1.6铸管</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球墨铸管工艺主要由熔炼、离心浇注、退火、精整、包装各工序组成</w:t>
      </w:r>
      <w:r>
        <w:rPr>
          <w:rFonts w:hint="eastAsia" w:ascii="Times New Roman" w:hAnsi="Times New Roman" w:eastAsia="宋体" w:cs="Times New Roman"/>
          <w:sz w:val="24"/>
        </w:rPr>
        <w: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w:t>
      </w:r>
      <w:r>
        <w:rPr>
          <w:rFonts w:ascii="Times New Roman" w:hAnsi="Times New Roman" w:eastAsia="宋体" w:cs="Times New Roman"/>
          <w:kern w:val="0"/>
          <w:sz w:val="24"/>
          <w:szCs w:val="24"/>
        </w:rPr>
        <w:t>熔炼与球化工艺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高炉铁水进入混铁炉的温度约1300℃，含碳量为4.0～4.3%，而球化处理前要求铁水温度为1500℃，含碳量为3.6～3.8%，S≤0.02%，P≤0.03%。因此需要采用工频炉对铁水进行加热、升温，通过加入低碳废钢，以降低含碳量，同时调整硅、锰等其它元素含量。当温度、成份符合要求后，即可进行球化处理。铁水球化采用镁粒球化，处理过程温降小，球化效果好，铁水球化后经直读光谱仪快速检验，成分合格的球化铁水转运铸管生产线。</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w:t>
      </w:r>
      <w:r>
        <w:rPr>
          <w:rFonts w:ascii="Times New Roman" w:hAnsi="Times New Roman" w:eastAsia="宋体" w:cs="Times New Roman"/>
          <w:kern w:val="0"/>
          <w:sz w:val="24"/>
          <w:szCs w:val="24"/>
        </w:rPr>
        <w:t>浇注工艺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DN80-1400铸管采用水冷法金属模离心工艺生产，水冷离心机采用新研制开发的数字离心机。在离心机走速、扇形包翻转、铁水称重等方面采用智能化精确控制协调，采用信息反馈、自动控制、调节离心机，从而达到精确控制铸管壁厚的要求。水冷离心机管模型腔内喷硅铁粉、热模离心机管模型腔内喷由膨润土和硅藻土调制的涂料防止铁水与金属模粘接。</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w:t>
      </w:r>
      <w:r>
        <w:rPr>
          <w:rFonts w:ascii="Times New Roman" w:hAnsi="Times New Roman" w:eastAsia="宋体" w:cs="Times New Roman"/>
          <w:kern w:val="0"/>
          <w:sz w:val="24"/>
          <w:szCs w:val="24"/>
        </w:rPr>
        <w:t>退火工艺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水冷离心工艺生产的铸管采用高温退火工艺，采用连续式退火炉。铸管经加热、保温、冷却，使组织发生变化，形成基体为铁素体的球墨铸铁管，保证产品获得良好的延伸率。热模法离心工艺生产的铸管由于铁水在管模内冷却速度缓慢，凝固过程中渗碳体很少产生，因此退火处理的温度较低。退火采用旋转台车式退火炉，退火完毕铸管被吊到炉外的转台上冷却然后进行抛丸清理外表面。</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w:t>
      </w:r>
      <w:r>
        <w:rPr>
          <w:rFonts w:ascii="Times New Roman" w:hAnsi="Times New Roman" w:eastAsia="宋体" w:cs="Times New Roman"/>
          <w:color w:val="000000"/>
          <w:kern w:val="0"/>
          <w:sz w:val="24"/>
          <w:szCs w:val="24"/>
        </w:rPr>
        <w:t>精整工艺（喷锌、三磨、水压试验</w:t>
      </w:r>
      <w:r>
        <w:rPr>
          <w:rFonts w:ascii="Times New Roman" w:hAnsi="Times New Roman" w:eastAsia="宋体" w:cs="Times New Roman"/>
          <w:color w:val="auto"/>
          <w:kern w:val="0"/>
          <w:sz w:val="24"/>
          <w:szCs w:val="24"/>
        </w:rPr>
        <w:t>、内壁水泥</w:t>
      </w:r>
      <w:r>
        <w:rPr>
          <w:rFonts w:ascii="Times New Roman" w:hAnsi="Times New Roman" w:eastAsia="宋体" w:cs="Times New Roman"/>
          <w:color w:val="000000"/>
          <w:kern w:val="0"/>
          <w:sz w:val="24"/>
          <w:szCs w:val="24"/>
        </w:rPr>
        <w:t>涂衬）</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铸管退火，外壁喷锌作表面防腐处理后，进入三磨工位进行磨内壁、磨承口、磨插口，经水压试验后的铸管运往内衬水泥工位进行内涂水泥。热模法离心铸管的精整工艺除常规内外防腐处理及修磨外，根据铸管不同的接口形式和用途还需增加外壁法兰钻孔、气密试验、插口切槽等工序；经水压试验合格后的铸管运往内衬水泥工位进行内涂衬水泥。</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w:t>
      </w:r>
      <w:r>
        <w:rPr>
          <w:rFonts w:ascii="Times New Roman" w:hAnsi="Times New Roman" w:eastAsia="宋体" w:cs="Times New Roman"/>
          <w:kern w:val="0"/>
          <w:sz w:val="24"/>
          <w:szCs w:val="24"/>
        </w:rPr>
        <w:t>包装工艺（养生、内磨、预热、外喷沥青漆等）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球墨铸铁管内壁衬完水泥经蒸汽养生后，进入包装工艺生产线进行内磨，预热，外喷沥青漆，烘干，喷印标记，法兰钻孔，打包处理后入库、外运。沥青漆喷涂废气、烘干废气由集气管收集到退火炉中燃烧后外排。</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（6）</w:t>
      </w:r>
      <w:r>
        <w:rPr>
          <w:rFonts w:ascii="Times New Roman" w:hAnsi="Times New Roman" w:eastAsia="宋体" w:cs="Times New Roman"/>
          <w:kern w:val="0"/>
          <w:sz w:val="24"/>
          <w:szCs w:val="24"/>
        </w:rPr>
        <w:t>承口砂芯制造</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水冷法铸管的承口砂芯采用冷芯盒制芯工艺制造。常温下的承口芯砂与粘结剂混合后经射芯机射入芯盒，吹气固化，即制成硬度符合要求的芯子，然后上涂料，烘干备用。射芯机采用吹三乙胺气体硬化工艺。热模法球管的承口砂芯采用呋喃树脂自硬砂制芯工艺制造。</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（7）</w:t>
      </w:r>
      <w:r>
        <w:rPr>
          <w:rFonts w:ascii="Times New Roman" w:hAnsi="Times New Roman" w:eastAsia="宋体" w:cs="Times New Roman"/>
          <w:kern w:val="0"/>
          <w:sz w:val="24"/>
          <w:szCs w:val="24"/>
        </w:rPr>
        <w:t>管模维修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水冷离心机的管模在整个生产过程中始终处于冷热交替状态，受交变热应力作用使管体内表面产生裂缝，因此，生产一段时间后，必须将管模更换下来进行维修（内壁磨削、打点、堆焊等），消除应力，整合裂缝，延长管模寿命。热模法管模当内壁多次浇注铁水而磨损或管模两端内有微裂纹时，需进行磨削、堆焊等维修。球墨铸铁管生产工艺流程及产污节点图见图3.2-</w:t>
      </w:r>
      <w:r>
        <w:rPr>
          <w:rFonts w:hint="eastAsia" w:ascii="Times New Roman" w:hAnsi="Times New Roman" w:eastAsia="宋体" w:cs="Times New Roman"/>
          <w:kern w:val="0"/>
          <w:sz w:val="24"/>
          <w:szCs w:val="24"/>
        </w:rPr>
        <w:t>8</w:t>
      </w:r>
      <w:r>
        <w:rPr>
          <w:rFonts w:ascii="Times New Roman" w:hAnsi="Times New Roman" w:eastAsia="宋体" w:cs="Times New Roman"/>
          <w:kern w:val="0"/>
          <w:sz w:val="24"/>
          <w:szCs w:val="24"/>
        </w:rPr>
        <w:t>。</w:t>
      </w:r>
    </w:p>
    <w:p>
      <w:pPr>
        <w:pStyle w:val="2"/>
        <w:keepNext w:val="0"/>
        <w:keepLines w:val="0"/>
        <w:pageBreakBefore w:val="0"/>
        <w:kinsoku/>
        <w:wordWrap/>
        <w:bidi w:val="0"/>
        <w:snapToGrid/>
        <w:spacing w:after="0" w:line="360" w:lineRule="auto"/>
        <w:jc w:val="center"/>
        <w:rPr>
          <w:rFonts w:ascii="Times New Roman" w:hAnsi="Times New Roman" w:eastAsia="宋体" w:cs="Times New Roman"/>
          <w:sz w:val="24"/>
        </w:rPr>
      </w:pPr>
      <w:r>
        <w:rPr>
          <w:rFonts w:ascii="Times New Roman" w:hAnsi="Times New Roman" w:cs="Times New Roman"/>
        </w:rPr>
        <w:object>
          <v:shape id="_x0000_i1032" o:spt="75" type="#_x0000_t75" style="height:583.5pt;width:394pt;" o:ole="t" filled="f" o:preferrelative="t" stroked="f" coordsize="21600,21600">
            <v:path/>
            <v:fill on="f" focussize="0,0"/>
            <v:stroke on="f" joinstyle="miter"/>
            <v:imagedata r:id="rId34" o:title=""/>
            <o:lock v:ext="edit" aspectratio="t"/>
            <w10:wrap type="none"/>
            <w10:anchorlock/>
          </v:shape>
          <o:OLEObject Type="Embed" ProgID="RFFlow4" ShapeID="_x0000_i1032" DrawAspect="Content" ObjectID="_1468075732" r:id="rId33">
            <o:LockedField>false</o:LockedField>
          </o:OLEObject>
        </w:objec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 xml:space="preserve">图3.2-8  </w:t>
      </w:r>
      <w:r>
        <w:rPr>
          <w:rFonts w:ascii="Times New Roman" w:hAnsi="Times New Roman" w:eastAsia="黑体" w:cs="Times New Roman"/>
          <w:kern w:val="0"/>
          <w:sz w:val="24"/>
          <w:szCs w:val="24"/>
        </w:rPr>
        <w:t>球墨铸铁管水冷模法生产工艺流程及产污节点图</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3.2.1.7转炉炼钢</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转炉炼钢车间设有2套铁水预处理、2座顶底复吹120t转炉、1座120tLF钢包精炼炉、1座120tRH真空脱气装置、2台10机10流方坯连铸机、1台4机4流圆坯连铸机、1台6机6流特殊钢圆坯连铸机以及相应配套公辅设施。转炉炼钢车间年产合格钢水150万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kern w:val="0"/>
          <w:sz w:val="24"/>
        </w:rPr>
        <w:t>转炉炼钢车间采用“</w:t>
      </w:r>
      <w:r>
        <w:rPr>
          <w:rFonts w:ascii="Times New Roman" w:hAnsi="Times New Roman" w:eastAsia="宋体" w:cs="Times New Roman"/>
          <w:sz w:val="24"/>
        </w:rPr>
        <w:t>铁水脱硫-复吹转炉-炉外精炼-高效连铸”四位一体的生产工艺，各主要生产工序工艺流程简述如下：</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（1）铁水预处理</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铁水预处理采用搅拌脱硫工艺，它是将浇注耐材制成的十字型搅拌桨，经烘烤后插入定量的铁水罐中旋转，使铁水产生漩涡，然后向铁水漩涡区投入定量的脱硫剂，使脱硫剂和铁水中硫在不断搅拌的漩涡中发生脱硫反应。</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（2）转炉冶炼</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转炉加入铁水和废钢后，摇直炉体，下枪吹氧，炉底喷吹惰性气体，同时加入辅料造渣，进入转炉吹炼、熔池反应过程。当吹炼临近结束</w:t>
      </w:r>
      <w:r>
        <w:rPr>
          <w:rFonts w:hint="eastAsia" w:ascii="Times New Roman" w:hAnsi="Times New Roman" w:eastAsia="宋体" w:cs="Times New Roman"/>
          <w:sz w:val="24"/>
        </w:rPr>
        <w:t>（</w:t>
      </w:r>
      <w:r>
        <w:rPr>
          <w:rFonts w:ascii="Times New Roman" w:hAnsi="Times New Roman" w:eastAsia="宋体" w:cs="Times New Roman"/>
          <w:sz w:val="24"/>
        </w:rPr>
        <w:t>吹氧量完成约90%</w:t>
      </w:r>
      <w:r>
        <w:rPr>
          <w:rFonts w:hint="eastAsia" w:ascii="Times New Roman" w:hAnsi="Times New Roman" w:eastAsia="宋体" w:cs="Times New Roman"/>
          <w:sz w:val="24"/>
        </w:rPr>
        <w:t>）</w:t>
      </w:r>
      <w:r>
        <w:rPr>
          <w:rFonts w:ascii="Times New Roman" w:hAnsi="Times New Roman" w:eastAsia="宋体" w:cs="Times New Roman"/>
          <w:sz w:val="24"/>
        </w:rPr>
        <w:t>时，下副枪测温定碳取样，决定下一步操作。当钢水成分、温度符合预定目标时摇炉出钢，出钢采用挡渣技术，出钢过程中向钢包中加入铁合金料使钢水脱氧和合金化，需加顶渣冶炼的钢水，通过炉后合金溜槽将石灰等顶渣料加入钢包中，出钢完毕。需进行二次精炼的钢水用吊车运至LF或RH装置进一步精炼处理，然后加保温剂送往连铸。</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（3）炉外精炼</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①LF钢包精炼</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钢水由吊车运至LF钢包炉工位，下降炉盖和电极，进行加热处理。加热过程中吹氩搅拌钢水，并根据冶炼钢种的要求适当加入所需脱氧剂、脱硫剂和合金剂。经过30~40分钟的精炼，当钢水温度和成分合格后，再对钢水进行喂丝处理，以便进一步深脱氧、深脱硫和改变非金属夹杂物形态，为连铸机生产无缺陷铸坯提供高质量钢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LF设有两个钢包车，当第一包钢水在LF工作工位精炼处理时，第二包钢水可放在待机工位的钢包车上，进行接氩气管，测温/取样等作业。当第一炉钢水处理完毕后运至待机工位，第二炉钢水即刻被送至LF工作工位。</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当钢水温度、成分合格后，用吊车将钢包吊运至RH真空精炼工位或直接运至连铸机大包回转台。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②RH装置</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真空精炼装置具有以下处理功能：脱气、脱氧、强制吹氧脱碳及自然脱碳、钢水化学升温、合金化及调整合金成分、去除夹杂和净化钢水。多功能化可使钢水在真空精炼装置的工位按多种模式处理，使转炉－精炼－连铸的物流更加顺畅，调度更加灵活，从而提高连铸工序的连浇炉次。除此之外，真空精炼装置还可进行轻处理，利用真空下高的合金收得率节约合金用量。</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（4）连铸</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将装有精炼好钢水的钢包运至回转台，回转台转动到浇注位置后，将钢水注入中间包，中间包再由水口将钢水分配到每一个结晶器中去；结晶器是连铸机的核心设备之一，它使铸件成型并迅速凝固结晶；拉矫机与结晶转动装置共同作用，将结晶器中的铸件拉出、矫直，经过电磁搅拌、冷却以后，用火焰切割机切割成一定长度的方坯或园坯冷却后送到、轧钢车间或者热送至轧钢车间轧制成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炼钢生产工艺流程及产污节点图见图3.2-</w:t>
      </w:r>
      <w:r>
        <w:rPr>
          <w:rFonts w:hint="eastAsia" w:ascii="Times New Roman" w:hAnsi="Times New Roman" w:eastAsia="宋体" w:cs="Times New Roman"/>
          <w:sz w:val="24"/>
        </w:rPr>
        <w:t>9</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ind w:left="-630" w:leftChars="-300"/>
        <w:jc w:val="center"/>
        <w:rPr>
          <w:rFonts w:ascii="Times New Roman" w:hAnsi="Times New Roman" w:eastAsia="黑体" w:cs="Times New Roman"/>
          <w:sz w:val="24"/>
        </w:rPr>
      </w:pPr>
      <w:r>
        <w:rPr>
          <w:rFonts w:ascii="Times New Roman" w:hAnsi="Times New Roman" w:cs="Times New Roman"/>
        </w:rPr>
        <w:object>
          <v:shape id="_x0000_i1033" o:spt="75" type="#_x0000_t75" style="height:416.45pt;width:513.2pt;" o:ole="t" filled="f" o:preferrelative="t" stroked="f" coordsize="21600,21600">
            <v:path/>
            <v:fill on="f" focussize="0,0"/>
            <v:stroke on="f" joinstyle="miter"/>
            <v:imagedata r:id="rId36" o:title=""/>
            <o:lock v:ext="edit" aspectratio="t"/>
            <w10:wrap type="none"/>
            <w10:anchorlock/>
          </v:shape>
          <o:OLEObject Type="Embed" ProgID="RFFlow4" ShapeID="_x0000_i1033" DrawAspect="Content" ObjectID="_1468075733" r:id="rId35">
            <o:LockedField>false</o:LockedField>
          </o:OLEObject>
        </w:object>
      </w:r>
      <w:r>
        <w:rPr>
          <w:rFonts w:ascii="Times New Roman" w:hAnsi="Times New Roman" w:eastAsia="黑体" w:cs="Times New Roman"/>
          <w:sz w:val="24"/>
        </w:rPr>
        <w:t>图3.2-</w:t>
      </w:r>
      <w:r>
        <w:rPr>
          <w:rFonts w:hint="eastAsia" w:ascii="Times New Roman" w:hAnsi="Times New Roman" w:eastAsia="黑体" w:cs="Times New Roman"/>
          <w:sz w:val="24"/>
        </w:rPr>
        <w:t>9</w:t>
      </w:r>
      <w:r>
        <w:rPr>
          <w:rFonts w:ascii="Times New Roman" w:hAnsi="Times New Roman" w:eastAsia="黑体" w:cs="Times New Roman"/>
          <w:sz w:val="24"/>
        </w:rPr>
        <w:t xml:space="preserve">  转炉炼钢生产工艺流程及产污节点图</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3.2.1.8轧钢</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厂区</w:t>
      </w:r>
      <w:r>
        <w:rPr>
          <w:rFonts w:hint="eastAsia" w:ascii="Times New Roman" w:hAnsi="Times New Roman" w:eastAsia="宋体" w:cs="Times New Roman"/>
          <w:sz w:val="24"/>
          <w:lang w:eastAsia="zh-CN"/>
        </w:rPr>
        <w:t>共</w:t>
      </w:r>
      <w:r>
        <w:rPr>
          <w:rFonts w:hint="eastAsia" w:ascii="Times New Roman" w:hAnsi="Times New Roman" w:eastAsia="宋体" w:cs="Times New Roman"/>
          <w:sz w:val="24"/>
        </w:rPr>
        <w:t>有</w:t>
      </w:r>
      <w:r>
        <w:rPr>
          <w:rFonts w:ascii="Times New Roman" w:hAnsi="Times New Roman" w:eastAsia="宋体" w:cs="Times New Roman"/>
          <w:sz w:val="24"/>
        </w:rPr>
        <w:t>5条轧钢生产线，其中包括小棒材生产线1条</w:t>
      </w:r>
      <w:r>
        <w:rPr>
          <w:rFonts w:hint="eastAsia" w:ascii="Times New Roman" w:hAnsi="Times New Roman" w:eastAsia="宋体" w:cs="Times New Roman"/>
          <w:sz w:val="24"/>
        </w:rPr>
        <w:t>（</w:t>
      </w:r>
      <w:r>
        <w:rPr>
          <w:rFonts w:ascii="Times New Roman" w:hAnsi="Times New Roman" w:eastAsia="宋体" w:cs="Times New Roman"/>
          <w:sz w:val="24"/>
        </w:rPr>
        <w:t>12mm~60mm</w:t>
      </w:r>
      <w:r>
        <w:rPr>
          <w:rFonts w:hint="eastAsia" w:ascii="Times New Roman" w:hAnsi="Times New Roman" w:eastAsia="宋体" w:cs="Times New Roman"/>
          <w:sz w:val="24"/>
        </w:rPr>
        <w:t>）</w:t>
      </w:r>
      <w:r>
        <w:rPr>
          <w:rFonts w:ascii="Times New Roman" w:hAnsi="Times New Roman" w:eastAsia="宋体" w:cs="Times New Roman"/>
          <w:sz w:val="24"/>
        </w:rPr>
        <w:t>，中棒材线材生产线1条</w:t>
      </w:r>
      <w:r>
        <w:rPr>
          <w:rFonts w:hint="eastAsia" w:ascii="Times New Roman" w:hAnsi="Times New Roman" w:eastAsia="宋体" w:cs="Times New Roman"/>
          <w:sz w:val="24"/>
        </w:rPr>
        <w:t>（</w:t>
      </w:r>
      <w:r>
        <w:rPr>
          <w:rFonts w:ascii="Times New Roman" w:hAnsi="Times New Roman" w:eastAsia="宋体" w:cs="Times New Roman"/>
          <w:sz w:val="24"/>
        </w:rPr>
        <w:t>40mm~130mm</w:t>
      </w:r>
      <w:r>
        <w:rPr>
          <w:rFonts w:hint="eastAsia" w:ascii="Times New Roman" w:hAnsi="Times New Roman" w:eastAsia="宋体" w:cs="Times New Roman"/>
          <w:sz w:val="24"/>
        </w:rPr>
        <w:t>）</w:t>
      </w:r>
      <w:r>
        <w:rPr>
          <w:rFonts w:ascii="Times New Roman" w:hAnsi="Times New Roman" w:eastAsia="宋体" w:cs="Times New Roman"/>
          <w:sz w:val="24"/>
        </w:rPr>
        <w:t>，大棒材线材生产线1条</w:t>
      </w:r>
      <w:r>
        <w:rPr>
          <w:rFonts w:hint="eastAsia" w:ascii="Times New Roman" w:hAnsi="Times New Roman" w:eastAsia="宋体" w:cs="Times New Roman"/>
          <w:sz w:val="24"/>
        </w:rPr>
        <w:t>（</w:t>
      </w:r>
      <w:r>
        <w:rPr>
          <w:rFonts w:ascii="Times New Roman" w:hAnsi="Times New Roman" w:eastAsia="宋体" w:cs="Times New Roman"/>
          <w:sz w:val="24"/>
        </w:rPr>
        <w:t>130mm~280mm</w:t>
      </w:r>
      <w:r>
        <w:rPr>
          <w:rFonts w:hint="eastAsia" w:ascii="Times New Roman" w:hAnsi="Times New Roman" w:eastAsia="宋体" w:cs="Times New Roman"/>
          <w:sz w:val="24"/>
        </w:rPr>
        <w:t>）</w:t>
      </w:r>
      <w:r>
        <w:rPr>
          <w:rFonts w:ascii="Times New Roman" w:hAnsi="Times New Roman" w:eastAsia="宋体" w:cs="Times New Roman"/>
          <w:sz w:val="24"/>
        </w:rPr>
        <w:t>，普通高速线材线1条</w:t>
      </w:r>
      <w:r>
        <w:rPr>
          <w:rFonts w:hint="eastAsia" w:ascii="Times New Roman" w:hAnsi="Times New Roman" w:eastAsia="宋体" w:cs="Times New Roman"/>
          <w:sz w:val="24"/>
        </w:rPr>
        <w:t>（</w:t>
      </w:r>
      <w:r>
        <w:rPr>
          <w:rFonts w:ascii="Times New Roman" w:hAnsi="Times New Roman" w:eastAsia="宋体" w:cs="Times New Roman"/>
          <w:sz w:val="24"/>
        </w:rPr>
        <w:t>6mm~14mm</w:t>
      </w:r>
      <w:r>
        <w:rPr>
          <w:rFonts w:hint="eastAsia" w:ascii="Times New Roman" w:hAnsi="Times New Roman" w:eastAsia="宋体" w:cs="Times New Roman"/>
          <w:sz w:val="24"/>
        </w:rPr>
        <w:t>）</w:t>
      </w:r>
      <w:r>
        <w:rPr>
          <w:rFonts w:ascii="Times New Roman" w:hAnsi="Times New Roman" w:eastAsia="宋体" w:cs="Times New Roman"/>
          <w:sz w:val="24"/>
        </w:rPr>
        <w:t>，精品高速线材线1条</w:t>
      </w:r>
      <w:r>
        <w:rPr>
          <w:rFonts w:hint="eastAsia" w:ascii="Times New Roman" w:hAnsi="Times New Roman" w:eastAsia="宋体" w:cs="Times New Roman"/>
          <w:sz w:val="24"/>
        </w:rPr>
        <w:t>（</w:t>
      </w:r>
      <w:r>
        <w:rPr>
          <w:rFonts w:ascii="Times New Roman" w:hAnsi="Times New Roman" w:eastAsia="宋体" w:cs="Times New Roman"/>
          <w:sz w:val="24"/>
        </w:rPr>
        <w:t>5.5mm~22mm</w:t>
      </w:r>
      <w:r>
        <w:rPr>
          <w:rFonts w:hint="eastAsia" w:ascii="Times New Roman" w:hAnsi="Times New Roman" w:eastAsia="宋体" w:cs="Times New Roman"/>
          <w:sz w:val="24"/>
        </w:rPr>
        <w:t>）</w:t>
      </w:r>
      <w:r>
        <w:rPr>
          <w:rFonts w:ascii="Times New Roman" w:hAnsi="Times New Roman" w:eastAsia="宋体" w:cs="Times New Roman"/>
          <w:sz w:val="24"/>
        </w:rPr>
        <w: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小棒材生产线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小棒材轧钢车间设计生产规模为年产棒材30万t。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棒材生产线生产时，在坯料准备及上料方式中有热装直接输送上料和冷坯上料两种情况。</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采用热坯直接输送上料时，无缺陷、合格的热连铸坯由热送辊道送入车间，钢坯经横移后由提升机把热坯提升到+5.0m平台的辊道上，通过入炉辊道送入加热炉。当轧机换孔型、换辊短时停歇时，热坯则送入缓冲台架暂时存放，轧机重新开轧后，缓冲台架内的热坯经辊道进入加热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当采用冷坯生产时，凭借磁盘吊车将坯料从料架上取出，放在上料台架上。冷上料台架的偏心轮转动机构将坯料以步进方式向前输送，靠近台架输出端的气动挡料装置下降，使坯料逐根滑落到辊道上。</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在入炉辊道上的热坯或冷坯经逐根测长后送入步进梁式加热炉中加热。根据钢种的要求，钢坯在加热炉内加热到980~1050℃后，按轧制节奏由辊道从加热炉侧面单根出炉。加热炉炉型为蓄热步进梁式加热炉。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出炉后的热坯，经辊道输送，钢坯开始进入连轧机组轧制。在精轧机组前设有一段预水冷却装置，以控制轧件进入精轧机组的温度。出精轧机的带肋钢筋棒材立即进入水冷装置进行在线余热淬火处理，水冷后的轧件被夹送辊夹持住送入倍尺分段飞剪，由分段飞剪进行长度优化分段剪切，切成适应冷床长度的倍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分段后的轧件由冷床输入辊道及抛钢装置送到步进齿条式冷床上，轧件在冷床上边步进边自然冷却。下冷床前由对齐辊道使轧件一端对齐到冷床输出方向一端，然后由链式移送机按一定间距和数量形成成排的钢材组，用卸钢装置成排送到冷床输出辊道上。轧件由冷床输出辊道成排地运送到冷剪机处切成定尺长度，定尺材在移送台架运送的过程中进行检查、分选、人工计数，然后落在带有立辊的收集辊道上收集成束，再送到自动打捆机处进行捆扎，最后送到收集台架上进行钢材捆的称重、挂标牌和收集。成品料捆由成品库内的磁盘吊车吊到堆放区堆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小棒材生产线生产工艺流程及产污节点图见图3.2-1</w:t>
      </w:r>
      <w:r>
        <w:rPr>
          <w:rFonts w:hint="eastAsia" w:ascii="Times New Roman" w:hAnsi="Times New Roman" w:eastAsia="宋体" w:cs="Times New Roman"/>
          <w:sz w:val="24"/>
        </w:rPr>
        <w:t>0</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jc w:val="center"/>
        <w:rPr>
          <w:rFonts w:ascii="Times New Roman" w:hAnsi="Times New Roman" w:cs="Times New Roman"/>
        </w:rPr>
      </w:pPr>
      <w:r>
        <w:rPr>
          <w:rFonts w:ascii="Times New Roman" w:hAnsi="Times New Roman" w:cs="Times New Roman"/>
        </w:rPr>
        <w:object>
          <v:shape id="_x0000_i1034" o:spt="75" type="#_x0000_t75" style="height:396.3pt;width:391.7pt;" o:ole="t" filled="f" o:preferrelative="t" stroked="f" coordsize="21600,21600">
            <v:path/>
            <v:fill on="f" focussize="0,0"/>
            <v:stroke on="f"/>
            <v:imagedata r:id="rId38" o:title=""/>
            <o:lock v:ext="edit" aspectratio="t"/>
            <w10:wrap type="none"/>
            <w10:anchorlock/>
          </v:shape>
          <o:OLEObject Type="Embed" ProgID="RFFlow4" ShapeID="_x0000_i1034" DrawAspect="Content" ObjectID="_1468075734" r:id="rId37">
            <o:LockedField>false</o:LockedField>
          </o:OLEObject>
        </w:objec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图3.2-1</w:t>
      </w:r>
      <w:r>
        <w:rPr>
          <w:rFonts w:hint="eastAsia" w:ascii="Times New Roman" w:hAnsi="Times New Roman" w:eastAsia="黑体" w:cs="Times New Roman"/>
          <w:sz w:val="24"/>
        </w:rPr>
        <w:t>0</w:t>
      </w:r>
      <w:r>
        <w:rPr>
          <w:rFonts w:ascii="Times New Roman" w:hAnsi="Times New Roman" w:eastAsia="黑体" w:cs="Times New Roman"/>
          <w:sz w:val="24"/>
        </w:rPr>
        <w:t xml:space="preserve">  小棒材生产线生产工艺流程及产污节点图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（2）大棒材生产线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大棒材轧钢车间设计生产规模为年产棒材30万t。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按照实际供坯路线，在坯料准备和上料方式上有两种：炼钢连铸车间的热坯直接上料和冷坯经检查修磨后上料。</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热装热送方式：热装坯主要为优质碳结、合结、易切、和弹簧等钢种的热连铸坯。对分断后的连铸坯，由连铸坯输出辊道送至本车间的装料辊道，再经测长、称重后送入加热炉，入炉时坯料温度约600~800</w:t>
      </w:r>
      <w:r>
        <w:rPr>
          <w:rFonts w:ascii="Times New Roman" w:hAnsi="Times New Roman" w:eastAsia="宋体" w:cs="Times New Roman"/>
          <w:sz w:val="24"/>
          <w:szCs w:val="24"/>
        </w:rPr>
        <w:sym w:font="Symbol" w:char="F0B0"/>
      </w:r>
      <w:r>
        <w:rPr>
          <w:rFonts w:ascii="Times New Roman" w:hAnsi="Times New Roman" w:eastAsia="宋体" w:cs="Times New Roman"/>
          <w:sz w:val="24"/>
          <w:szCs w:val="24"/>
        </w:rPr>
        <w:t>C。对于不合格的坯料，可以通过设在辊道边的钢坯剔出装置剔出收集。</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冷装料方式：当生产的钢种需要经过检查修磨，如轴承钢、部分合结钢和高牌号的弹簧钢，炼钢连铸车间生产的连铸坯冷却后，由设置在连铸成品跨的修磨、检查作业线清理后，合格的连铸坯通过过跨小车送到轧钢钢坯跨中存放。根据生产计划，再由吊车吊运至步进式上料台架上，上料台架逐根地把钢坯送到加热炉装料辊道上，经测长、称重后送入加热炉加热。</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加热炉为端进端出步进式加热炉，双排布料。坯料运到入炉辊道端部停止。由装料机从入炉辊道端部将两根排好的坯料装入加热炉的固定梁上，步进梁将坯料向前输送加热，步距将根据不同坯料断面尺寸调节。步进梁为两段式，当来料为冷热坯交换时，第一段步进梁可根据热坯或冷坯独立调整步进周期，以稳定加热工艺操作。根据不同钢种要求，钢坯在加热炉内加热至950~1200</w:t>
      </w:r>
      <w:r>
        <w:rPr>
          <w:rFonts w:ascii="Times New Roman" w:hAnsi="Times New Roman" w:eastAsia="宋体" w:cs="Times New Roman"/>
          <w:sz w:val="24"/>
          <w:szCs w:val="24"/>
        </w:rPr>
        <w:sym w:font="Symbol" w:char="F0B0"/>
      </w:r>
      <w:r>
        <w:rPr>
          <w:rFonts w:ascii="Times New Roman" w:hAnsi="Times New Roman" w:eastAsia="宋体" w:cs="Times New Roman"/>
          <w:sz w:val="24"/>
          <w:szCs w:val="24"/>
        </w:rPr>
        <w:t>C。</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加热好的钢坯由出料机从炉内步进梁上取出放到出炉辊道上。出料机设有两台，单独动作，每次取出双排料中的一根。然后由设在加热炉出口的高压水除鳞装置对坯料进行除鳞，并通过机前辊道</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带保温罩</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送至开坯机前。由于钢坯为圆形，上述辊道均为带槽辊道。若开坯机出现事故或加热后的坯料不合格，已出炉的钢坯可沿出炉辊道逆向运行进入钢坯跨，由设在那里的剔出装置收集。开坯机机前机后辊道设有推床及钩式翻钢机。钢坯在二辊可逆式开坯机中往复轧制9~13道，轧成接近矩形的中间断面轧件。根据压下规程某些道次后轧件要用翻钢机翻钢后再继续轧制。</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中间轧件由中间保温辊道送向连轧机组。进入连轧机组前，轧件头部由设在连轧机组入口的液压剪切头。然后进入平—立交替布置的6架中轧机组中进行无扭转微张力轧制。大于</w:t>
      </w:r>
      <w:r>
        <w:rPr>
          <w:rFonts w:ascii="Times New Roman" w:hAnsi="Times New Roman" w:eastAsia="宋体" w:cs="Times New Roman"/>
          <w:sz w:val="24"/>
          <w:szCs w:val="24"/>
        </w:rPr>
        <w:sym w:font="Symbol" w:char="F0C6"/>
      </w:r>
      <w:r>
        <w:rPr>
          <w:rFonts w:ascii="Times New Roman" w:hAnsi="Times New Roman" w:eastAsia="宋体" w:cs="Times New Roman"/>
          <w:sz w:val="24"/>
          <w:szCs w:val="24"/>
        </w:rPr>
        <w:t>100mm的成品由连轧机组轧出后，不必分段直接进入横移台架收集编组。小于</w:t>
      </w:r>
      <w:r>
        <w:rPr>
          <w:rFonts w:ascii="Times New Roman" w:hAnsi="Times New Roman" w:eastAsia="宋体" w:cs="Times New Roman"/>
          <w:sz w:val="24"/>
          <w:szCs w:val="24"/>
        </w:rPr>
        <w:sym w:font="Symbol" w:char="F0C6"/>
      </w:r>
      <w:r>
        <w:rPr>
          <w:rFonts w:ascii="Times New Roman" w:hAnsi="Times New Roman" w:eastAsia="宋体" w:cs="Times New Roman"/>
          <w:sz w:val="24"/>
          <w:szCs w:val="24"/>
        </w:rPr>
        <w:t>100mm的成品由连轧机组轧出后，通过飞剪分段后进入横移台架收集编组。</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横移台架输出辊道将收集编组后的轧件运送到三台圆盘锯处切成定尺长度，圆盘锯两台固定，一台移动。其中第一台进行双倍尺或三倍尺锯切，第二台和第三台同时工作，进行定尺切割。长度小于3m的棒材在锯机入口辊道上由剔出臂捡出，收集筐运入成品跨。</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定尺轧件由输送辊道送至冷床进行冷却。冷床(2套)可放双排4m至6m的棒材或单排9m的棒材。在冷床的入口侧设有铣头倒棱机可对轧件两端进行铣头倒棱。冷却后的棒材由冷床输送辊道送到收集台架上，然后进入收集筐中，在此进行人工打捆。最后料捆由吊车吊到成品库堆放。</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需缓冷的棒材，锯切成4m、6m、9m定尺后，由两个缓冷箱同时进行收集，以保证其入箱温度在650℃以上。每箱可容纳一根钢坯，箱装满后快速更换系统自动将其更换成空箱，车间需使用两台吊车配合换箱作业，以保证与轧机小时产量匹配。缓冷箱吊至车间指定区域冷却至150℃后方可开箱，进行下一步处理工序。</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大棒材生产工艺流程及产污节点图见图3.2-1</w:t>
      </w:r>
      <w:r>
        <w:rPr>
          <w:rFonts w:hint="eastAsia" w:ascii="Times New Roman" w:hAnsi="Times New Roman" w:eastAsia="宋体" w:cs="Times New Roman"/>
          <w:sz w:val="24"/>
          <w:szCs w:val="24"/>
        </w:rPr>
        <w:t>1</w:t>
      </w:r>
      <w:r>
        <w:rPr>
          <w:rFonts w:ascii="Times New Roman" w:hAnsi="Times New Roman" w:eastAsia="宋体" w:cs="Times New Roman"/>
          <w:sz w:val="24"/>
          <w:szCs w:val="24"/>
        </w:rPr>
        <w:t>。</w:t>
      </w:r>
    </w:p>
    <w:p>
      <w:pPr>
        <w:pStyle w:val="2"/>
        <w:keepNext w:val="0"/>
        <w:keepLines w:val="0"/>
        <w:pageBreakBefore w:val="0"/>
        <w:kinsoku/>
        <w:wordWrap/>
        <w:bidi w:val="0"/>
        <w:snapToGrid/>
        <w:spacing w:after="0" w:line="360" w:lineRule="auto"/>
        <w:jc w:val="center"/>
        <w:rPr>
          <w:rFonts w:ascii="Times New Roman" w:hAnsi="Times New Roman" w:cs="Times New Roman"/>
        </w:rPr>
      </w:pPr>
      <w:r>
        <w:rPr>
          <w:rFonts w:ascii="Times New Roman" w:hAnsi="Times New Roman" w:cs="Times New Roman"/>
        </w:rPr>
        <w:object>
          <v:shape id="_x0000_i1035" o:spt="75" type="#_x0000_t75" style="height:666.45pt;width:241.35pt;" o:ole="t" filled="f" o:preferrelative="t" stroked="f" coordsize="21600,21600">
            <v:path/>
            <v:fill on="f" focussize="0,0"/>
            <v:stroke on="f" joinstyle="miter"/>
            <v:imagedata r:id="rId40" o:title=""/>
            <o:lock v:ext="edit" aspectratio="t"/>
            <w10:wrap type="none"/>
            <w10:anchorlock/>
          </v:shape>
          <o:OLEObject Type="Embed" ProgID="RFFlow4" ShapeID="_x0000_i1035" DrawAspect="Content" ObjectID="_1468075735" r:id="rId39">
            <o:LockedField>false</o:LockedField>
          </o:OLEObject>
        </w:objec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图3.2-1</w:t>
      </w:r>
      <w:r>
        <w:rPr>
          <w:rFonts w:hint="eastAsia" w:ascii="Times New Roman" w:hAnsi="Times New Roman" w:eastAsia="黑体" w:cs="Times New Roman"/>
          <w:sz w:val="24"/>
        </w:rPr>
        <w:t xml:space="preserve">1 </w:t>
      </w:r>
      <w:r>
        <w:rPr>
          <w:rFonts w:ascii="Times New Roman" w:hAnsi="Times New Roman" w:eastAsia="黑体" w:cs="Times New Roman"/>
          <w:sz w:val="24"/>
        </w:rPr>
        <w:t xml:space="preserve"> 大棒材生产工艺流程及产污节点图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（3）中棒材生产线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中棒材轧钢车间设计生产规模为年产棒材30万t。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坯料供应主要采用热送方式。炼钢提供的合格热坯由辊道热送至上料台架上，逐根移送至入炉辊道。合格连铸坯经称重、测长后由入炉辊道送入步进梁式加热炉内进行加热。为适应坯料的冷热温度不同和钢种的多样，便于灵活管理，轧钢车间设计了一座侧进侧出双排布料的加热炉，在炉内加热到1050~1250℃，加热炉把加热好的钢坯由出炉辊道逐根送出炉外进入粗轧机区进行轧制。</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加热好的钢坯经高压水除鳞后，由粗轧机组前辊道将轧件送入由六架高刚度短应力线轧机组成的粗轧机组前四架进行脱头轧制。轧件出粗轧机组后经1#飞剪进行切头切尾，再经六架中轧机后由2#飞剪进行切头切尾，最后进入四架高刚度短应力线轧机组成的精轧机组进行轧制。轧制8～16道次之后由3#飞剪根据轧件长度</w:t>
      </w:r>
      <w:r>
        <w:rPr>
          <w:rFonts w:hint="default" w:ascii="Times New Roman" w:hAnsi="Times New Roman" w:eastAsia="宋体" w:cs="Times New Roman"/>
          <w:sz w:val="24"/>
        </w:rPr>
        <w:t>进行分段</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w:t>
      </w:r>
      <w:r>
        <w:rPr>
          <w:rFonts w:hint="default" w:ascii="Times New Roman" w:hAnsi="Times New Roman" w:eastAsia="宋体" w:cs="Times New Roman"/>
          <w:sz w:val="24"/>
        </w:rPr>
        <w:sym w:font="Symbol" w:char="F0C6"/>
      </w:r>
      <w:r>
        <w:rPr>
          <w:rFonts w:hint="default" w:ascii="Times New Roman" w:hAnsi="Times New Roman" w:eastAsia="宋体" w:cs="Times New Roman"/>
          <w:sz w:val="24"/>
        </w:rPr>
        <w:t>90mm不分段</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w:t>
      </w:r>
      <w:r>
        <w:rPr>
          <w:rFonts w:ascii="Times New Roman" w:hAnsi="Times New Roman" w:eastAsia="宋体" w:cs="Times New Roman"/>
          <w:sz w:val="24"/>
        </w:rPr>
        <w:t>进入编组台架进行成排。</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轧件在编组台架上成排后，由辊道送至热锯切定尺。轧线上设四台定尺锯，其中两台为固定式，两台为移动式。切成定尺的轧件经辊道运至步进齿条式冷床进行冷却，冷却后的轧件由冷床直接运至成品跨的收集槽，由成品跨吊车吊至精整线进行检查、修磨。需要缓冷的棒材经缓冷收集台架收集后，由吊车吊入缓冷坑缓冷，经精整处理后收集入库，按计划对外销售发货。中棒材生产工艺流程及产污节点图见图3.2-1</w:t>
      </w:r>
      <w:r>
        <w:rPr>
          <w:rFonts w:hint="eastAsia" w:ascii="Times New Roman" w:hAnsi="Times New Roman" w:eastAsia="宋体" w:cs="Times New Roman"/>
          <w:sz w:val="24"/>
        </w:rPr>
        <w:t>2</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jc w:val="center"/>
        <w:rPr>
          <w:rFonts w:ascii="Times New Roman" w:hAnsi="Times New Roman" w:eastAsia="宋体" w:cs="Times New Roman"/>
          <w:sz w:val="24"/>
        </w:rPr>
      </w:pPr>
      <w:r>
        <w:rPr>
          <w:rFonts w:ascii="Times New Roman" w:hAnsi="Times New Roman" w:cs="Times New Roman"/>
        </w:rPr>
        <w:object>
          <v:shape id="_x0000_i1036" o:spt="75" type="#_x0000_t75" style="height:591.55pt;width:365.2pt;" o:ole="t" filled="f" o:preferrelative="t" stroked="f" coordsize="21600,21600">
            <v:path/>
            <v:fill on="f" focussize="0,0"/>
            <v:stroke on="f" joinstyle="miter"/>
            <v:imagedata r:id="rId42" o:title=""/>
            <o:lock v:ext="edit" aspectratio="t"/>
            <w10:wrap type="none"/>
            <w10:anchorlock/>
          </v:shape>
          <o:OLEObject Type="Embed" ProgID="RFFlow4" ShapeID="_x0000_i1036" DrawAspect="Content" ObjectID="_1468075736" r:id="rId41">
            <o:LockedField>false</o:LockedField>
          </o:OLEObject>
        </w:objec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图3.2-1</w:t>
      </w:r>
      <w:r>
        <w:rPr>
          <w:rFonts w:hint="eastAsia" w:ascii="Times New Roman" w:hAnsi="Times New Roman" w:eastAsia="黑体" w:cs="Times New Roman"/>
          <w:sz w:val="24"/>
        </w:rPr>
        <w:t>2</w:t>
      </w:r>
      <w:r>
        <w:rPr>
          <w:rFonts w:ascii="Times New Roman" w:hAnsi="Times New Roman" w:eastAsia="黑体" w:cs="Times New Roman"/>
          <w:sz w:val="24"/>
        </w:rPr>
        <w:t xml:space="preserve">  </w:t>
      </w:r>
      <w:r>
        <w:rPr>
          <w:rFonts w:hint="eastAsia" w:ascii="Times New Roman" w:hAnsi="Times New Roman" w:eastAsia="黑体" w:cs="Times New Roman"/>
          <w:sz w:val="24"/>
          <w:lang w:eastAsia="zh-CN"/>
        </w:rPr>
        <w:t>中</w:t>
      </w:r>
      <w:r>
        <w:rPr>
          <w:rFonts w:ascii="Times New Roman" w:hAnsi="Times New Roman" w:eastAsia="黑体" w:cs="Times New Roman"/>
          <w:sz w:val="24"/>
        </w:rPr>
        <w:t>棒材生产工艺流程及产污节点图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（4）高线生产线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eastAsia="zh-CN"/>
        </w:rPr>
        <w:t>厂区</w:t>
      </w:r>
      <w:r>
        <w:rPr>
          <w:rFonts w:ascii="Times New Roman" w:hAnsi="Times New Roman" w:eastAsia="宋体" w:cs="Times New Roman"/>
          <w:sz w:val="24"/>
          <w:szCs w:val="24"/>
        </w:rPr>
        <w:t>设有1座全连续式高速线材轧钢车间，车间内平行布置2条高速线材生产线。其中1条为采用全国产设备的的普通高速线材，建设规模为40万t/a；另外1条为引进部分进口设备的精品高速线材，建设规模为40万t/a。</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1）</w:t>
      </w:r>
      <w:r>
        <w:rPr>
          <w:rFonts w:ascii="Times New Roman" w:hAnsi="Times New Roman" w:eastAsia="宋体" w:cs="Times New Roman"/>
          <w:sz w:val="24"/>
          <w:szCs w:val="24"/>
        </w:rPr>
        <w:t>普通高速线材生产线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普通高速线材生产线线所用坯料采用炼钢连铸车间提供的合格的连铸坯，钢坯由入炉辊道送入步进梁式加热炉中加热。</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出炉后的钢坯经过高压水除鳞后由出炉辊道送入粗轧机组中轧制。钢坯在粗轧机组轧制6个道次，由1#飞剪切头、尾后，轧件进入中轧机组轧制，由2#飞剪切头、尾后，进入预精轧机组中轧制。出预精轧机组的轧件通过预水冷装置进行冷却，控制进入精轧机组的温度。水冷后，由3#飞剪切头、尾，进入精轧机组轧制成要求的成品断面。经精轧机组轧出的成品线材，进入由水冷装置和风冷运输机组成的控制冷却作业线。螺旋状的线材从风冷运输机的“尾”部平稳地落入集卷筒，形成盘卷。盘卷通过悬挂式运输机(P&amp;F线)运输，再经过打捆、称重、标记，最终进入成品堆存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精品高速线材生产线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精品高速线材生产线主要采用冷坯。坯料经测长称重后进入步进梁式加热炉。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加热好的钢坯由炉内辊道输送出炉，然后设在出炉口的高压水除鳞装置对红坯在0.8~1.5m/s的运行速度下，以压力为18~22MPa的高压水进行除鳞。</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钢坯在粗轧机组轧制6个道次，由1#飞剪切头、尾后，轧件进入中轧机组轧制，由2#飞剪切头、尾后，进入预精轧机组前两架进行轧制，随后经过一段预水冷装置进行冷却后，进入预精轧机组后四架轧制。预精轧机组第3、4架为悬臂辊环式轧机，最后2架为摩根230Vee顶交式预精轧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轧件出预精轧机组后先经水箱冷却，精轧前预水冷设2段水箱，以控制轧件进入精轧机组的温度。经水冷后的轧件先由在线测径仪对轧件进行测量，再由精轧机组前的飞剪切头后进入精轧机组。在精轧机组前布置有侧活套和卡断剪。当轧件进入精轧机组后发生事故时，卡断剪立即启动以使后续轧件不能继续进入精轧机，同时飞剪启动将轧件分断，转辙器将后续轧件导入碎断飞剪通道，碎断剪将预精轧机组轧出的轧件切成碎段，落入废料筐中收集。精轧机组为8架V型超重型机组，其后带有4机架的减径定径机，在两组之间设有水箱，在轧件最终变形前对轧件进行冷却，控制终轧温度、实现低温轧制。</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轧出的成品线材，进入由水冷装置和风冷运输机组成的控制冷却作业线。螺旋状的线材在风冷运输机的“尾”部平稳地落入集卷筒，形成盘卷。盘卷通过悬挂式运输机</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P&amp;F线</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运输，再经过打捆、称重、标记，最终进入成品堆存区。</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高线生产工艺流程及产污节点图见图3.2-1</w:t>
      </w:r>
      <w:r>
        <w:rPr>
          <w:rFonts w:hint="eastAsia" w:ascii="Times New Roman" w:hAnsi="Times New Roman" w:eastAsia="宋体" w:cs="Times New Roman"/>
          <w:sz w:val="24"/>
          <w:szCs w:val="24"/>
        </w:rPr>
        <w:t>3</w:t>
      </w:r>
      <w:r>
        <w:rPr>
          <w:rFonts w:ascii="Times New Roman" w:hAnsi="Times New Roman" w:eastAsia="宋体" w:cs="Times New Roman"/>
          <w:sz w:val="24"/>
          <w:szCs w:val="24"/>
        </w:rPr>
        <w:t>。</w:t>
      </w:r>
    </w:p>
    <w:p>
      <w:pPr>
        <w:pStyle w:val="2"/>
        <w:keepNext w:val="0"/>
        <w:keepLines w:val="0"/>
        <w:pageBreakBefore w:val="0"/>
        <w:widowControl w:val="0"/>
        <w:kinsoku/>
        <w:wordWrap/>
        <w:overflowPunct/>
        <w:topLinePunct w:val="0"/>
        <w:autoSpaceDE/>
        <w:autoSpaceDN/>
        <w:bidi w:val="0"/>
        <w:adjustRightInd/>
        <w:snapToGrid/>
        <w:spacing w:after="0" w:line="360" w:lineRule="auto"/>
        <w:ind w:left="-420" w:leftChars="-200"/>
        <w:jc w:val="center"/>
        <w:textAlignment w:val="auto"/>
        <w:rPr>
          <w:rFonts w:ascii="Times New Roman" w:hAnsi="Times New Roman" w:eastAsia="黑体" w:cs="Times New Roman"/>
          <w:sz w:val="24"/>
        </w:rPr>
      </w:pPr>
      <w:r>
        <w:rPr>
          <w:rFonts w:ascii="Times New Roman" w:hAnsi="Times New Roman" w:cs="Times New Roman"/>
        </w:rPr>
        <w:object>
          <v:shape id="_x0000_i1037" o:spt="75" type="#_x0000_t75" style="height:304.7pt;width:501.1pt;" o:ole="t" filled="f" o:preferrelative="t" stroked="f" coordsize="21600,21600">
            <v:path/>
            <v:fill on="f" focussize="0,0"/>
            <v:stroke on="f"/>
            <v:imagedata r:id="rId44" o:title=""/>
            <o:lock v:ext="edit" aspectratio="t"/>
            <w10:wrap type="none"/>
            <w10:anchorlock/>
          </v:shape>
          <o:OLEObject Type="Embed" ProgID="RFFlow4" ShapeID="_x0000_i1037" DrawAspect="Content" ObjectID="_1468075737" r:id="rId43">
            <o:LockedField>false</o:LockedField>
          </o:OLEObject>
        </w:object>
      </w:r>
      <w:r>
        <w:rPr>
          <w:rFonts w:ascii="Times New Roman" w:hAnsi="Times New Roman" w:eastAsia="黑体" w:cs="Times New Roman"/>
          <w:sz w:val="24"/>
        </w:rPr>
        <w:t>图3.2-1</w:t>
      </w:r>
      <w:r>
        <w:rPr>
          <w:rFonts w:hint="eastAsia" w:ascii="Times New Roman" w:hAnsi="Times New Roman" w:eastAsia="黑体" w:cs="Times New Roman"/>
          <w:sz w:val="24"/>
        </w:rPr>
        <w:t>3</w:t>
      </w:r>
      <w:r>
        <w:rPr>
          <w:rFonts w:ascii="Times New Roman" w:hAnsi="Times New Roman" w:eastAsia="黑体" w:cs="Times New Roman"/>
          <w:sz w:val="24"/>
        </w:rPr>
        <w:t xml:space="preserve">  高速线材生产工艺流程及产污节点图</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3.2.1.9矿渣微粉生产线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150万t/a矿渣微粉生产线主要工艺流程如下：</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（1）原料系统：高炉水渣由胶带机运输至湿矿渣堆场</w:t>
      </w:r>
      <w:r>
        <w:rPr>
          <w:rFonts w:hint="eastAsia" w:ascii="Times New Roman" w:hAnsi="Times New Roman" w:eastAsia="宋体" w:cs="Times New Roman"/>
          <w:sz w:val="24"/>
        </w:rPr>
        <w:t>（</w:t>
      </w:r>
      <w:r>
        <w:rPr>
          <w:rFonts w:ascii="Times New Roman" w:hAnsi="Times New Roman" w:eastAsia="宋体" w:cs="Times New Roman"/>
          <w:sz w:val="24"/>
        </w:rPr>
        <w:t>下铺鹅卵石</w:t>
      </w:r>
      <w:r>
        <w:rPr>
          <w:rFonts w:hint="eastAsia" w:ascii="Times New Roman" w:hAnsi="Times New Roman" w:eastAsia="宋体" w:cs="Times New Roman"/>
          <w:sz w:val="24"/>
        </w:rPr>
        <w:t>）</w:t>
      </w:r>
      <w:r>
        <w:rPr>
          <w:rFonts w:ascii="Times New Roman" w:hAnsi="Times New Roman" w:eastAsia="宋体" w:cs="Times New Roman"/>
          <w:sz w:val="24"/>
        </w:rPr>
        <w:t>，经滤水、晾干后由胶带输送机送入矿渣中间仓内储存。仓内的矿渣由皮带喂料秤定量卸出，经电磁除铁器除铁后由胶带输送机送到立磨系统。</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立磨系统：由原料系统送来的矿渣经气动两路阀、回转锁风阀喂入立磨内烘干并粉磨。喂入磨机的物料被磨辊在旋转的磨盘上挤压，在一定负荷下被粉碎，粉磨后的物料被上升承载的热风(烘干热源由热风炉提供)立即送入位于立磨上部的高效选粉机中分选成粗粉和细粉；细粉既成品由袋收尘器收下，经斜槽、提升机等输送设备送入成品系统；粗粉落在磨盘上再次粉磨。为了节能，一部分粗粉排出立磨，经除铁器、提升机、输送机等设备送回立磨内再次粉磨。废气经高效袋收尘器除尘后由排风机经烟囱排入大气。</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（3）成品系统：合格的矿渣粉经提升机、斜槽送入矿渣微粉库内储存。矿渣微粉库内设有充气斜槽，充气后，矿渣微粉可以通过库底卸料设备、散装机装入汽车外销出厂。</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矿渣微粉生产线生产工艺流程及产污节点图见图3.2-1</w:t>
      </w:r>
      <w:r>
        <w:rPr>
          <w:rFonts w:hint="eastAsia" w:ascii="Times New Roman" w:hAnsi="Times New Roman" w:eastAsia="宋体" w:cs="Times New Roman"/>
          <w:sz w:val="24"/>
        </w:rPr>
        <w:t>4</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jc w:val="center"/>
        <w:rPr>
          <w:rFonts w:ascii="Times New Roman" w:hAnsi="Times New Roman" w:cs="Times New Roman"/>
        </w:rPr>
      </w:pPr>
      <w:r>
        <w:rPr>
          <w:rFonts w:ascii="Times New Roman" w:hAnsi="Times New Roman" w:cs="Times New Roman"/>
        </w:rPr>
        <w:object>
          <v:shape id="_x0000_i1038" o:spt="75" type="#_x0000_t75" style="height:439.5pt;width:383.6pt;" o:ole="t" filled="f" o:preferrelative="t" stroked="f" coordsize="21600,21600">
            <v:path/>
            <v:fill on="f" focussize="0,0"/>
            <v:stroke on="f" joinstyle="miter"/>
            <v:imagedata r:id="rId46" o:title=""/>
            <o:lock v:ext="edit" aspectratio="t"/>
            <w10:wrap type="none"/>
            <w10:anchorlock/>
          </v:shape>
          <o:OLEObject Type="Embed" ProgID="RFFlow4" ShapeID="_x0000_i1038" DrawAspect="Content" ObjectID="_1468075738" r:id="rId45">
            <o:LockedField>false</o:LockedField>
          </o:OLEObject>
        </w:objec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图3.2-1</w:t>
      </w:r>
      <w:r>
        <w:rPr>
          <w:rFonts w:hint="eastAsia" w:ascii="Times New Roman" w:hAnsi="Times New Roman" w:eastAsia="黑体" w:cs="Times New Roman"/>
          <w:sz w:val="24"/>
        </w:rPr>
        <w:t>4</w:t>
      </w:r>
      <w:r>
        <w:rPr>
          <w:rFonts w:ascii="Times New Roman" w:hAnsi="Times New Roman" w:eastAsia="黑体" w:cs="Times New Roman"/>
          <w:sz w:val="24"/>
        </w:rPr>
        <w:t xml:space="preserve">  矿渣微粉生产线生产工艺流程及产污节点图</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3.2.1.10发电站</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厂区现有1座发电站，内设2台130t/h高温高压全燃煤气锅炉</w:t>
      </w:r>
      <w:r>
        <w:rPr>
          <w:rFonts w:hint="eastAsia" w:ascii="Times New Roman" w:hAnsi="Times New Roman" w:eastAsia="宋体" w:cs="Times New Roman"/>
          <w:sz w:val="24"/>
          <w:szCs w:val="24"/>
          <w:lang w:val="en-US" w:eastAsia="zh-CN"/>
        </w:rPr>
        <w:t>（型号为NG-130/9.81-Q3）</w:t>
      </w:r>
      <w:r>
        <w:rPr>
          <w:rFonts w:ascii="Times New Roman" w:hAnsi="Times New Roman" w:eastAsia="宋体" w:cs="Times New Roman"/>
          <w:sz w:val="24"/>
          <w:szCs w:val="24"/>
        </w:rPr>
        <w:t>，配套2×25MW抽凝机组、1×25MW纯凝机组、3×30MW抽凝式汽轮发电机组</w:t>
      </w:r>
      <w:r>
        <w:rPr>
          <w:rFonts w:hint="eastAsia" w:ascii="Times New Roman" w:hAnsi="Times New Roman" w:eastAsia="宋体" w:cs="Times New Roman"/>
          <w:sz w:val="24"/>
          <w:szCs w:val="24"/>
          <w:lang w:eastAsia="zh-CN"/>
        </w:rPr>
        <w:t>，配套一台</w:t>
      </w:r>
      <w:r>
        <w:rPr>
          <w:rFonts w:hint="eastAsia" w:ascii="Times New Roman" w:hAnsi="Times New Roman" w:eastAsia="宋体" w:cs="Times New Roman"/>
          <w:sz w:val="24"/>
          <w:szCs w:val="24"/>
          <w:lang w:val="en-US" w:eastAsia="zh-CN"/>
        </w:rPr>
        <w:t>60t/h的过热炉（型号为NG-60/1.27/240-Q，主要作用为轧钢、烧结、炼钢生产过程中产生的低压蒸汽通过独立管道接入过热炉加热至过热蒸汽后接入汽轮机发电）</w:t>
      </w:r>
      <w:r>
        <w:rPr>
          <w:rFonts w:ascii="Times New Roman" w:hAnsi="Times New Roman" w:eastAsia="宋体" w:cs="Times New Roman"/>
          <w:sz w:val="24"/>
          <w:szCs w:val="24"/>
        </w:rPr>
        <w:t>。同时设置1台35t/h燃煤气锅炉，将剩余燃气产生的热能用于余热发电或生产</w:t>
      </w:r>
      <w:r>
        <w:rPr>
          <w:rFonts w:hint="eastAsia" w:ascii="Times New Roman" w:hAnsi="Times New Roman" w:eastAsia="宋体" w:cs="Times New Roman"/>
          <w:sz w:val="24"/>
          <w:szCs w:val="24"/>
          <w:lang w:eastAsia="zh-CN"/>
        </w:rPr>
        <w:t>（现已停用）</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全公司富余的高炉煤气、焦炉煤气、转炉煤气通过公司各煤气管网的专用管道输送到发电工程燃气锅炉内</w:t>
      </w:r>
      <w:r>
        <w:rPr>
          <w:rFonts w:hint="eastAsia" w:ascii="Times New Roman" w:hAnsi="Times New Roman" w:eastAsia="宋体" w:cs="Times New Roman"/>
          <w:sz w:val="24"/>
        </w:rPr>
        <w:t>（</w:t>
      </w:r>
      <w:r>
        <w:rPr>
          <w:rFonts w:ascii="Times New Roman" w:hAnsi="Times New Roman" w:eastAsia="宋体" w:cs="Times New Roman"/>
          <w:sz w:val="24"/>
        </w:rPr>
        <w:t>输气管道采用母管形式、输气管上装有气源切断阀和计量装置，煤气通过干管接至锅炉内的支管进入锅炉燃烧器</w:t>
      </w:r>
      <w:r>
        <w:rPr>
          <w:rFonts w:hint="eastAsia" w:ascii="Times New Roman" w:hAnsi="Times New Roman" w:eastAsia="宋体" w:cs="Times New Roman"/>
          <w:sz w:val="24"/>
        </w:rPr>
        <w:t>）</w:t>
      </w:r>
      <w:r>
        <w:rPr>
          <w:rFonts w:ascii="Times New Roman" w:hAnsi="Times New Roman" w:eastAsia="宋体" w:cs="Times New Roman"/>
          <w:sz w:val="24"/>
        </w:rPr>
        <w:t>；每台锅炉配套1台鼓风机和2台引风机；助燃空气由鼓风机通过空气预热器引入加热后的空气提供。锅炉内煤气燃烧产生的9.81MPa、540℃的高压蒸汽带动汽轮机做功、汽轮机推动发电机将机械能转化为电能后送出。</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发电站工艺流程及产污节点图见图3.2-1</w:t>
      </w:r>
      <w:r>
        <w:rPr>
          <w:rFonts w:hint="eastAsia" w:ascii="Times New Roman" w:hAnsi="Times New Roman" w:eastAsia="宋体" w:cs="Times New Roman"/>
          <w:sz w:val="24"/>
        </w:rPr>
        <w:t>5</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ind w:left="-420" w:leftChars="-200"/>
        <w:jc w:val="center"/>
        <w:rPr>
          <w:rFonts w:ascii="Times New Roman" w:hAnsi="Times New Roman" w:eastAsia="黑体" w:cs="Times New Roman"/>
          <w:sz w:val="24"/>
        </w:rPr>
      </w:pPr>
      <w:r>
        <w:rPr>
          <w:rFonts w:ascii="Times New Roman" w:hAnsi="Times New Roman" w:cs="Times New Roman"/>
        </w:rPr>
        <w:object>
          <v:shape id="_x0000_i1039" o:spt="75" type="#_x0000_t75" style="height:205.65pt;width:483.25pt;" o:ole="t" filled="f" o:preferrelative="t" stroked="f" coordsize="21600,21600">
            <v:path/>
            <v:fill on="f" focussize="0,0"/>
            <v:stroke on="f" joinstyle="miter"/>
            <v:imagedata r:id="rId48" o:title=""/>
            <o:lock v:ext="edit" aspectratio="t"/>
            <w10:wrap type="none"/>
            <w10:anchorlock/>
          </v:shape>
          <o:OLEObject Type="Embed" ProgID="RFFlow4" ShapeID="_x0000_i1039" DrawAspect="Content" ObjectID="_1468075739" r:id="rId47">
            <o:LockedField>false</o:LockedField>
          </o:OLEObject>
        </w:object>
      </w:r>
      <w:r>
        <w:rPr>
          <w:rFonts w:ascii="Times New Roman" w:hAnsi="Times New Roman" w:eastAsia="黑体" w:cs="Times New Roman"/>
          <w:sz w:val="24"/>
        </w:rPr>
        <w:t>图3.2-1</w:t>
      </w:r>
      <w:r>
        <w:rPr>
          <w:rFonts w:hint="eastAsia" w:ascii="Times New Roman" w:hAnsi="Times New Roman" w:eastAsia="黑体" w:cs="Times New Roman"/>
          <w:sz w:val="24"/>
        </w:rPr>
        <w:t>5</w:t>
      </w:r>
      <w:r>
        <w:rPr>
          <w:rFonts w:ascii="Times New Roman" w:hAnsi="Times New Roman" w:eastAsia="黑体" w:cs="Times New Roman"/>
          <w:sz w:val="24"/>
        </w:rPr>
        <w:t xml:space="preserve">  发电站生产工艺流程及产污节点图</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3.2.2主要污染源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（1）原料场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废气：各种含铁原料、熔剂和燃料，在卸料、输送、转运以及破碎筛分过程中产生粉尘。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噪声：除尘风机运转产生噪声，堆取料机等机械设备运行噪声。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固体废物：主要为除尘系统收集的粉尘。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（2）石灰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废气：石灰石转运过程中产生粉尘；回转窑煅烧过程中产生含烟尘、NO</w:t>
      </w:r>
      <w:r>
        <w:rPr>
          <w:rFonts w:ascii="Times New Roman" w:hAnsi="Times New Roman" w:eastAsia="宋体" w:cs="Times New Roman"/>
          <w:sz w:val="24"/>
          <w:vertAlign w:val="subscript"/>
        </w:rPr>
        <w:t>x</w:t>
      </w:r>
      <w:r>
        <w:rPr>
          <w:rFonts w:ascii="Times New Roman" w:hAnsi="Times New Roman" w:eastAsia="宋体" w:cs="Times New Roman"/>
          <w:sz w:val="24"/>
        </w:rPr>
        <w:t>的废气；高温石灰在窑头冷却过程中产生粉尘；成品石灰在输送、破碎、筛分、入库及装车等过程中产生的粉尘。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噪声：振动筛、各类风机、泵等设备运转产生噪声。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固体废物：主要为各除尘系统收集的除尘灰。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（3）烧结</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废气：烧结熔剂、燃料在破碎、配料、混合及转运过程中产生粉尘；混合料在烧结过程中主抽风系统产生大量含尘及SO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的废气；成品烧结矿在破碎、筛分、整粒、转运等过程中产生大量含尘废气等。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废水：烧结设备间接冷却循环水系统产生少量排污水；车间地面冲洗产生少量含SS污水；烧结机机头烟气脱硫产生脱硫废水。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噪声：烧结主抽风机、环冷风机、破碎机、振动筛、除尘风机、水泵等设备运行产生噪声。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固体废物：各除尘系统收集的除尘灰；脱硫系统产生的脱硫石膏；脱硝系统产生的废催化剂。</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（4）焦化</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废气：炼焦煤在贮运、粉碎、转运等过程中产生煤尘；焦炉装煤、推焦操作过程和炉顶、炉门等处泄漏烟尘、SO</w:t>
      </w:r>
      <w:r>
        <w:rPr>
          <w:rFonts w:ascii="Times New Roman" w:hAnsi="Times New Roman" w:eastAsia="宋体" w:cs="Times New Roman"/>
          <w:sz w:val="24"/>
          <w:vertAlign w:val="subscript"/>
        </w:rPr>
        <w:t>2</w:t>
      </w:r>
      <w:r>
        <w:rPr>
          <w:rFonts w:ascii="Times New Roman" w:hAnsi="Times New Roman" w:eastAsia="宋体" w:cs="Times New Roman"/>
          <w:sz w:val="24"/>
        </w:rPr>
        <w:t>、BaP；焦炉燃用净化后的高、焦炉混合煤气产生含少量SO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的烟气；焦炭在筛分、转运、贮存过程中产生焦尘；煤气净化系统排放各类有机废气等。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废水：炼焦及煤气净化过程中产生含酚、氰废水。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噪声：粉碎机、筛焦设备、各类风机、泵等运行产生噪声。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固体废物：各除尘系统收集的除尘灰；煤气净化、化产回收系统产生的焦油渣、沥青渣、再生器残渣及生化污泥等。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（5）炼铁</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废气：上料系统</w:t>
      </w:r>
      <w:r>
        <w:rPr>
          <w:rFonts w:hint="eastAsia" w:ascii="Times New Roman" w:hAnsi="Times New Roman" w:eastAsia="宋体" w:cs="Times New Roman"/>
          <w:sz w:val="24"/>
        </w:rPr>
        <w:t>（</w:t>
      </w:r>
      <w:r>
        <w:rPr>
          <w:rFonts w:ascii="Times New Roman" w:hAnsi="Times New Roman" w:eastAsia="宋体" w:cs="Times New Roman"/>
          <w:sz w:val="24"/>
        </w:rPr>
        <w:t>包括料仓、槽上、槽下的胶带机落料点和振动筛等处</w:t>
      </w:r>
      <w:r>
        <w:rPr>
          <w:rFonts w:hint="eastAsia" w:ascii="Times New Roman" w:hAnsi="Times New Roman" w:eastAsia="宋体" w:cs="Times New Roman"/>
          <w:sz w:val="24"/>
        </w:rPr>
        <w:t>）</w:t>
      </w:r>
      <w:r>
        <w:rPr>
          <w:rFonts w:ascii="Times New Roman" w:hAnsi="Times New Roman" w:eastAsia="宋体" w:cs="Times New Roman"/>
          <w:sz w:val="24"/>
        </w:rPr>
        <w:t>产生粉尘；高炉冶炼产生大量含尘、CO的烟气；出铁场产生烟尘；热风炉燃高炉煤气产生含少量SO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的烟气；铸铁机铸铁时产生含尘烟气；高炉煤粉制备系统产生煤尘。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废水：炉前水冲渣产生废水，铸铁机冷却产生废水，煤气管道排出冷凝水等。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噪声：冷风管放风阀、炉顶均压放散阀、热风炉助燃风机、高炉鼓风机、制粉系统鼓风机、除尘风机和水泵等运转产生噪声。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固体废物：高炉冶炼产生炉渣；高炉煤气净化系统产生瓦斯灰以及各除尘系统收集的除尘灰；铁沟、渣沟、铁水罐等修砌产生废耐火材料等。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（6）铸管</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废气：混铁炉、工频炉产生烟尘，球化包在喂丝球化过程中产生粉尘；铸铁管在喷锌、切环倒角、三磨产生粉尘；喷涂沥青漆时产生含沥青烟、甲苯、二甲苯的废气；退火炉、低温加热炉燃烧煤气产生含烟尘、SO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的烟气等。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废水：铸管水压试验、水泥砂浆制备和水泥涂衬产生废水、三乙胺尾气净化喷淋间断产生废水等。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噪声：管模修理、水泥衬涂、倒角、切环、内磨产生噪声；除尘风机和循环水泵运行产生噪声。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固体废物：水泥涂衬产生水泥砂浆，喷锌工段除尘器收集的锌粉，其他各除尘系统收集的除尘灰。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（7）炼钢</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废气：铁水预处理产生烟尘；转炉散状料上料系统产生粉尘；转炉冶炼过程中产生大量含烟尘、CO烟气；精炼炉冶炼产生含尘烟气；连铸结晶器加保护渣时产生少量烟尘等。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废水：RH真空精炼装置产生含少量SS冷凝水；连铸坯二次喷淋冷却产生含氧化铁皮和少量油的废水。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噪声：转炉、LF炉冶炼产生噪声；除尘风机、RH真空泵及各类泵等运行产生噪声。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固体废物：铁水预处理产生废渣；转炉、精炼炉冶炼产生钢渣；连铸中间罐产生钢包注余渣；各除尘系统收集的除尘灰；水处理系统收集的氧化铁皮；转炉、钢包、连铸中间罐等修砌产生废耐火材料等。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（8）轧钢</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废气：加热炉燃用煤气产生含SO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及少量尘的烟气；抛丸产生粉尘。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废水：轧辊冷却、高压水除鳞、冲氧化铁皮等产的含油及氧化铁皮废水。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噪声：轧线设备及各类风机、泵等运行产生噪声。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固体废物：加热炉产生的炉渣和废耐火材料；水处理系统收集的氧化铁皮及少量废油等。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（9）矿渣微粉生产线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废气：矿渣除铁、皮带转运、立磨、选粉、矿粉转运、汽车散装过程产生粉尘；</w:t>
      </w:r>
      <w:r>
        <w:rPr>
          <w:rFonts w:ascii="Times New Roman" w:hAnsi="Times New Roman" w:eastAsia="宋体" w:cs="Times New Roman"/>
          <w:spacing w:val="4"/>
          <w:sz w:val="24"/>
        </w:rPr>
        <w:t>热风炉燃烧焦炉煤气产生</w:t>
      </w:r>
      <w:r>
        <w:rPr>
          <w:rFonts w:ascii="Times New Roman" w:hAnsi="Times New Roman" w:eastAsia="宋体" w:cs="Times New Roman"/>
          <w:sz w:val="24"/>
        </w:rPr>
        <w:t>含SO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及少量尘的烟气。</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废水：高炉水渣在沥干过程中产生废水。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噪声：磁选机、立磨、振动筛等设备运行产生噪声。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固体废物：各除尘器收集下来的粉尘，除铁器分拣的铁渣。</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（10）其它</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废气：发电站锅炉、过热炉燃煤气产生含SO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和少量尘的废气。</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废水：煤气柜水封室、全厂煤气管线排水器等产生少量含酚、氰的煤气冷凝水；全厂生活设施产生生活污水。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噪声：空压站空压机设备运行及气体放散产生噪声。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固废：全厂综合污水处理站产生的污泥；各车间产生的废油。</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3.2.3后评价阶段水平衡分析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后评价阶段</w:t>
      </w:r>
      <w:r>
        <w:rPr>
          <w:rFonts w:hint="eastAsia" w:ascii="Times New Roman" w:hAnsi="Times New Roman" w:eastAsia="宋体" w:cs="Times New Roman"/>
          <w:sz w:val="24"/>
        </w:rPr>
        <w:t>厂区</w:t>
      </w:r>
      <w:r>
        <w:rPr>
          <w:rFonts w:ascii="Times New Roman" w:hAnsi="Times New Roman" w:eastAsia="宋体" w:cs="Times New Roman"/>
          <w:sz w:val="24"/>
        </w:rPr>
        <w:t>用水主要包括生产用水和生活用水，生产废水和生活污水送入全厂综合污水处理站进行处理，处理后的水全部回用，不外排。后评价阶段</w:t>
      </w:r>
      <w:r>
        <w:rPr>
          <w:rFonts w:hint="eastAsia" w:ascii="Times New Roman" w:hAnsi="Times New Roman" w:eastAsia="宋体" w:cs="Times New Roman"/>
          <w:sz w:val="24"/>
        </w:rPr>
        <w:t>全厂</w:t>
      </w:r>
      <w:r>
        <w:rPr>
          <w:rFonts w:ascii="Times New Roman" w:hAnsi="Times New Roman" w:eastAsia="宋体" w:cs="Times New Roman"/>
          <w:sz w:val="24"/>
        </w:rPr>
        <w:t>水平衡图见图3.2-1</w:t>
      </w:r>
      <w:r>
        <w:rPr>
          <w:rFonts w:hint="eastAsia" w:ascii="Times New Roman" w:hAnsi="Times New Roman" w:eastAsia="宋体" w:cs="Times New Roman"/>
          <w:sz w:val="24"/>
        </w:rPr>
        <w:t>6</w:t>
      </w:r>
      <w:r>
        <w:rPr>
          <w:rFonts w:ascii="Times New Roman" w:hAnsi="Times New Roman" w:eastAsia="宋体" w:cs="Times New Roman"/>
          <w:sz w:val="24"/>
        </w:rPr>
        <w:t>，给排水平衡表见表3.2-1。</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表3.2-1  项目后评价阶段</w:t>
      </w:r>
      <w:r>
        <w:rPr>
          <w:rFonts w:hint="eastAsia" w:ascii="Times New Roman" w:hAnsi="Times New Roman" w:eastAsia="黑体" w:cs="Times New Roman"/>
          <w:sz w:val="24"/>
          <w:lang w:eastAsia="zh-CN"/>
        </w:rPr>
        <w:t>全厂</w:t>
      </w:r>
      <w:r>
        <w:rPr>
          <w:rFonts w:ascii="Times New Roman" w:hAnsi="Times New Roman" w:eastAsia="黑体" w:cs="Times New Roman"/>
          <w:sz w:val="24"/>
        </w:rPr>
        <w:t>给排水平衡表</w:t>
      </w:r>
    </w:p>
    <w:tbl>
      <w:tblPr>
        <w:tblStyle w:val="21"/>
        <w:tblW w:w="1417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3"/>
        <w:gridCol w:w="1007"/>
        <w:gridCol w:w="1254"/>
        <w:gridCol w:w="1156"/>
        <w:gridCol w:w="853"/>
        <w:gridCol w:w="827"/>
        <w:gridCol w:w="1244"/>
        <w:gridCol w:w="1117"/>
        <w:gridCol w:w="1114"/>
        <w:gridCol w:w="639"/>
        <w:gridCol w:w="977"/>
        <w:gridCol w:w="788"/>
        <w:gridCol w:w="1049"/>
        <w:gridCol w:w="958"/>
        <w:gridCol w:w="7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vMerge w:val="restart"/>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序号</w:t>
            </w:r>
          </w:p>
        </w:tc>
        <w:tc>
          <w:tcPr>
            <w:tcW w:w="1007" w:type="dxa"/>
            <w:vMerge w:val="restart"/>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工序名称</w:t>
            </w:r>
          </w:p>
        </w:tc>
        <w:tc>
          <w:tcPr>
            <w:tcW w:w="1254" w:type="dxa"/>
            <w:vMerge w:val="restart"/>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总用水量(m</w:t>
            </w:r>
            <w:r>
              <w:rPr>
                <w:b/>
                <w:color w:val="auto"/>
                <w:vertAlign w:val="superscript"/>
              </w:rPr>
              <w:t>3</w:t>
            </w:r>
            <w:r>
              <w:rPr>
                <w:b/>
                <w:color w:val="auto"/>
              </w:rPr>
              <w:t>/h)</w:t>
            </w:r>
          </w:p>
        </w:tc>
        <w:tc>
          <w:tcPr>
            <w:tcW w:w="1156" w:type="dxa"/>
            <w:vMerge w:val="restart"/>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循环水量(m</w:t>
            </w:r>
            <w:r>
              <w:rPr>
                <w:b/>
                <w:color w:val="auto"/>
                <w:vertAlign w:val="superscript"/>
              </w:rPr>
              <w:t>3</w:t>
            </w:r>
            <w:r>
              <w:rPr>
                <w:b/>
                <w:color w:val="auto"/>
              </w:rPr>
              <w:t>/h)</w:t>
            </w:r>
          </w:p>
        </w:tc>
        <w:tc>
          <w:tcPr>
            <w:tcW w:w="6771" w:type="dxa"/>
            <w:gridSpan w:val="7"/>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补充水量(m</w:t>
            </w:r>
            <w:r>
              <w:rPr>
                <w:b/>
                <w:color w:val="auto"/>
                <w:vertAlign w:val="superscript"/>
              </w:rPr>
              <w:t>3</w:t>
            </w:r>
            <w:r>
              <w:rPr>
                <w:b/>
                <w:color w:val="auto"/>
              </w:rPr>
              <w:t>/h)</w:t>
            </w:r>
          </w:p>
        </w:tc>
        <w:tc>
          <w:tcPr>
            <w:tcW w:w="1837" w:type="dxa"/>
            <w:gridSpan w:val="2"/>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排水量(m</w:t>
            </w:r>
            <w:r>
              <w:rPr>
                <w:b/>
                <w:color w:val="auto"/>
                <w:vertAlign w:val="superscript"/>
              </w:rPr>
              <w:t>3</w:t>
            </w:r>
            <w:r>
              <w:rPr>
                <w:b/>
                <w:color w:val="auto"/>
              </w:rPr>
              <w:t>/h)</w:t>
            </w:r>
          </w:p>
        </w:tc>
        <w:tc>
          <w:tcPr>
            <w:tcW w:w="958" w:type="dxa"/>
            <w:vMerge w:val="restart"/>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各工序损耗水量(m</w:t>
            </w:r>
            <w:r>
              <w:rPr>
                <w:b/>
                <w:color w:val="auto"/>
                <w:vertAlign w:val="superscript"/>
              </w:rPr>
              <w:t>3</w:t>
            </w:r>
            <w:r>
              <w:rPr>
                <w:b/>
                <w:color w:val="auto"/>
              </w:rPr>
              <w:t>/h)</w:t>
            </w:r>
          </w:p>
        </w:tc>
        <w:tc>
          <w:tcPr>
            <w:tcW w:w="757" w:type="dxa"/>
            <w:vMerge w:val="restart"/>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重复利用率(%)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07"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254"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56"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853" w:type="dxa"/>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补水总量</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生产新水(取自长江)</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软水</w:t>
            </w:r>
          </w:p>
        </w:tc>
        <w:tc>
          <w:tcPr>
            <w:tcW w:w="1117" w:type="dxa"/>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除盐水(自污水处理站/除盐水站)</w:t>
            </w:r>
          </w:p>
        </w:tc>
        <w:tc>
          <w:tcPr>
            <w:tcW w:w="1114" w:type="dxa"/>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常规处理回用水</w:t>
            </w:r>
          </w:p>
        </w:tc>
        <w:tc>
          <w:tcPr>
            <w:tcW w:w="639" w:type="dxa"/>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串级用水</w:t>
            </w:r>
          </w:p>
        </w:tc>
        <w:tc>
          <w:tcPr>
            <w:tcW w:w="977" w:type="dxa"/>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浓盐水</w:t>
            </w:r>
          </w:p>
        </w:tc>
        <w:tc>
          <w:tcPr>
            <w:tcW w:w="788" w:type="dxa"/>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串级排水</w:t>
            </w:r>
          </w:p>
        </w:tc>
        <w:tc>
          <w:tcPr>
            <w:tcW w:w="1049" w:type="dxa"/>
            <w:tcMar>
              <w:left w:w="0" w:type="dxa"/>
              <w:right w:w="0" w:type="dxa"/>
            </w:tcMar>
            <w:vAlign w:val="center"/>
          </w:tcPr>
          <w:p>
            <w:pPr>
              <w:pStyle w:val="41"/>
              <w:keepNext w:val="0"/>
              <w:keepLines w:val="0"/>
              <w:pageBreakBefore w:val="0"/>
              <w:kinsoku/>
              <w:wordWrap/>
              <w:bidi w:val="0"/>
              <w:snapToGrid/>
              <w:spacing w:line="240" w:lineRule="auto"/>
              <w:rPr>
                <w:b/>
                <w:color w:val="auto"/>
              </w:rPr>
            </w:pPr>
            <w:r>
              <w:rPr>
                <w:b/>
                <w:color w:val="auto"/>
              </w:rPr>
              <w:t>排入全厂污水处理站</w:t>
            </w:r>
          </w:p>
        </w:tc>
        <w:tc>
          <w:tcPr>
            <w:tcW w:w="958"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57"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原料场</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17</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17</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w:t>
            </w: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13</w:t>
            </w: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0</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17</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2</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焦化</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6173</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6000</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123</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55</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68</w:t>
            </w: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0</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123</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烧结</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869</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780</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89</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57</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15</w:t>
            </w: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17</w:t>
            </w: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1.5</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87.5</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89.8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炼铁</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10889</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10657</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232</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125</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w:t>
            </w: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70</w:t>
            </w: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32</w:t>
            </w: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43</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189</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铸管</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3996.6</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3936</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60.6</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51.6</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w:t>
            </w: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16</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44.6</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转炉炼钢</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15530</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15070</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460</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115</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192</w:t>
            </w: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111</w:t>
            </w: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42</w:t>
            </w: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47</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413</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rFonts w:hint="eastAsia" w:eastAsia="宋体"/>
                <w:color w:val="auto"/>
                <w:lang w:eastAsia="zh-CN"/>
              </w:rPr>
            </w:pPr>
            <w:r>
              <w:rPr>
                <w:rFonts w:hint="eastAsia"/>
                <w:color w:val="auto"/>
                <w:lang w:val="en-US" w:eastAsia="zh-CN"/>
              </w:rPr>
              <w:t>7</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轧钢</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11186.1</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11000</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186.1</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100</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36.1</w:t>
            </w: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50</w:t>
            </w: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60</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126.1</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8</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发电车间</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14301</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14124</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177</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138</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39</w:t>
            </w: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77</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100</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脱硫脱硝</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8.08</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2.94</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5.14</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5.14</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0</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5.14</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10</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白灰</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199</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180</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19</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19</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7</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12</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11</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制氧</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6495</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6400</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95</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65</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30</w:t>
            </w: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35</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60</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98.5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12</w:t>
            </w:r>
          </w:p>
        </w:tc>
        <w:tc>
          <w:tcPr>
            <w:tcW w:w="100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未预见</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100</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50</w:t>
            </w:r>
          </w:p>
        </w:tc>
        <w:tc>
          <w:tcPr>
            <w:tcW w:w="85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50</w:t>
            </w:r>
          </w:p>
        </w:tc>
        <w:tc>
          <w:tcPr>
            <w:tcW w:w="82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50</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4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13</w:t>
            </w:r>
          </w:p>
        </w:tc>
        <w:tc>
          <w:tcPr>
            <w:tcW w:w="95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37</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13</w:t>
            </w:r>
          </w:p>
        </w:tc>
        <w:tc>
          <w:tcPr>
            <w:tcW w:w="1007" w:type="dxa"/>
            <w:tcMar>
              <w:left w:w="0" w:type="dxa"/>
              <w:right w:w="0" w:type="dxa"/>
            </w:tcMar>
            <w:vAlign w:val="center"/>
          </w:tcPr>
          <w:p>
            <w:pPr>
              <w:keepNext w:val="0"/>
              <w:keepLines w:val="0"/>
              <w:pageBreakBefore w:val="0"/>
              <w:widowControl/>
              <w:kinsoku/>
              <w:wordWrap/>
              <w:bidi w:val="0"/>
              <w:snapToGrid/>
              <w:jc w:val="center"/>
              <w:rPr>
                <w:rFonts w:ascii="Times New Roman" w:hAnsi="Times New Roman" w:eastAsia="等线" w:cs="Times New Roman"/>
                <w:color w:val="auto"/>
                <w:kern w:val="0"/>
                <w:szCs w:val="21"/>
              </w:rPr>
            </w:pPr>
            <w:r>
              <w:rPr>
                <w:rFonts w:ascii="Times New Roman" w:hAnsi="Times New Roman" w:eastAsia="等线" w:cs="Times New Roman"/>
                <w:color w:val="auto"/>
                <w:szCs w:val="21"/>
              </w:rPr>
              <w:t>69763.78</w:t>
            </w:r>
          </w:p>
        </w:tc>
        <w:tc>
          <w:tcPr>
            <w:tcW w:w="1254"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68199.94</w:t>
            </w:r>
          </w:p>
        </w:tc>
        <w:tc>
          <w:tcPr>
            <w:tcW w:w="1156"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1513.84</w:t>
            </w:r>
          </w:p>
        </w:tc>
        <w:tc>
          <w:tcPr>
            <w:tcW w:w="853"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780.74</w:t>
            </w:r>
          </w:p>
        </w:tc>
        <w:tc>
          <w:tcPr>
            <w:tcW w:w="82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278.1</w:t>
            </w:r>
          </w:p>
        </w:tc>
        <w:tc>
          <w:tcPr>
            <w:tcW w:w="1244"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107</w:t>
            </w:r>
          </w:p>
        </w:tc>
        <w:tc>
          <w:tcPr>
            <w:tcW w:w="111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261</w:t>
            </w:r>
          </w:p>
        </w:tc>
        <w:tc>
          <w:tcPr>
            <w:tcW w:w="1114"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0</w:t>
            </w:r>
          </w:p>
        </w:tc>
        <w:tc>
          <w:tcPr>
            <w:tcW w:w="639"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87</w:t>
            </w:r>
          </w:p>
        </w:tc>
        <w:tc>
          <w:tcPr>
            <w:tcW w:w="97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0</w:t>
            </w:r>
          </w:p>
        </w:tc>
        <w:tc>
          <w:tcPr>
            <w:tcW w:w="788"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299.5</w:t>
            </w:r>
          </w:p>
        </w:tc>
        <w:tc>
          <w:tcPr>
            <w:tcW w:w="1049"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1214.34</w:t>
            </w:r>
          </w:p>
        </w:tc>
        <w:tc>
          <w:tcPr>
            <w:tcW w:w="958" w:type="dxa"/>
            <w:tcMar>
              <w:left w:w="0" w:type="dxa"/>
              <w:right w:w="0" w:type="dxa"/>
            </w:tcMar>
            <w:vAlign w:val="center"/>
          </w:tcPr>
          <w:p>
            <w:pPr>
              <w:keepNext w:val="0"/>
              <w:keepLines w:val="0"/>
              <w:pageBreakBefore w:val="0"/>
              <w:widowControl/>
              <w:kinsoku/>
              <w:wordWrap/>
              <w:bidi w:val="0"/>
              <w:snapToGrid/>
              <w:jc w:val="center"/>
              <w:rPr>
                <w:rFonts w:ascii="Times New Roman" w:hAnsi="Times New Roman" w:eastAsia="等线" w:cs="Times New Roman"/>
                <w:color w:val="auto"/>
                <w:kern w:val="0"/>
                <w:szCs w:val="21"/>
              </w:rPr>
            </w:pPr>
            <w:r>
              <w:rPr>
                <w:rFonts w:ascii="Times New Roman" w:hAnsi="Times New Roman" w:eastAsia="等线" w:cs="Times New Roman"/>
                <w:color w:val="auto"/>
                <w:szCs w:val="21"/>
              </w:rPr>
              <w:t>69763.78</w:t>
            </w:r>
          </w:p>
        </w:tc>
        <w:tc>
          <w:tcPr>
            <w:tcW w:w="75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97.8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14</w:t>
            </w:r>
          </w:p>
        </w:tc>
        <w:tc>
          <w:tcPr>
            <w:tcW w:w="100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65</w:t>
            </w:r>
          </w:p>
        </w:tc>
        <w:tc>
          <w:tcPr>
            <w:tcW w:w="1254"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0</w:t>
            </w:r>
          </w:p>
        </w:tc>
        <w:tc>
          <w:tcPr>
            <w:tcW w:w="1156"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65</w:t>
            </w:r>
          </w:p>
        </w:tc>
        <w:tc>
          <w:tcPr>
            <w:tcW w:w="853"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65</w:t>
            </w:r>
          </w:p>
        </w:tc>
        <w:tc>
          <w:tcPr>
            <w:tcW w:w="82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p>
        </w:tc>
        <w:tc>
          <w:tcPr>
            <w:tcW w:w="1244"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p>
        </w:tc>
        <w:tc>
          <w:tcPr>
            <w:tcW w:w="111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p>
        </w:tc>
        <w:tc>
          <w:tcPr>
            <w:tcW w:w="1114"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p>
        </w:tc>
        <w:tc>
          <w:tcPr>
            <w:tcW w:w="639"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p>
        </w:tc>
        <w:tc>
          <w:tcPr>
            <w:tcW w:w="97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p>
        </w:tc>
        <w:tc>
          <w:tcPr>
            <w:tcW w:w="788"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60</w:t>
            </w:r>
          </w:p>
        </w:tc>
        <w:tc>
          <w:tcPr>
            <w:tcW w:w="1049"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5</w:t>
            </w:r>
          </w:p>
        </w:tc>
        <w:tc>
          <w:tcPr>
            <w:tcW w:w="958"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65</w:t>
            </w:r>
          </w:p>
        </w:tc>
        <w:tc>
          <w:tcPr>
            <w:tcW w:w="75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15</w:t>
            </w:r>
          </w:p>
        </w:tc>
        <w:tc>
          <w:tcPr>
            <w:tcW w:w="100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69828.78</w:t>
            </w:r>
          </w:p>
        </w:tc>
        <w:tc>
          <w:tcPr>
            <w:tcW w:w="1254"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68199.94</w:t>
            </w:r>
          </w:p>
        </w:tc>
        <w:tc>
          <w:tcPr>
            <w:tcW w:w="1156"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1578.84</w:t>
            </w:r>
          </w:p>
        </w:tc>
        <w:tc>
          <w:tcPr>
            <w:tcW w:w="853"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845.74</w:t>
            </w:r>
          </w:p>
        </w:tc>
        <w:tc>
          <w:tcPr>
            <w:tcW w:w="82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278.1</w:t>
            </w:r>
          </w:p>
        </w:tc>
        <w:tc>
          <w:tcPr>
            <w:tcW w:w="1244"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107</w:t>
            </w:r>
          </w:p>
        </w:tc>
        <w:tc>
          <w:tcPr>
            <w:tcW w:w="111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261</w:t>
            </w:r>
          </w:p>
        </w:tc>
        <w:tc>
          <w:tcPr>
            <w:tcW w:w="1114"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0</w:t>
            </w:r>
          </w:p>
        </w:tc>
        <w:tc>
          <w:tcPr>
            <w:tcW w:w="639"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87</w:t>
            </w:r>
          </w:p>
        </w:tc>
        <w:tc>
          <w:tcPr>
            <w:tcW w:w="97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0</w:t>
            </w:r>
          </w:p>
        </w:tc>
        <w:tc>
          <w:tcPr>
            <w:tcW w:w="788"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359.5</w:t>
            </w:r>
          </w:p>
        </w:tc>
        <w:tc>
          <w:tcPr>
            <w:tcW w:w="1049"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1219.34</w:t>
            </w:r>
          </w:p>
        </w:tc>
        <w:tc>
          <w:tcPr>
            <w:tcW w:w="958"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69828.78</w:t>
            </w:r>
          </w:p>
        </w:tc>
        <w:tc>
          <w:tcPr>
            <w:tcW w:w="757" w:type="dxa"/>
            <w:tcMar>
              <w:left w:w="0" w:type="dxa"/>
              <w:right w:w="0" w:type="dxa"/>
            </w:tcMar>
            <w:vAlign w:val="center"/>
          </w:tcPr>
          <w:p>
            <w:pPr>
              <w:keepNext w:val="0"/>
              <w:keepLines w:val="0"/>
              <w:pageBreakBefore w:val="0"/>
              <w:kinsoku/>
              <w:wordWrap/>
              <w:bidi w:val="0"/>
              <w:snapToGrid/>
              <w:jc w:val="center"/>
              <w:rPr>
                <w:rFonts w:ascii="Times New Roman" w:hAnsi="Times New Roman" w:eastAsia="等线" w:cs="Times New Roman"/>
                <w:color w:val="auto"/>
                <w:szCs w:val="21"/>
              </w:rPr>
            </w:pPr>
            <w:r>
              <w:rPr>
                <w:rFonts w:ascii="Times New Roman" w:hAnsi="Times New Roman" w:eastAsia="等线" w:cs="Times New Roman"/>
                <w:color w:val="auto"/>
                <w:szCs w:val="21"/>
              </w:rPr>
              <w:t>97.7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软水站</w:t>
            </w:r>
          </w:p>
        </w:tc>
        <w:tc>
          <w:tcPr>
            <w:tcW w:w="1007"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进水</w:t>
            </w:r>
          </w:p>
        </w:tc>
        <w:tc>
          <w:tcPr>
            <w:tcW w:w="1254"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生产新水(取自长江)</w:t>
            </w:r>
          </w:p>
        </w:tc>
        <w:tc>
          <w:tcPr>
            <w:tcW w:w="1156"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324.6</w:t>
            </w:r>
          </w:p>
        </w:tc>
        <w:tc>
          <w:tcPr>
            <w:tcW w:w="853"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除盐水站</w:t>
            </w:r>
          </w:p>
        </w:tc>
        <w:tc>
          <w:tcPr>
            <w:tcW w:w="827"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进水</w:t>
            </w:r>
          </w:p>
        </w:tc>
        <w:tc>
          <w:tcPr>
            <w:tcW w:w="1244"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生产新水(取自长江)</w:t>
            </w:r>
          </w:p>
        </w:tc>
        <w:tc>
          <w:tcPr>
            <w:tcW w:w="1117"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49</w:t>
            </w:r>
          </w:p>
        </w:tc>
        <w:tc>
          <w:tcPr>
            <w:tcW w:w="1114"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综合污水处理站</w:t>
            </w:r>
          </w:p>
        </w:tc>
        <w:tc>
          <w:tcPr>
            <w:tcW w:w="639"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进水</w:t>
            </w: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工序排水</w:t>
            </w: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416</w:t>
            </w:r>
          </w:p>
        </w:tc>
        <w:tc>
          <w:tcPr>
            <w:tcW w:w="2007" w:type="dxa"/>
            <w:gridSpan w:val="2"/>
            <w:vMerge w:val="restart"/>
            <w:vAlign w:val="center"/>
          </w:tcPr>
          <w:p>
            <w:pPr>
              <w:pStyle w:val="41"/>
              <w:keepNext w:val="0"/>
              <w:keepLines w:val="0"/>
              <w:pageBreakBefore w:val="0"/>
              <w:kinsoku/>
              <w:wordWrap/>
              <w:bidi w:val="0"/>
              <w:snapToGrid/>
              <w:spacing w:line="240" w:lineRule="auto"/>
              <w:rPr>
                <w:color w:val="auto"/>
              </w:rPr>
            </w:pPr>
            <w:r>
              <w:rPr>
                <w:color w:val="auto"/>
              </w:rPr>
              <w:t>吨钢新水(m</w:t>
            </w:r>
            <w:r>
              <w:rPr>
                <w:color w:val="auto"/>
                <w:vertAlign w:val="superscript"/>
              </w:rPr>
              <w:t>3</w:t>
            </w:r>
            <w:r>
              <w:rPr>
                <w:color w:val="auto"/>
              </w:rPr>
              <w:t>/t)</w:t>
            </w:r>
          </w:p>
        </w:tc>
        <w:tc>
          <w:tcPr>
            <w:tcW w:w="757" w:type="dxa"/>
            <w:vMerge w:val="restart"/>
            <w:vAlign w:val="center"/>
          </w:tcPr>
          <w:p>
            <w:pPr>
              <w:pStyle w:val="41"/>
              <w:keepNext w:val="0"/>
              <w:keepLines w:val="0"/>
              <w:pageBreakBefore w:val="0"/>
              <w:kinsoku/>
              <w:wordWrap/>
              <w:bidi w:val="0"/>
              <w:snapToGrid/>
              <w:spacing w:line="240" w:lineRule="auto"/>
              <w:rPr>
                <w:color w:val="auto"/>
              </w:rPr>
            </w:pPr>
            <w:r>
              <w:rPr>
                <w:color w:val="auto"/>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07"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254"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56"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853"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827"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244"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7"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114"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639"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出水</w:t>
            </w: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常规处理回用水</w:t>
            </w: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261</w:t>
            </w:r>
          </w:p>
        </w:tc>
        <w:tc>
          <w:tcPr>
            <w:tcW w:w="2007" w:type="dxa"/>
            <w:gridSpan w:val="2"/>
            <w:vMerge w:val="continue"/>
            <w:vAlign w:val="center"/>
          </w:tcPr>
          <w:p>
            <w:pPr>
              <w:pStyle w:val="41"/>
              <w:keepNext w:val="0"/>
              <w:keepLines w:val="0"/>
              <w:pageBreakBefore w:val="0"/>
              <w:kinsoku/>
              <w:wordWrap/>
              <w:bidi w:val="0"/>
              <w:snapToGrid/>
              <w:spacing w:line="240" w:lineRule="auto"/>
              <w:rPr>
                <w:color w:val="auto"/>
              </w:rPr>
            </w:pPr>
          </w:p>
        </w:tc>
        <w:tc>
          <w:tcPr>
            <w:tcW w:w="757" w:type="dxa"/>
            <w:vMerge w:val="continue"/>
            <w:vAlign w:val="center"/>
          </w:tcPr>
          <w:p>
            <w:pPr>
              <w:pStyle w:val="41"/>
              <w:keepNext w:val="0"/>
              <w:keepLines w:val="0"/>
              <w:pageBreakBefore w:val="0"/>
              <w:kinsoku/>
              <w:wordWrap/>
              <w:bidi w:val="0"/>
              <w:snapToGrid/>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07"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出水</w:t>
            </w: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软水</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 xml:space="preserve">278.1 </w:t>
            </w:r>
          </w:p>
        </w:tc>
        <w:tc>
          <w:tcPr>
            <w:tcW w:w="853"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827" w:type="dxa"/>
            <w:vMerge w:val="restart"/>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出水</w:t>
            </w: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除盐水</w:t>
            </w: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39</w:t>
            </w:r>
          </w:p>
        </w:tc>
        <w:tc>
          <w:tcPr>
            <w:tcW w:w="1114"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639"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除盐水</w:t>
            </w: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68</w:t>
            </w:r>
          </w:p>
        </w:tc>
        <w:tc>
          <w:tcPr>
            <w:tcW w:w="2007" w:type="dxa"/>
            <w:gridSpan w:val="2"/>
            <w:vMerge w:val="restart"/>
            <w:vAlign w:val="center"/>
          </w:tcPr>
          <w:p>
            <w:pPr>
              <w:pStyle w:val="41"/>
              <w:keepNext w:val="0"/>
              <w:keepLines w:val="0"/>
              <w:pageBreakBefore w:val="0"/>
              <w:kinsoku/>
              <w:wordWrap/>
              <w:bidi w:val="0"/>
              <w:snapToGrid/>
              <w:spacing w:line="240" w:lineRule="auto"/>
              <w:rPr>
                <w:color w:val="auto"/>
              </w:rPr>
            </w:pPr>
            <w:r>
              <w:rPr>
                <w:color w:val="auto"/>
              </w:rPr>
              <w:t>吨钢外排水(m</w:t>
            </w:r>
            <w:r>
              <w:rPr>
                <w:color w:val="auto"/>
                <w:vertAlign w:val="superscript"/>
              </w:rPr>
              <w:t>3</w:t>
            </w:r>
            <w:r>
              <w:rPr>
                <w:color w:val="auto"/>
              </w:rPr>
              <w:t>/t)</w:t>
            </w:r>
          </w:p>
        </w:tc>
        <w:tc>
          <w:tcPr>
            <w:tcW w:w="757" w:type="dxa"/>
            <w:vMerge w:val="restart"/>
            <w:vAlign w:val="center"/>
          </w:tcPr>
          <w:p>
            <w:pPr>
              <w:pStyle w:val="41"/>
              <w:keepNext w:val="0"/>
              <w:keepLines w:val="0"/>
              <w:pageBreakBefore w:val="0"/>
              <w:kinsoku/>
              <w:wordWrap/>
              <w:bidi w:val="0"/>
              <w:snapToGrid/>
              <w:spacing w:line="240" w:lineRule="auto"/>
              <w:rPr>
                <w:color w:val="auto"/>
              </w:rPr>
            </w:pPr>
            <w:r>
              <w:rPr>
                <w:color w:val="auto"/>
              </w:rPr>
              <w:t>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3"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007"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25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浓盐水</w:t>
            </w:r>
          </w:p>
        </w:tc>
        <w:tc>
          <w:tcPr>
            <w:tcW w:w="1156"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46.5</w:t>
            </w:r>
          </w:p>
        </w:tc>
        <w:tc>
          <w:tcPr>
            <w:tcW w:w="853"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827"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1244"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浓盐水</w:t>
            </w:r>
          </w:p>
        </w:tc>
        <w:tc>
          <w:tcPr>
            <w:tcW w:w="111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10</w:t>
            </w:r>
          </w:p>
        </w:tc>
        <w:tc>
          <w:tcPr>
            <w:tcW w:w="1114"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639" w:type="dxa"/>
            <w:vMerge w:val="continue"/>
            <w:tcMar>
              <w:left w:w="0" w:type="dxa"/>
              <w:right w:w="0" w:type="dxa"/>
            </w:tcMar>
            <w:vAlign w:val="center"/>
          </w:tcPr>
          <w:p>
            <w:pPr>
              <w:pStyle w:val="41"/>
              <w:keepNext w:val="0"/>
              <w:keepLines w:val="0"/>
              <w:pageBreakBefore w:val="0"/>
              <w:kinsoku/>
              <w:wordWrap/>
              <w:bidi w:val="0"/>
              <w:snapToGrid/>
              <w:spacing w:line="240" w:lineRule="auto"/>
              <w:rPr>
                <w:color w:val="auto"/>
              </w:rPr>
            </w:pPr>
          </w:p>
        </w:tc>
        <w:tc>
          <w:tcPr>
            <w:tcW w:w="977"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浓盐水</w:t>
            </w:r>
          </w:p>
        </w:tc>
        <w:tc>
          <w:tcPr>
            <w:tcW w:w="788" w:type="dxa"/>
            <w:tcMar>
              <w:left w:w="0" w:type="dxa"/>
              <w:right w:w="0" w:type="dxa"/>
            </w:tcMar>
            <w:vAlign w:val="center"/>
          </w:tcPr>
          <w:p>
            <w:pPr>
              <w:pStyle w:val="41"/>
              <w:keepNext w:val="0"/>
              <w:keepLines w:val="0"/>
              <w:pageBreakBefore w:val="0"/>
              <w:kinsoku/>
              <w:wordWrap/>
              <w:bidi w:val="0"/>
              <w:snapToGrid/>
              <w:spacing w:line="240" w:lineRule="auto"/>
              <w:rPr>
                <w:color w:val="auto"/>
              </w:rPr>
            </w:pPr>
            <w:r>
              <w:rPr>
                <w:color w:val="auto"/>
              </w:rPr>
              <w:t>87</w:t>
            </w:r>
          </w:p>
        </w:tc>
        <w:tc>
          <w:tcPr>
            <w:tcW w:w="2007" w:type="dxa"/>
            <w:gridSpan w:val="2"/>
            <w:vMerge w:val="continue"/>
            <w:vAlign w:val="center"/>
          </w:tcPr>
          <w:p>
            <w:pPr>
              <w:pStyle w:val="41"/>
              <w:keepNext w:val="0"/>
              <w:keepLines w:val="0"/>
              <w:pageBreakBefore w:val="0"/>
              <w:kinsoku/>
              <w:wordWrap/>
              <w:bidi w:val="0"/>
              <w:snapToGrid/>
              <w:spacing w:line="240" w:lineRule="auto"/>
              <w:rPr>
                <w:color w:val="auto"/>
              </w:rPr>
            </w:pPr>
          </w:p>
        </w:tc>
        <w:tc>
          <w:tcPr>
            <w:tcW w:w="757" w:type="dxa"/>
            <w:vMerge w:val="continue"/>
            <w:vAlign w:val="center"/>
          </w:tcPr>
          <w:p>
            <w:pPr>
              <w:pStyle w:val="41"/>
              <w:keepNext w:val="0"/>
              <w:keepLines w:val="0"/>
              <w:pageBreakBefore w:val="0"/>
              <w:kinsoku/>
              <w:wordWrap/>
              <w:bidi w:val="0"/>
              <w:snapToGrid/>
              <w:spacing w:line="240" w:lineRule="auto"/>
              <w:rPr>
                <w:color w:val="auto"/>
              </w:rPr>
            </w:pPr>
          </w:p>
        </w:tc>
      </w:tr>
    </w:tbl>
    <w:p>
      <w:pPr>
        <w:pStyle w:val="2"/>
        <w:keepNext w:val="0"/>
        <w:keepLines w:val="0"/>
        <w:pageBreakBefore w:val="0"/>
        <w:kinsoku/>
        <w:wordWrap/>
        <w:bidi w:val="0"/>
        <w:snapToGrid/>
        <w:spacing w:after="0" w:line="360" w:lineRule="auto"/>
        <w:jc w:val="center"/>
        <w:rPr>
          <w:rFonts w:ascii="Times New Roman" w:hAnsi="Times New Roman" w:cs="Times New Roma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cs="Times New Roman"/>
        </w:rPr>
        <w:object>
          <v:shape id="_x0000_i1040" o:spt="75" type="#_x0000_t75" style="height:402.65pt;width:808.7pt;" o:ole="t" filled="f" o:preferrelative="t" stroked="f" coordsize="21600,21600">
            <v:path/>
            <v:fill on="f" focussize="0,0"/>
            <v:stroke on="f"/>
            <v:imagedata r:id="rId50" o:title=""/>
            <o:lock v:ext="edit" aspectratio="t"/>
            <w10:wrap type="none"/>
            <w10:anchorlock/>
          </v:shape>
          <o:OLEObject Type="Embed" ProgID="RFFlow4" ShapeID="_x0000_i1040" DrawAspect="Content" ObjectID="_1468075740" r:id="rId49">
            <o:LockedField>false</o:LockedField>
          </o:OLEObject>
        </w:object>
      </w:r>
      <w:r>
        <w:rPr>
          <w:rFonts w:ascii="Times New Roman" w:hAnsi="Times New Roman" w:eastAsia="黑体" w:cs="Times New Roman"/>
          <w:sz w:val="24"/>
        </w:rPr>
        <w:t>图3.2-1</w:t>
      </w:r>
      <w:r>
        <w:rPr>
          <w:rFonts w:hint="eastAsia" w:ascii="Times New Roman" w:hAnsi="Times New Roman" w:eastAsia="黑体" w:cs="Times New Roman"/>
          <w:sz w:val="24"/>
        </w:rPr>
        <w:t>6</w:t>
      </w:r>
      <w:r>
        <w:rPr>
          <w:rFonts w:ascii="Times New Roman" w:hAnsi="Times New Roman" w:eastAsia="黑体" w:cs="Times New Roman"/>
          <w:sz w:val="24"/>
        </w:rPr>
        <w:t xml:space="preserve">  项目后评价阶段</w:t>
      </w:r>
      <w:r>
        <w:rPr>
          <w:rFonts w:hint="eastAsia" w:ascii="Times New Roman" w:hAnsi="Times New Roman" w:eastAsia="黑体" w:cs="Times New Roman"/>
          <w:sz w:val="24"/>
          <w:lang w:eastAsia="zh-CN"/>
        </w:rPr>
        <w:t>全厂</w:t>
      </w:r>
      <w:r>
        <w:rPr>
          <w:rFonts w:ascii="Times New Roman" w:hAnsi="Times New Roman" w:eastAsia="黑体" w:cs="Times New Roman"/>
          <w:sz w:val="24"/>
        </w:rPr>
        <w:t>给排水平衡图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8142" w:h="13039" w:orient="landscape"/>
          <w:pgMar w:top="1803" w:right="1440" w:bottom="1803" w:left="1440" w:header="851" w:footer="992" w:gutter="0"/>
          <w:pgBorders>
            <w:top w:val="none" w:sz="0" w:space="0"/>
            <w:left w:val="none" w:sz="0" w:space="0"/>
            <w:bottom w:val="none" w:sz="0" w:space="0"/>
            <w:right w:val="none" w:sz="0" w:space="0"/>
          </w:pgBorders>
          <w:cols w:space="0" w:num="1"/>
          <w:docGrid w:type="lines" w:linePitch="312" w:charSpace="0"/>
        </w:sectPr>
      </w:pP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3.2.4后评价阶段物料平衡</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3.2.4.1金属平衡</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后评价阶段金属平衡见表3.2-2。</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表3.2-2  后评价阶段金属平衡表</w:t>
      </w:r>
    </w:p>
    <w:tbl>
      <w:tblPr>
        <w:tblStyle w:val="21"/>
        <w:tblW w:w="1417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622"/>
        <w:gridCol w:w="1919"/>
        <w:gridCol w:w="1301"/>
        <w:gridCol w:w="1700"/>
        <w:gridCol w:w="1999"/>
        <w:gridCol w:w="1264"/>
        <w:gridCol w:w="1622"/>
        <w:gridCol w:w="16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b/>
                <w:color w:val="auto"/>
              </w:rPr>
            </w:pPr>
            <w:r>
              <w:rPr>
                <w:b/>
                <w:color w:val="auto"/>
              </w:rPr>
              <w:t>序号</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b/>
                <w:color w:val="auto"/>
              </w:rPr>
            </w:pPr>
            <w:r>
              <w:rPr>
                <w:b/>
                <w:color w:val="auto"/>
              </w:rPr>
              <w:t>进厂金属料</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b/>
                <w:color w:val="auto"/>
              </w:rPr>
            </w:pPr>
            <w:r>
              <w:rPr>
                <w:b/>
                <w:color w:val="auto"/>
              </w:rPr>
              <w:t>消耗量(万t/a)</w:t>
            </w: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b/>
                <w:color w:val="auto"/>
              </w:rPr>
            </w:pPr>
            <w:r>
              <w:rPr>
                <w:b/>
                <w:color w:val="auto"/>
              </w:rPr>
              <w:t>含铁率(%)</w:t>
            </w: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b/>
                <w:color w:val="auto"/>
              </w:rPr>
            </w:pPr>
            <w:r>
              <w:rPr>
                <w:b/>
                <w:color w:val="auto"/>
              </w:rPr>
              <w:t>含铁量(万t/a)</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b/>
                <w:color w:val="auto"/>
              </w:rPr>
            </w:pPr>
            <w:r>
              <w:rPr>
                <w:b/>
                <w:color w:val="auto"/>
              </w:rPr>
              <w:t>产品</w:t>
            </w: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b/>
                <w:color w:val="auto"/>
              </w:rPr>
            </w:pPr>
            <w:r>
              <w:rPr>
                <w:b/>
                <w:color w:val="auto"/>
              </w:rPr>
              <w:t>产量(万t/a)</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b/>
                <w:color w:val="auto"/>
              </w:rPr>
            </w:pPr>
            <w:r>
              <w:rPr>
                <w:b/>
                <w:color w:val="auto"/>
              </w:rPr>
              <w:t>含铁率(%)</w:t>
            </w: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b/>
                <w:color w:val="auto"/>
              </w:rPr>
            </w:pPr>
            <w:r>
              <w:rPr>
                <w:b/>
                <w:color w:val="auto"/>
              </w:rPr>
              <w:t>含铁量(万t/a)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3" w:type="dxa"/>
            <w:gridSpan w:val="9"/>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烧结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进口铁精矿</w:t>
            </w:r>
          </w:p>
        </w:tc>
        <w:tc>
          <w:tcPr>
            <w:tcW w:w="1919"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197.44</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63.7</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125.77</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烧结矿</w:t>
            </w:r>
          </w:p>
        </w:tc>
        <w:tc>
          <w:tcPr>
            <w:tcW w:w="1264"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322.36</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56.5</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182.13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国内铁精矿</w:t>
            </w:r>
          </w:p>
        </w:tc>
        <w:tc>
          <w:tcPr>
            <w:tcW w:w="1919"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36.22</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61.5</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22.28</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损失</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高炉返矿</w:t>
            </w:r>
          </w:p>
        </w:tc>
        <w:tc>
          <w:tcPr>
            <w:tcW w:w="1919"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53.04</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56.5</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29.97</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4</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除尘灰</w:t>
            </w:r>
          </w:p>
        </w:tc>
        <w:tc>
          <w:tcPr>
            <w:tcW w:w="1919"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8.74</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52.41</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4.58</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5</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氧化铁皮</w:t>
            </w:r>
          </w:p>
        </w:tc>
        <w:tc>
          <w:tcPr>
            <w:tcW w:w="1919"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3.88</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70</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2.72</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756" w:type="dxa"/>
            <w:gridSpan w:val="2"/>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小计</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185.31</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185.31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3" w:type="dxa"/>
            <w:gridSpan w:val="9"/>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炼铁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入炉烧结矿</w:t>
            </w:r>
          </w:p>
        </w:tc>
        <w:tc>
          <w:tcPr>
            <w:tcW w:w="1919"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269.32</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56.5</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152.17</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铁水</w:t>
            </w:r>
          </w:p>
        </w:tc>
        <w:tc>
          <w:tcPr>
            <w:tcW w:w="1264"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196.2</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94</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184.43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球团矿</w:t>
            </w:r>
          </w:p>
        </w:tc>
        <w:tc>
          <w:tcPr>
            <w:tcW w:w="1919"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58.34</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62.2</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36.29</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瓦斯灰、除尘灰等</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5.91</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50</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2.96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高炉渣</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66.37</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4</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铁沟、渣沟等损失</w:t>
            </w: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p>
        </w:tc>
        <w:tc>
          <w:tcPr>
            <w:tcW w:w="1612"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756" w:type="dxa"/>
            <w:gridSpan w:val="2"/>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小计</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188.45</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188.45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3" w:type="dxa"/>
            <w:gridSpan w:val="9"/>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球磨铸铁管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铁水</w:t>
            </w:r>
          </w:p>
        </w:tc>
        <w:tc>
          <w:tcPr>
            <w:tcW w:w="1919"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56.13</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94</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52.76</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铸管</w:t>
            </w:r>
          </w:p>
        </w:tc>
        <w:tc>
          <w:tcPr>
            <w:tcW w:w="1264"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65</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93</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60.45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废钢</w:t>
            </w:r>
          </w:p>
        </w:tc>
        <w:tc>
          <w:tcPr>
            <w:tcW w:w="1919"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8.29</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8.21</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除尘灰</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0.81</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50</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损失</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756" w:type="dxa"/>
            <w:gridSpan w:val="2"/>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小计</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60.97</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60.97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3" w:type="dxa"/>
            <w:gridSpan w:val="9"/>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炼钢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铁水</w:t>
            </w:r>
          </w:p>
        </w:tc>
        <w:tc>
          <w:tcPr>
            <w:tcW w:w="1919"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140.07</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94</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131.67</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钢水</w:t>
            </w:r>
          </w:p>
        </w:tc>
        <w:tc>
          <w:tcPr>
            <w:tcW w:w="1264"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143.85</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142.41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废钢</w:t>
            </w:r>
          </w:p>
        </w:tc>
        <w:tc>
          <w:tcPr>
            <w:tcW w:w="1919"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14.72</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14.57</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钢渣</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15.82</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25</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合金</w:t>
            </w:r>
          </w:p>
        </w:tc>
        <w:tc>
          <w:tcPr>
            <w:tcW w:w="1919"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3.06</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15.65</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0.48</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炼钢除尘灰</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2.02</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60</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4</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块矿</w:t>
            </w:r>
          </w:p>
        </w:tc>
        <w:tc>
          <w:tcPr>
            <w:tcW w:w="1919"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1.40</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62</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0.86</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756" w:type="dxa"/>
            <w:gridSpan w:val="2"/>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小计</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147.58</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147.58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3" w:type="dxa"/>
            <w:gridSpan w:val="9"/>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连铸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钢水</w:t>
            </w:r>
          </w:p>
        </w:tc>
        <w:tc>
          <w:tcPr>
            <w:tcW w:w="1919"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143.85</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142.41</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连铸坯</w:t>
            </w:r>
          </w:p>
        </w:tc>
        <w:tc>
          <w:tcPr>
            <w:tcW w:w="1264"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141.51</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140.09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钢包注余渣</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1.412</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60</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切头尾废钢等</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0.88</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4</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氧化铁皮</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0.85</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70</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756" w:type="dxa"/>
            <w:gridSpan w:val="2"/>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小计</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142.41</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142.41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3" w:type="dxa"/>
            <w:gridSpan w:val="9"/>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小棒生产线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连铸坯</w:t>
            </w:r>
          </w:p>
        </w:tc>
        <w:tc>
          <w:tcPr>
            <w:tcW w:w="1919"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35.99</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35.63</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钢材</w:t>
            </w:r>
          </w:p>
        </w:tc>
        <w:tc>
          <w:tcPr>
            <w:tcW w:w="1264"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35.08</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34.73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氧化铁皮</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0.58</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70</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切损及轧废等</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0.5</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756" w:type="dxa"/>
            <w:gridSpan w:val="2"/>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小计</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35.63</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35.63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3" w:type="dxa"/>
            <w:gridSpan w:val="9"/>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中</w:t>
            </w:r>
            <w:r>
              <w:rPr>
                <w:color w:val="auto"/>
              </w:rPr>
              <w:t>棒生产线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连铸坯</w:t>
            </w:r>
          </w:p>
        </w:tc>
        <w:tc>
          <w:tcPr>
            <w:tcW w:w="1919"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37.52</w:t>
            </w:r>
          </w:p>
        </w:tc>
        <w:tc>
          <w:tcPr>
            <w:tcW w:w="1301"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700"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37.14</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钢材</w:t>
            </w:r>
          </w:p>
        </w:tc>
        <w:tc>
          <w:tcPr>
            <w:tcW w:w="1264"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35</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34.65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氧化铁皮</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1.57</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70</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切损及轧废等</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1.4</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1.39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756" w:type="dxa"/>
            <w:gridSpan w:val="2"/>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小计</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37.14</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37.14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3" w:type="dxa"/>
            <w:gridSpan w:val="9"/>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普通光面高速线材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厂内</w:t>
            </w:r>
            <w:r>
              <w:rPr>
                <w:color w:val="auto"/>
              </w:rPr>
              <w:t>生产连铸坯</w:t>
            </w:r>
          </w:p>
        </w:tc>
        <w:tc>
          <w:tcPr>
            <w:tcW w:w="1919"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hint="eastAsia" w:ascii="Times New Roman" w:hAnsi="Times New Roman" w:eastAsia="等线" w:cs="Times New Roman"/>
                <w:color w:val="auto"/>
                <w:kern w:val="0"/>
                <w:szCs w:val="21"/>
              </w:rPr>
              <w:t>34</w:t>
            </w:r>
          </w:p>
        </w:tc>
        <w:tc>
          <w:tcPr>
            <w:tcW w:w="1301" w:type="dxa"/>
            <w:vMerge w:val="restart"/>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700" w:type="dxa"/>
            <w:vMerge w:val="restart"/>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45.54</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钢材</w:t>
            </w:r>
          </w:p>
        </w:tc>
        <w:tc>
          <w:tcPr>
            <w:tcW w:w="1264"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45.13</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44.68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外购</w:t>
            </w:r>
            <w:r>
              <w:rPr>
                <w:color w:val="auto"/>
              </w:rPr>
              <w:t>连铸坯</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12</w:t>
            </w:r>
          </w:p>
        </w:tc>
        <w:tc>
          <w:tcPr>
            <w:tcW w:w="1301" w:type="dxa"/>
            <w:vMerge w:val="continue"/>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vMerge w:val="continue"/>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氧化铁皮</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0.59</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70</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切损及轧废等</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0.45</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756" w:type="dxa"/>
            <w:gridSpan w:val="2"/>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小计</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45.54</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45.54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3" w:type="dxa"/>
            <w:gridSpan w:val="9"/>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精品光面高速线材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厂内</w:t>
            </w:r>
            <w:r>
              <w:rPr>
                <w:color w:val="auto"/>
              </w:rPr>
              <w:t>生产连铸坯</w:t>
            </w:r>
          </w:p>
        </w:tc>
        <w:tc>
          <w:tcPr>
            <w:tcW w:w="1919"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hint="eastAsia" w:ascii="Times New Roman" w:hAnsi="Times New Roman" w:eastAsia="等线" w:cs="Times New Roman"/>
                <w:color w:val="auto"/>
                <w:kern w:val="0"/>
                <w:szCs w:val="21"/>
              </w:rPr>
              <w:t>34</w:t>
            </w:r>
          </w:p>
        </w:tc>
        <w:tc>
          <w:tcPr>
            <w:tcW w:w="1301" w:type="dxa"/>
            <w:vMerge w:val="restart"/>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700" w:type="dxa"/>
            <w:vMerge w:val="restart"/>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45.36</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钢材</w:t>
            </w:r>
          </w:p>
        </w:tc>
        <w:tc>
          <w:tcPr>
            <w:tcW w:w="1264" w:type="dxa"/>
            <w:tcMar>
              <w:left w:w="0" w:type="dxa"/>
              <w:right w:w="0" w:type="dxa"/>
            </w:tcMar>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Cs w:val="21"/>
              </w:rPr>
            </w:pPr>
            <w:r>
              <w:rPr>
                <w:rFonts w:ascii="Times New Roman" w:hAnsi="Times New Roman" w:eastAsia="等线" w:cs="Times New Roman"/>
                <w:color w:val="auto"/>
                <w:szCs w:val="21"/>
              </w:rPr>
              <w:t>44.81</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44.36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外购</w:t>
            </w:r>
            <w:r>
              <w:rPr>
                <w:color w:val="auto"/>
              </w:rPr>
              <w:t>连铸坯</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11.82</w:t>
            </w:r>
          </w:p>
        </w:tc>
        <w:tc>
          <w:tcPr>
            <w:tcW w:w="1301" w:type="dxa"/>
            <w:vMerge w:val="continue"/>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vMerge w:val="continue"/>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氧化铁皮</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0.66</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70</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3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切损及轧废等</w:t>
            </w:r>
          </w:p>
        </w:tc>
        <w:tc>
          <w:tcPr>
            <w:tcW w:w="1264"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0.54</w:t>
            </w:r>
          </w:p>
        </w:tc>
        <w:tc>
          <w:tcPr>
            <w:tcW w:w="162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99</w:t>
            </w:r>
          </w:p>
        </w:tc>
        <w:tc>
          <w:tcPr>
            <w:tcW w:w="1612" w:type="dxa"/>
            <w:tcMar>
              <w:left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Cs w:val="21"/>
              </w:rPr>
            </w:pPr>
            <w:r>
              <w:rPr>
                <w:rFonts w:ascii="Times New Roman" w:hAnsi="Times New Roman" w:eastAsia="等线" w:cs="Times New Roman"/>
                <w:color w:val="auto"/>
                <w:szCs w:val="21"/>
              </w:rPr>
              <w:t>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756" w:type="dxa"/>
            <w:gridSpan w:val="2"/>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小计</w:t>
            </w:r>
          </w:p>
        </w:tc>
        <w:tc>
          <w:tcPr>
            <w:tcW w:w="191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301"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700"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45.36</w:t>
            </w:r>
          </w:p>
        </w:tc>
        <w:tc>
          <w:tcPr>
            <w:tcW w:w="1999"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264"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2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p>
        </w:tc>
        <w:tc>
          <w:tcPr>
            <w:tcW w:w="1612" w:type="dxa"/>
            <w:tcMar>
              <w:left w:w="0" w:type="dxa"/>
              <w:right w:w="0" w:type="dxa"/>
            </w:tcMar>
            <w:vAlign w:val="center"/>
          </w:tcPr>
          <w:p>
            <w:pPr>
              <w:pStyle w:val="41"/>
              <w:keepNext w:val="0"/>
              <w:keepLines w:val="0"/>
              <w:pageBreakBefore w:val="0"/>
              <w:kinsoku/>
              <w:wordWrap/>
              <w:overflowPunct/>
              <w:topLinePunct w:val="0"/>
              <w:autoSpaceDE/>
              <w:autoSpaceDN/>
              <w:bidi w:val="0"/>
              <w:adjustRightInd/>
              <w:snapToGrid/>
              <w:spacing w:line="240" w:lineRule="auto"/>
              <w:jc w:val="center"/>
              <w:textAlignment w:val="auto"/>
              <w:rPr>
                <w:color w:val="auto"/>
              </w:rPr>
            </w:pPr>
            <w:r>
              <w:rPr>
                <w:color w:val="auto"/>
              </w:rPr>
              <w:t>45.36</w:t>
            </w:r>
          </w:p>
        </w:tc>
      </w:tr>
    </w:tbl>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3.2.4.2煤气平衡</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后评价阶段</w:t>
      </w:r>
      <w:r>
        <w:rPr>
          <w:rFonts w:hint="eastAsia" w:ascii="Times New Roman" w:hAnsi="Times New Roman" w:eastAsia="宋体" w:cs="Times New Roman"/>
          <w:sz w:val="24"/>
          <w:lang w:eastAsia="zh-CN"/>
        </w:rPr>
        <w:t>厂区</w:t>
      </w:r>
      <w:r>
        <w:rPr>
          <w:rFonts w:ascii="Times New Roman" w:hAnsi="Times New Roman" w:eastAsia="宋体" w:cs="Times New Roman"/>
          <w:sz w:val="24"/>
        </w:rPr>
        <w:t>煤气平衡见表3.2-3。</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表3.2-3  后评价阶段</w:t>
      </w:r>
      <w:r>
        <w:rPr>
          <w:rFonts w:hint="eastAsia" w:ascii="Times New Roman" w:hAnsi="Times New Roman" w:eastAsia="黑体" w:cs="Times New Roman"/>
          <w:sz w:val="24"/>
        </w:rPr>
        <w:t>全厂</w:t>
      </w:r>
      <w:r>
        <w:rPr>
          <w:rFonts w:ascii="Times New Roman" w:hAnsi="Times New Roman" w:eastAsia="黑体" w:cs="Times New Roman"/>
          <w:sz w:val="24"/>
        </w:rPr>
        <w:t>煤气平衡表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7"/>
        <w:gridCol w:w="2968"/>
        <w:gridCol w:w="1612"/>
        <w:gridCol w:w="1612"/>
        <w:gridCol w:w="16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sz w:val="21"/>
                <w:szCs w:val="21"/>
              </w:rPr>
            </w:pPr>
            <w:r>
              <w:rPr>
                <w:b/>
                <w:color w:val="auto"/>
                <w:sz w:val="21"/>
                <w:szCs w:val="21"/>
              </w:rPr>
              <w:t>序号</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sz w:val="21"/>
                <w:szCs w:val="21"/>
              </w:rPr>
            </w:pPr>
            <w:r>
              <w:rPr>
                <w:b/>
                <w:color w:val="auto"/>
                <w:sz w:val="21"/>
                <w:szCs w:val="21"/>
              </w:rPr>
              <w:t>项目</w:t>
            </w:r>
          </w:p>
        </w:tc>
        <w:tc>
          <w:tcPr>
            <w:tcW w:w="161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sz w:val="21"/>
                <w:szCs w:val="21"/>
              </w:rPr>
            </w:pPr>
            <w:r>
              <w:rPr>
                <w:b/>
                <w:color w:val="auto"/>
                <w:sz w:val="21"/>
                <w:szCs w:val="21"/>
              </w:rPr>
              <w:t>高炉煤气</w:t>
            </w:r>
          </w:p>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sz w:val="21"/>
                <w:szCs w:val="21"/>
              </w:rPr>
            </w:pPr>
            <w:r>
              <w:rPr>
                <w:b/>
                <w:color w:val="auto"/>
                <w:sz w:val="21"/>
                <w:szCs w:val="21"/>
              </w:rPr>
              <w:t>(万m</w:t>
            </w:r>
            <w:r>
              <w:rPr>
                <w:b/>
                <w:color w:val="auto"/>
                <w:sz w:val="21"/>
                <w:szCs w:val="21"/>
                <w:vertAlign w:val="superscript"/>
              </w:rPr>
              <w:t>3</w:t>
            </w:r>
            <w:r>
              <w:rPr>
                <w:b/>
                <w:color w:val="auto"/>
                <w:sz w:val="21"/>
                <w:szCs w:val="21"/>
              </w:rPr>
              <w:t>/a)</w:t>
            </w:r>
          </w:p>
        </w:tc>
        <w:tc>
          <w:tcPr>
            <w:tcW w:w="161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sz w:val="21"/>
                <w:szCs w:val="21"/>
              </w:rPr>
            </w:pPr>
            <w:r>
              <w:rPr>
                <w:b/>
                <w:color w:val="auto"/>
                <w:sz w:val="21"/>
                <w:szCs w:val="21"/>
              </w:rPr>
              <w:t>焦炉煤气</w:t>
            </w:r>
          </w:p>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sz w:val="21"/>
                <w:szCs w:val="21"/>
              </w:rPr>
            </w:pPr>
            <w:r>
              <w:rPr>
                <w:b/>
                <w:color w:val="auto"/>
                <w:sz w:val="21"/>
                <w:szCs w:val="21"/>
              </w:rPr>
              <w:t>(万m</w:t>
            </w:r>
            <w:r>
              <w:rPr>
                <w:b/>
                <w:color w:val="auto"/>
                <w:sz w:val="21"/>
                <w:szCs w:val="21"/>
                <w:vertAlign w:val="superscript"/>
              </w:rPr>
              <w:t>3</w:t>
            </w:r>
            <w:r>
              <w:rPr>
                <w:b/>
                <w:color w:val="auto"/>
                <w:sz w:val="21"/>
                <w:szCs w:val="21"/>
              </w:rPr>
              <w:t>/a)</w:t>
            </w:r>
          </w:p>
        </w:tc>
        <w:tc>
          <w:tcPr>
            <w:tcW w:w="165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sz w:val="21"/>
                <w:szCs w:val="21"/>
              </w:rPr>
            </w:pPr>
            <w:r>
              <w:rPr>
                <w:b/>
                <w:color w:val="auto"/>
                <w:sz w:val="21"/>
                <w:szCs w:val="21"/>
              </w:rPr>
              <w:t>转炉煤气</w:t>
            </w:r>
          </w:p>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sz w:val="21"/>
                <w:szCs w:val="21"/>
              </w:rPr>
            </w:pPr>
            <w:r>
              <w:rPr>
                <w:b/>
                <w:color w:val="auto"/>
                <w:sz w:val="21"/>
                <w:szCs w:val="21"/>
              </w:rPr>
              <w:t>(万m</w:t>
            </w:r>
            <w:r>
              <w:rPr>
                <w:b/>
                <w:color w:val="auto"/>
                <w:sz w:val="21"/>
                <w:szCs w:val="21"/>
                <w:vertAlign w:val="superscript"/>
              </w:rPr>
              <w:t>3</w:t>
            </w:r>
            <w:r>
              <w:rPr>
                <w:b/>
                <w:color w:val="auto"/>
                <w:sz w:val="21"/>
                <w:szCs w:val="21"/>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一</w:t>
            </w:r>
          </w:p>
        </w:tc>
        <w:tc>
          <w:tcPr>
            <w:tcW w:w="7845" w:type="dxa"/>
            <w:gridSpan w:val="4"/>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产生量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高炉(2×1280m</w:t>
            </w:r>
            <w:r>
              <w:rPr>
                <w:color w:val="auto"/>
                <w:sz w:val="21"/>
                <w:szCs w:val="21"/>
                <w:vertAlign w:val="superscript"/>
              </w:rPr>
              <w:t>3</w:t>
            </w:r>
            <w:r>
              <w:rPr>
                <w:color w:val="auto"/>
                <w:sz w:val="21"/>
                <w:szCs w:val="21"/>
              </w:rPr>
              <w:t>)</w:t>
            </w:r>
          </w:p>
        </w:tc>
        <w:tc>
          <w:tcPr>
            <w:tcW w:w="1612"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 w:val="21"/>
                <w:szCs w:val="21"/>
              </w:rPr>
            </w:pPr>
            <w:r>
              <w:rPr>
                <w:rFonts w:ascii="Times New Roman" w:hAnsi="Times New Roman" w:eastAsia="等线" w:cs="Times New Roman"/>
                <w:color w:val="auto"/>
                <w:sz w:val="21"/>
                <w:szCs w:val="21"/>
              </w:rPr>
              <w:t>300774</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2</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焦炉(2×58孔)</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39549</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3</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炼钢(2×120t)</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14232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总计</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300774</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39549</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14232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二</w:t>
            </w:r>
          </w:p>
        </w:tc>
        <w:tc>
          <w:tcPr>
            <w:tcW w:w="7845" w:type="dxa"/>
            <w:gridSpan w:val="4"/>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使用量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焦炉(2×58孔)</w:t>
            </w:r>
          </w:p>
        </w:tc>
        <w:tc>
          <w:tcPr>
            <w:tcW w:w="1612"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等线" w:cs="Times New Roman"/>
                <w:color w:val="auto"/>
                <w:kern w:val="0"/>
                <w:sz w:val="21"/>
                <w:szCs w:val="21"/>
              </w:rPr>
            </w:pPr>
            <w:r>
              <w:rPr>
                <w:rFonts w:ascii="Times New Roman" w:hAnsi="Times New Roman" w:eastAsia="等线" w:cs="Times New Roman"/>
                <w:color w:val="auto"/>
                <w:sz w:val="21"/>
                <w:szCs w:val="21"/>
              </w:rPr>
              <w:t>27227</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11888</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焦炉烟囱</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27227</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11524</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粗苯管式炉</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364</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2</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石灰窑(2×400t/d)</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3450</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3560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3</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烧结(2×265m</w:t>
            </w:r>
            <w:r>
              <w:rPr>
                <w:color w:val="auto"/>
                <w:sz w:val="21"/>
                <w:szCs w:val="21"/>
                <w:vertAlign w:val="superscript"/>
              </w:rPr>
              <w:t>2</w:t>
            </w:r>
            <w:r>
              <w:rPr>
                <w:color w:val="auto"/>
                <w:sz w:val="21"/>
                <w:szCs w:val="21"/>
              </w:rPr>
              <w:t>)</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4508</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4</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高炉(2×1280m</w:t>
            </w:r>
            <w:r>
              <w:rPr>
                <w:color w:val="auto"/>
                <w:sz w:val="21"/>
                <w:szCs w:val="21"/>
                <w:vertAlign w:val="superscript"/>
              </w:rPr>
              <w:t>3</w:t>
            </w:r>
            <w:r>
              <w:rPr>
                <w:color w:val="auto"/>
                <w:sz w:val="21"/>
                <w:szCs w:val="21"/>
              </w:rPr>
              <w:t>)</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117721</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540</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5</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炼钢(2×120t转炉)</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1311</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6</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球墨铸铁管</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22298</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2374</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7</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小棒</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16160</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8</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中棒</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16350</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9</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普通光面高速线材</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17716</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10</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精品光面高速线材</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18069</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22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11</w:t>
            </w:r>
          </w:p>
        </w:tc>
        <w:tc>
          <w:tcPr>
            <w:tcW w:w="296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发电</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65233</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15478</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10672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4195"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合计</w:t>
            </w:r>
          </w:p>
        </w:tc>
        <w:tc>
          <w:tcPr>
            <w:tcW w:w="161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300774</w:t>
            </w:r>
          </w:p>
        </w:tc>
        <w:tc>
          <w:tcPr>
            <w:tcW w:w="1612"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300774</w:t>
            </w:r>
          </w:p>
        </w:tc>
        <w:tc>
          <w:tcPr>
            <w:tcW w:w="165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等线" w:cs="Times New Roman"/>
                <w:color w:val="auto"/>
                <w:sz w:val="21"/>
                <w:szCs w:val="21"/>
              </w:rPr>
            </w:pPr>
            <w:r>
              <w:rPr>
                <w:rFonts w:ascii="Times New Roman" w:hAnsi="Times New Roman" w:eastAsia="等线" w:cs="Times New Roman"/>
                <w:color w:val="auto"/>
                <w:sz w:val="21"/>
                <w:szCs w:val="21"/>
              </w:rPr>
              <w:t>39549</w:t>
            </w:r>
          </w:p>
        </w:tc>
      </w:tr>
    </w:tbl>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3.2.4.3硫平衡</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后评价阶段</w:t>
      </w:r>
      <w:r>
        <w:rPr>
          <w:rFonts w:hint="eastAsia" w:ascii="Times New Roman" w:hAnsi="Times New Roman" w:eastAsia="宋体" w:cs="Times New Roman"/>
          <w:sz w:val="24"/>
        </w:rPr>
        <w:t>厂区</w:t>
      </w:r>
      <w:r>
        <w:rPr>
          <w:rFonts w:ascii="Times New Roman" w:hAnsi="Times New Roman" w:eastAsia="宋体" w:cs="Times New Roman"/>
          <w:sz w:val="24"/>
        </w:rPr>
        <w:t>硫平衡见表3.2-4及图3.2-17。</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表3.2-4  后评价阶段</w:t>
      </w:r>
      <w:r>
        <w:rPr>
          <w:rFonts w:hint="eastAsia" w:ascii="Times New Roman" w:hAnsi="Times New Roman" w:eastAsia="黑体" w:cs="Times New Roman"/>
          <w:sz w:val="24"/>
          <w:lang w:eastAsia="zh-CN"/>
        </w:rPr>
        <w:t>厂区</w:t>
      </w:r>
      <w:r>
        <w:rPr>
          <w:rFonts w:ascii="Times New Roman" w:hAnsi="Times New Roman" w:eastAsia="黑体" w:cs="Times New Roman"/>
          <w:sz w:val="24"/>
        </w:rPr>
        <w:t>硫平衡表</w:t>
      </w:r>
    </w:p>
    <w:tbl>
      <w:tblPr>
        <w:tblStyle w:val="21"/>
        <w:tblW w:w="141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622"/>
        <w:gridCol w:w="1766"/>
        <w:gridCol w:w="1474"/>
        <w:gridCol w:w="1766"/>
        <w:gridCol w:w="2347"/>
        <w:gridCol w:w="1443"/>
        <w:gridCol w:w="1508"/>
        <w:gridCol w:w="15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进厂金属料</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消耗量(万t/a)</w:t>
            </w: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含S率(%)</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含S量(t/a)</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产品</w:t>
            </w: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产量(万t/a)</w:t>
            </w: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含S率(%)</w:t>
            </w: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含S量(t/a)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烧结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进口铁精矿</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197.44</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0.13</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2566.72</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烧结矿</w:t>
            </w:r>
          </w:p>
        </w:tc>
        <w:tc>
          <w:tcPr>
            <w:tcW w:w="144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322.36</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967.08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国内铁精矿</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36.22</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724.40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烧结机烟气</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193.97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高炉返矿</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53.04</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159.12</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烟气脱硫渣</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3363.83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活性石灰</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23.19</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0.037</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85.80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外购活性石灰</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2.25</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石灰石</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13.46</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26.92</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轻烧白云石</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8.54</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25.62</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生白云石</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1.95</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0.005</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0.98</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焦粉</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10.2</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0.645</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657.90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无烟煤</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7.08</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0.29</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205.32</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除尘灰</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8.74</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0.077</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67.30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1622"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4508</w:t>
            </w:r>
          </w:p>
        </w:tc>
        <w:tc>
          <w:tcPr>
            <w:tcW w:w="1474" w:type="dxa"/>
            <w:vAlign w:val="center"/>
          </w:tcPr>
          <w:p>
            <w:pPr>
              <w:keepNext w:val="0"/>
              <w:keepLines w:val="0"/>
              <w:pageBreakBefore w:val="0"/>
              <w:kinsoku/>
              <w:wordWrap/>
              <w:overflowPunct/>
              <w:topLinePunct w:val="0"/>
              <w:autoSpaceDE/>
              <w:autoSpaceDN/>
              <w:bidi w:val="0"/>
              <w:adjustRightInd/>
              <w:snapToGrid/>
              <w:jc w:val="righ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0.0000094</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4528.51</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4524.88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炼焦煤</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125.53</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0.75</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9414.75</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  炭</w:t>
            </w:r>
          </w:p>
        </w:tc>
        <w:tc>
          <w:tcPr>
            <w:tcW w:w="144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95.87</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0.645</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6183.62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11888</w:t>
            </w:r>
          </w:p>
        </w:tc>
        <w:tc>
          <w:tcPr>
            <w:tcW w:w="1474" w:type="dxa"/>
            <w:vAlign w:val="center"/>
          </w:tcPr>
          <w:p>
            <w:pPr>
              <w:keepNext w:val="0"/>
              <w:keepLines w:val="0"/>
              <w:pageBreakBefore w:val="0"/>
              <w:kinsoku/>
              <w:wordWrap/>
              <w:overflowPunct/>
              <w:topLinePunct w:val="0"/>
              <w:autoSpaceDE/>
              <w:autoSpaceDN/>
              <w:bidi w:val="0"/>
              <w:adjustRightInd/>
              <w:snapToGrid/>
              <w:jc w:val="righ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0.0000094</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11.19</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焦炉煤气</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39306.7</w:t>
            </w:r>
          </w:p>
        </w:tc>
        <w:tc>
          <w:tcPr>
            <w:tcW w:w="1508" w:type="dxa"/>
            <w:vAlign w:val="center"/>
          </w:tcPr>
          <w:p>
            <w:pPr>
              <w:keepNext w:val="0"/>
              <w:keepLines w:val="0"/>
              <w:pageBreakBefore w:val="0"/>
              <w:kinsoku/>
              <w:wordWrap/>
              <w:overflowPunct/>
              <w:topLinePunct w:val="0"/>
              <w:autoSpaceDE/>
              <w:autoSpaceDN/>
              <w:bidi w:val="0"/>
              <w:adjustRightInd/>
              <w:snapToGrid/>
              <w:jc w:val="righ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0.0000094</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36.99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27227</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0.0000028</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7.69</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焦炉烟囱</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18.53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焦炉炉体无组织</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装煤及出焦除尘系统</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逸散烟尘收集装置</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粗苯管式炉</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煤气脱硫及化产</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3143.05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干熄焦排气</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9433.63</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9433.63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炼铁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入炉烧结矿</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269.32</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807.96</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铁水</w:t>
            </w:r>
          </w:p>
        </w:tc>
        <w:tc>
          <w:tcPr>
            <w:tcW w:w="144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196.2</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0.029</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568.98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球团矿</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58.34</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0.016</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93.34</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瓦斯灰、除尘灰等</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5.91</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0.08</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47.25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焦炭</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85.67</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0.645</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5525.72</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高炉渣</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66.37</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0.946</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6278.56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喷吹煤</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11.09</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554.50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高炉煤气</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304110</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0.0000028</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85.15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117721</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0.0000028</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32.96</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热风炉烟气</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34.78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540</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0.0000094</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0.51</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喷煤制粉</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7014.99</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7014.99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球磨铸铁管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铁水</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56.13</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0.029</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162.78</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铸管</w:t>
            </w:r>
          </w:p>
        </w:tc>
        <w:tc>
          <w:tcPr>
            <w:tcW w:w="144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65</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0.026</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废钢</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8.29</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16.58</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除尘灰</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0.807</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0.129</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22298</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0.0000028</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6.24</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烟气</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2374</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0. 0000094</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2.23</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187.83</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187.83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炼钢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铁水</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140.07</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0.029</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406.20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钢水</w:t>
            </w:r>
          </w:p>
        </w:tc>
        <w:tc>
          <w:tcPr>
            <w:tcW w:w="144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143.85</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287.70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废钢</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14.72</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29.44</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钢渣及脱硫渣</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15.82</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0.137</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216.73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合金</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3.06</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9.18</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除尘灰</w:t>
            </w:r>
          </w:p>
        </w:tc>
        <w:tc>
          <w:tcPr>
            <w:tcW w:w="1443"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0.05</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块矿</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42.00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活性石灰</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5.16</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0.037</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19.09</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轻烧白云石</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2.46</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7.38</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1311</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0.0000094</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1.23</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514.53</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514.53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小棒生产线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高炉煤气</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16160</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0.0000028</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4.52</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烟气</w:t>
            </w: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4.52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4.52</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4.52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大棒生产线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高炉煤气</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16350</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0.0000028</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4.58</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烟气</w:t>
            </w: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4.58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4.58</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4.58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普通光面高速线材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高炉煤气</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17716</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0.0000028</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4.96</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烟气</w:t>
            </w: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4.96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4.96</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4.96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精品光面高速线材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高炉煤气</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18069</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0.0000028</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5.06</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烟气</w:t>
            </w: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5.06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5.06</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5.06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石灰窑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石灰石</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50.82</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101.65</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活性石灰</w:t>
            </w:r>
          </w:p>
        </w:tc>
        <w:tc>
          <w:tcPr>
            <w:tcW w:w="144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28.35</w:t>
            </w:r>
          </w:p>
        </w:tc>
        <w:tc>
          <w:tcPr>
            <w:tcW w:w="1508"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0.037</w:t>
            </w:r>
          </w:p>
        </w:tc>
        <w:tc>
          <w:tcPr>
            <w:tcW w:w="1551"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104.90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3450</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0.0000094</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3.25</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104.90</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104.90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174" w:type="dxa"/>
            <w:gridSpan w:val="9"/>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发电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焦炉煤气</w:t>
            </w: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15478</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0.0000094</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14.57</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烟气</w:t>
            </w: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9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62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高炉煤气</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65233</w:t>
            </w:r>
          </w:p>
        </w:tc>
        <w:tc>
          <w:tcPr>
            <w:tcW w:w="1474"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0.0000028</w:t>
            </w:r>
          </w:p>
        </w:tc>
        <w:tc>
          <w:tcPr>
            <w:tcW w:w="1766" w:type="dxa"/>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18.42</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319"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176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74"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76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32.99</w:t>
            </w:r>
          </w:p>
        </w:tc>
        <w:tc>
          <w:tcPr>
            <w:tcW w:w="2347"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443"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0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p>
        </w:tc>
        <w:tc>
          <w:tcPr>
            <w:tcW w:w="1551"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32.99</w:t>
            </w:r>
          </w:p>
        </w:tc>
      </w:tr>
    </w:tbl>
    <w:p>
      <w:pPr>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sz w:val="18"/>
          <w:szCs w:val="18"/>
        </w:rPr>
      </w:pPr>
      <w:r>
        <w:rPr>
          <w:rFonts w:ascii="Times New Roman" w:hAnsi="Times New Roman" w:eastAsia="宋体" w:cs="Times New Roman"/>
          <w:sz w:val="18"/>
          <w:szCs w:val="18"/>
        </w:rPr>
        <w:t>注：煤气单位为万m</w:t>
      </w:r>
      <w:r>
        <w:rPr>
          <w:rFonts w:ascii="Times New Roman" w:hAnsi="Times New Roman" w:eastAsia="宋体" w:cs="Times New Roman"/>
          <w:sz w:val="18"/>
          <w:szCs w:val="18"/>
          <w:vertAlign w:val="superscript"/>
        </w:rPr>
        <w:t>3</w:t>
      </w:r>
      <w:r>
        <w:rPr>
          <w:rFonts w:ascii="Times New Roman" w:hAnsi="Times New Roman" w:eastAsia="宋体" w:cs="Times New Roman"/>
          <w:sz w:val="18"/>
          <w:szCs w:val="18"/>
        </w:rPr>
        <w:t>/a，含硫率指H</w:t>
      </w:r>
      <w:r>
        <w:rPr>
          <w:rFonts w:ascii="Times New Roman" w:hAnsi="Times New Roman" w:eastAsia="宋体" w:cs="Times New Roman"/>
          <w:sz w:val="18"/>
          <w:szCs w:val="18"/>
          <w:vertAlign w:val="subscript"/>
        </w:rPr>
        <w:t>2</w:t>
      </w:r>
      <w:r>
        <w:rPr>
          <w:rFonts w:ascii="Times New Roman" w:hAnsi="Times New Roman" w:eastAsia="宋体" w:cs="Times New Roman"/>
          <w:sz w:val="18"/>
          <w:szCs w:val="18"/>
        </w:rPr>
        <w:t>S(mg/m</w:t>
      </w:r>
      <w:r>
        <w:rPr>
          <w:rFonts w:ascii="Times New Roman" w:hAnsi="Times New Roman" w:eastAsia="宋体" w:cs="Times New Roman"/>
          <w:sz w:val="18"/>
          <w:szCs w:val="18"/>
          <w:vertAlign w:val="superscript"/>
        </w:rPr>
        <w:t>3</w:t>
      </w:r>
      <w:r>
        <w:rPr>
          <w:rFonts w:ascii="Times New Roman" w:hAnsi="Times New Roman" w:eastAsia="宋体" w:cs="Times New Roman"/>
          <w:sz w:val="18"/>
          <w:szCs w:val="18"/>
        </w:rPr>
        <w:t>)含量。</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kinsoku/>
        <w:wordWrap/>
        <w:bidi w:val="0"/>
        <w:snapToGrid/>
        <w:spacing w:after="0" w:line="360" w:lineRule="auto"/>
        <w:jc w:val="center"/>
        <w:rPr>
          <w:rFonts w:ascii="Times New Roman" w:hAnsi="Times New Roman" w:eastAsia="宋体" w:cs="Times New Roman"/>
          <w:sz w:val="24"/>
        </w:rPr>
      </w:pPr>
      <w:bookmarkStart w:id="8" w:name="_MON_1620646773"/>
      <w:bookmarkEnd w:id="8"/>
      <w:r>
        <w:rPr>
          <w:rFonts w:ascii="Times New Roman" w:hAnsi="Times New Roman" w:cs="Times New Roman"/>
        </w:rPr>
        <w:object>
          <v:shape id="_x0000_i1041" o:spt="75" type="#_x0000_t75" style="height:305.35pt;width:489.9pt;" o:ole="t" filled="f" o:preferrelative="t" stroked="f" coordsize="21600,21600">
            <v:path/>
            <v:fill on="f" focussize="0,0"/>
            <v:stroke on="f"/>
            <v:imagedata r:id="rId52" o:title=""/>
            <o:lock v:ext="edit" aspectratio="t"/>
            <w10:wrap type="none"/>
            <w10:anchorlock/>
          </v:shape>
          <o:OLEObject Type="Embed" ProgID="RFFlow4" ShapeID="_x0000_i1041" DrawAspect="Content" ObjectID="_1468075741" r:id="rId51">
            <o:LockedField>false</o:LockedField>
          </o:OLEObject>
        </w:object>
      </w:r>
      <w:r>
        <w:rPr>
          <w:rFonts w:ascii="Times New Roman" w:hAnsi="Times New Roman" w:eastAsia="黑体" w:cs="Times New Roman"/>
          <w:sz w:val="24"/>
        </w:rPr>
        <w:t>图3.2-1</w:t>
      </w:r>
      <w:r>
        <w:rPr>
          <w:rFonts w:hint="eastAsia" w:ascii="Times New Roman" w:hAnsi="Times New Roman" w:eastAsia="黑体" w:cs="Times New Roman"/>
          <w:sz w:val="24"/>
        </w:rPr>
        <w:t>8</w:t>
      </w:r>
      <w:r>
        <w:rPr>
          <w:rFonts w:ascii="Times New Roman" w:hAnsi="Times New Roman" w:eastAsia="黑体" w:cs="Times New Roman"/>
          <w:sz w:val="24"/>
        </w:rPr>
        <w:t xml:space="preserve">  后评价阶段硫平衡图</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3.3污染物排放情况分析</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3.3.1废气污染源及处理措施分析</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3.3.1.1</w:t>
      </w:r>
      <w:r>
        <w:rPr>
          <w:rFonts w:ascii="Times New Roman" w:hAnsi="Times New Roman" w:eastAsia="黑体" w:cs="Times New Roman"/>
          <w:sz w:val="24"/>
          <w:szCs w:val="24"/>
        </w:rPr>
        <w:t>废气污染物源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（1）原料场</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各种含铁原料、熔剂和燃料，在卸料、输送、转运以及破碎筛分过程中产生粉尘。</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（2）石灰焙烧</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石灰石转运过程中产生粉尘；回转窑煅烧过程中产生含尘、NO</w:t>
      </w:r>
      <w:r>
        <w:rPr>
          <w:rFonts w:ascii="Times New Roman" w:hAnsi="Times New Roman" w:eastAsia="宋体" w:cs="Times New Roman"/>
          <w:sz w:val="24"/>
          <w:vertAlign w:val="subscript"/>
        </w:rPr>
        <w:t>x</w:t>
      </w:r>
      <w:r>
        <w:rPr>
          <w:rFonts w:ascii="Times New Roman" w:hAnsi="Times New Roman" w:eastAsia="宋体" w:cs="Times New Roman"/>
          <w:sz w:val="24"/>
        </w:rPr>
        <w:t>的废气；高温石灰在窑头冷却过程中产生粉尘；成品石灰在输送、破碎、筛分、入库及装车等过程中产生的粉尘。</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（3）烧结</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烧结熔剂、燃料在破碎、配料、混合及转运过程中产生粉尘；混合料在烧结过程中主抽风系统产生大量含尘及SO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的废气；成品烧结矿在破碎、筛分、整粒、转运等过程中产生大量含尘废气等。</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（4）焦化</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炼焦煤在贮运、粉碎、转运等过程中产生煤尘；焦炉装煤、推焦操作过程和炉顶、炉门等处泄漏烟尘、SO</w:t>
      </w:r>
      <w:r>
        <w:rPr>
          <w:rFonts w:ascii="Times New Roman" w:hAnsi="Times New Roman" w:eastAsia="宋体" w:cs="Times New Roman"/>
          <w:sz w:val="24"/>
          <w:vertAlign w:val="subscript"/>
        </w:rPr>
        <w:t>2</w:t>
      </w:r>
      <w:r>
        <w:rPr>
          <w:rFonts w:ascii="Times New Roman" w:hAnsi="Times New Roman" w:eastAsia="宋体" w:cs="Times New Roman"/>
          <w:sz w:val="24"/>
        </w:rPr>
        <w:t>、BaP；焦炉燃用净化后的高、焦炉混合煤气产生含少量SO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的烟气；焦炭在筛分、转运、贮存过程中产生焦尘；煤气净化系统排放各类有机废气等。</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（5）炼铁</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上料系统(包括料仓、槽上、槽下的胶带机落料点和振动筛等处)产生粉尘；高炉冶炼产生大量含尘、CO的烟气；出铁场产生烟尘；热风炉燃高炉煤气产生含少量SO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的烟气；铸铁机铸铁时产生含尘烟气；高炉煤粉制备系统产生煤尘。</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（6）铸管</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混铁炉、工频炉产生烟尘，球化包在喂丝球化过程中产生粉尘；铸铁管在喷锌、切环倒角、三磨产生粉尘；喷涂沥青漆时产生含沥青烟、甲苯、二甲苯的废气；退火炉、低温加热炉燃烧煤气产生含尘、SO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的烟气等。</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（7）炼钢</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铁水预处理产生烟尘；转炉散状料上料系统产生粉尘；转炉冶炼过程中产生大量含尘、CO烟气；精炼炉冶炼产生含尘烟气；连铸结晶器加保护渣时产生少量烟尘等。</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（8）轧钢</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加热炉燃用煤气产生含SO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及少量尘的烟气；抛丸产生粉尘。</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（9）矿渣微粉生产线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矿渣除铁、皮带转运、立磨、选粉、矿粉转运、汽车散装过程产生粉尘；</w:t>
      </w:r>
      <w:r>
        <w:rPr>
          <w:rFonts w:ascii="Times New Roman" w:hAnsi="Times New Roman" w:eastAsia="宋体" w:cs="Times New Roman"/>
          <w:spacing w:val="4"/>
          <w:sz w:val="24"/>
        </w:rPr>
        <w:t>热风炉燃烧焦炉煤气产生</w:t>
      </w:r>
      <w:r>
        <w:rPr>
          <w:rFonts w:ascii="Times New Roman" w:hAnsi="Times New Roman" w:eastAsia="宋体" w:cs="Times New Roman"/>
          <w:sz w:val="24"/>
        </w:rPr>
        <w:t>含SO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及少量尘的烟气。</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（10）其它</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发电站锅炉、过热炉燃煤气产生含SO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和少量尘的废气。</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（11）厂区排气筒信息数据梳理</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sz w:val="24"/>
        </w:rPr>
        <w:t>厂区现有排气筒数据见表3.3-1所示。</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 xml:space="preserve">表3.3-1  </w:t>
      </w:r>
      <w:r>
        <w:rPr>
          <w:rFonts w:hint="eastAsia" w:ascii="Times New Roman" w:hAnsi="Times New Roman" w:eastAsia="黑体" w:cs="Times New Roman"/>
          <w:sz w:val="24"/>
        </w:rPr>
        <w:t>厂区现有废气排放口信息一览表</w:t>
      </w:r>
    </w:p>
    <w:tbl>
      <w:tblPr>
        <w:tblStyle w:val="22"/>
        <w:tblW w:w="1360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7"/>
        <w:gridCol w:w="2123"/>
        <w:gridCol w:w="1459"/>
        <w:gridCol w:w="1623"/>
        <w:gridCol w:w="1293"/>
        <w:gridCol w:w="2483"/>
        <w:gridCol w:w="863"/>
        <w:gridCol w:w="779"/>
        <w:gridCol w:w="1310"/>
        <w:gridCol w:w="11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vMerge w:val="restart"/>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序号</w:t>
            </w:r>
          </w:p>
        </w:tc>
        <w:tc>
          <w:tcPr>
            <w:tcW w:w="2123" w:type="dxa"/>
            <w:vMerge w:val="restart"/>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排放口名称</w:t>
            </w:r>
          </w:p>
        </w:tc>
        <w:tc>
          <w:tcPr>
            <w:tcW w:w="1459" w:type="dxa"/>
            <w:vMerge w:val="restart"/>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污染物种类</w:t>
            </w:r>
          </w:p>
        </w:tc>
        <w:tc>
          <w:tcPr>
            <w:tcW w:w="1623" w:type="dxa"/>
            <w:vMerge w:val="restart"/>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污染治理设施名称</w:t>
            </w:r>
          </w:p>
        </w:tc>
        <w:tc>
          <w:tcPr>
            <w:tcW w:w="1293" w:type="dxa"/>
            <w:vMerge w:val="restart"/>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污染治理设施其他信息</w:t>
            </w:r>
          </w:p>
        </w:tc>
        <w:tc>
          <w:tcPr>
            <w:tcW w:w="2483" w:type="dxa"/>
            <w:vMerge w:val="restart"/>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污染物排放执行标准</w:t>
            </w:r>
          </w:p>
        </w:tc>
        <w:tc>
          <w:tcPr>
            <w:tcW w:w="1642" w:type="dxa"/>
            <w:gridSpan w:val="2"/>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排放口信息</w:t>
            </w:r>
          </w:p>
        </w:tc>
        <w:tc>
          <w:tcPr>
            <w:tcW w:w="1310" w:type="dxa"/>
            <w:vMerge w:val="restart"/>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备注</w:t>
            </w:r>
          </w:p>
        </w:tc>
        <w:tc>
          <w:tcPr>
            <w:tcW w:w="1166" w:type="dxa"/>
            <w:vMerge w:val="restart"/>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排气筒</w:t>
            </w:r>
          </w:p>
          <w:p>
            <w:pPr>
              <w:jc w:val="center"/>
              <w:rPr>
                <w:rFonts w:ascii="Times New Roman" w:hAnsi="Times New Roman" w:eastAsia="宋体" w:cs="Times New Roman"/>
                <w:b/>
                <w:bCs/>
                <w:szCs w:val="21"/>
              </w:rPr>
            </w:pPr>
            <w:r>
              <w:rPr>
                <w:rFonts w:ascii="Times New Roman" w:hAnsi="Times New Roman" w:eastAsia="宋体" w:cs="Times New Roman"/>
                <w:b/>
                <w:bCs/>
                <w:szCs w:val="21"/>
              </w:rPr>
              <w:t>编号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vMerge w:val="continue"/>
            <w:tcBorders>
              <w:tl2br w:val="nil"/>
              <w:tr2bl w:val="nil"/>
            </w:tcBorders>
            <w:vAlign w:val="center"/>
          </w:tcPr>
          <w:p>
            <w:pPr>
              <w:jc w:val="center"/>
              <w:rPr>
                <w:rFonts w:ascii="Times New Roman" w:hAnsi="Times New Roman" w:eastAsia="宋体" w:cs="Times New Roman"/>
                <w:b/>
                <w:bCs/>
                <w:szCs w:val="21"/>
              </w:rPr>
            </w:pPr>
          </w:p>
        </w:tc>
        <w:tc>
          <w:tcPr>
            <w:tcW w:w="2123" w:type="dxa"/>
            <w:vMerge w:val="continue"/>
            <w:tcBorders>
              <w:tl2br w:val="nil"/>
              <w:tr2bl w:val="nil"/>
            </w:tcBorders>
            <w:vAlign w:val="center"/>
          </w:tcPr>
          <w:p>
            <w:pPr>
              <w:jc w:val="center"/>
              <w:rPr>
                <w:rFonts w:ascii="Times New Roman" w:hAnsi="Times New Roman" w:eastAsia="宋体" w:cs="Times New Roman"/>
                <w:b/>
                <w:bCs/>
                <w:szCs w:val="21"/>
              </w:rPr>
            </w:pPr>
          </w:p>
        </w:tc>
        <w:tc>
          <w:tcPr>
            <w:tcW w:w="1459" w:type="dxa"/>
            <w:vMerge w:val="continue"/>
            <w:tcBorders>
              <w:tl2br w:val="nil"/>
              <w:tr2bl w:val="nil"/>
            </w:tcBorders>
            <w:vAlign w:val="center"/>
          </w:tcPr>
          <w:p>
            <w:pPr>
              <w:jc w:val="center"/>
              <w:rPr>
                <w:rFonts w:ascii="Times New Roman" w:hAnsi="Times New Roman" w:eastAsia="宋体" w:cs="Times New Roman"/>
                <w:b/>
                <w:bCs/>
                <w:szCs w:val="21"/>
              </w:rPr>
            </w:pPr>
          </w:p>
        </w:tc>
        <w:tc>
          <w:tcPr>
            <w:tcW w:w="1623" w:type="dxa"/>
            <w:vMerge w:val="continue"/>
            <w:tcBorders>
              <w:tl2br w:val="nil"/>
              <w:tr2bl w:val="nil"/>
            </w:tcBorders>
            <w:vAlign w:val="center"/>
          </w:tcPr>
          <w:p>
            <w:pPr>
              <w:jc w:val="center"/>
              <w:rPr>
                <w:rFonts w:ascii="Times New Roman" w:hAnsi="Times New Roman" w:eastAsia="宋体" w:cs="Times New Roman"/>
                <w:b/>
                <w:bCs/>
                <w:szCs w:val="21"/>
              </w:rPr>
            </w:pPr>
          </w:p>
        </w:tc>
        <w:tc>
          <w:tcPr>
            <w:tcW w:w="1293" w:type="dxa"/>
            <w:vMerge w:val="continue"/>
            <w:tcBorders>
              <w:tl2br w:val="nil"/>
              <w:tr2bl w:val="nil"/>
            </w:tcBorders>
            <w:vAlign w:val="center"/>
          </w:tcPr>
          <w:p>
            <w:pPr>
              <w:jc w:val="center"/>
              <w:rPr>
                <w:rFonts w:ascii="Times New Roman" w:hAnsi="Times New Roman" w:eastAsia="宋体" w:cs="Times New Roman"/>
                <w:b/>
                <w:bCs/>
                <w:szCs w:val="21"/>
              </w:rPr>
            </w:pPr>
          </w:p>
        </w:tc>
        <w:tc>
          <w:tcPr>
            <w:tcW w:w="2483" w:type="dxa"/>
            <w:vMerge w:val="continue"/>
            <w:tcBorders>
              <w:tl2br w:val="nil"/>
              <w:tr2bl w:val="nil"/>
            </w:tcBorders>
            <w:vAlign w:val="center"/>
          </w:tcPr>
          <w:p>
            <w:pPr>
              <w:jc w:val="center"/>
              <w:rPr>
                <w:rFonts w:ascii="Times New Roman" w:hAnsi="Times New Roman" w:eastAsia="宋体" w:cs="Times New Roman"/>
                <w:b/>
                <w:bCs/>
                <w:szCs w:val="21"/>
              </w:rPr>
            </w:pPr>
          </w:p>
        </w:tc>
        <w:tc>
          <w:tcPr>
            <w:tcW w:w="863" w:type="dxa"/>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高度（m）</w:t>
            </w:r>
          </w:p>
        </w:tc>
        <w:tc>
          <w:tcPr>
            <w:tcW w:w="779" w:type="dxa"/>
            <w:tcBorders>
              <w:tl2br w:val="nil"/>
              <w:tr2bl w:val="nil"/>
            </w:tcBorders>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内径（m）</w:t>
            </w:r>
          </w:p>
        </w:tc>
        <w:tc>
          <w:tcPr>
            <w:tcW w:w="1310" w:type="dxa"/>
            <w:vMerge w:val="continue"/>
            <w:tcBorders>
              <w:tl2br w:val="nil"/>
              <w:tr2bl w:val="nil"/>
            </w:tcBorders>
            <w:vAlign w:val="center"/>
          </w:tcPr>
          <w:p>
            <w:pPr>
              <w:jc w:val="center"/>
              <w:rPr>
                <w:rFonts w:ascii="Times New Roman" w:hAnsi="Times New Roman" w:eastAsia="宋体" w:cs="Times New Roman"/>
                <w:szCs w:val="21"/>
              </w:rPr>
            </w:pPr>
          </w:p>
        </w:tc>
        <w:tc>
          <w:tcPr>
            <w:tcW w:w="1166" w:type="dxa"/>
            <w:vMerge w:val="continue"/>
            <w:tcBorders>
              <w:tl2br w:val="nil"/>
              <w:tr2bl w:val="nil"/>
            </w:tcBorders>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煤气发电锅炉烟囱</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燃用净化后的煤气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《火电厂大气污染物排放标准》（GB13223-2001）</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4.7</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130t/h锅炉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2</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发电过热炉烟囱</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燃用净化后的煤气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《火电厂大气污染物排放标准》（GB13223-2001）</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w:t>
            </w:r>
            <w:r>
              <w:rPr>
                <w:rFonts w:hint="eastAsia" w:ascii="Times New Roman" w:hAnsi="Times New Roman" w:eastAsia="宋体" w:cs="Times New Roman"/>
                <w:color w:val="FF0000"/>
                <w:szCs w:val="21"/>
              </w:rPr>
              <w:t>t/h过热炉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2</w:t>
            </w:r>
            <w:r>
              <w:rPr>
                <w:rFonts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w:t>
            </w:r>
          </w:p>
        </w:tc>
        <w:tc>
          <w:tcPr>
            <w:tcW w:w="2123" w:type="dxa"/>
            <w:tcBorders>
              <w:tl2br w:val="nil"/>
              <w:tr2bl w:val="nil"/>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35t/h锅炉</w:t>
            </w:r>
            <w:r>
              <w:rPr>
                <w:rFonts w:ascii="Times New Roman" w:hAnsi="Times New Roman" w:eastAsia="宋体" w:cs="Times New Roman"/>
                <w:szCs w:val="21"/>
              </w:rPr>
              <w:t>烟囱</w:t>
            </w:r>
          </w:p>
        </w:tc>
        <w:tc>
          <w:tcPr>
            <w:tcW w:w="1459"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颗粒物、SO</w:t>
            </w:r>
            <w:r>
              <w:rPr>
                <w:rFonts w:ascii="Times New Roman" w:hAnsi="Times New Roman" w:eastAsia="宋体" w:cs="Times New Roman"/>
                <w:szCs w:val="21"/>
                <w:vertAlign w:val="subscript"/>
              </w:rPr>
              <w:t>2</w:t>
            </w:r>
            <w:r>
              <w:rPr>
                <w:rFonts w:ascii="Times New Roman" w:hAnsi="Times New Roman" w:eastAsia="宋体" w:cs="Times New Roman"/>
                <w:szCs w:val="21"/>
              </w:rPr>
              <w:t>、NO</w:t>
            </w:r>
            <w:r>
              <w:rPr>
                <w:rFonts w:ascii="Times New Roman" w:hAnsi="Times New Roman" w:eastAsia="宋体" w:cs="Times New Roman"/>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1293"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燃用净化后的煤气</w:t>
            </w:r>
          </w:p>
        </w:tc>
        <w:tc>
          <w:tcPr>
            <w:tcW w:w="2483"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r>
              <w:rPr>
                <w:rFonts w:hint="eastAsia" w:ascii="Times New Roman" w:hAnsi="Times New Roman" w:eastAsia="宋体" w:cs="Times New Roman"/>
                <w:szCs w:val="21"/>
              </w:rPr>
              <w:t>锅炉大气污染物排放标准</w:t>
            </w:r>
            <w:r>
              <w:rPr>
                <w:rFonts w:ascii="Times New Roman" w:hAnsi="Times New Roman" w:eastAsia="宋体" w:cs="Times New Roman"/>
                <w:szCs w:val="21"/>
              </w:rPr>
              <w:t>》（GB</w:t>
            </w:r>
            <w:r>
              <w:rPr>
                <w:rFonts w:hint="eastAsia" w:ascii="Times New Roman" w:hAnsi="Times New Roman" w:eastAsia="宋体" w:cs="Times New Roman"/>
                <w:szCs w:val="21"/>
              </w:rPr>
              <w:t>13271-2014</w:t>
            </w:r>
            <w:r>
              <w:rPr>
                <w:rFonts w:ascii="Times New Roman" w:hAnsi="Times New Roman" w:eastAsia="宋体" w:cs="Times New Roman"/>
                <w:szCs w:val="21"/>
              </w:rPr>
              <w:t>）</w:t>
            </w:r>
          </w:p>
        </w:tc>
        <w:tc>
          <w:tcPr>
            <w:tcW w:w="863"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25</w:t>
            </w:r>
          </w:p>
        </w:tc>
        <w:tc>
          <w:tcPr>
            <w:tcW w:w="779"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0.8</w:t>
            </w:r>
          </w:p>
        </w:tc>
        <w:tc>
          <w:tcPr>
            <w:tcW w:w="1310"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35t/h锅炉</w:t>
            </w:r>
          </w:p>
        </w:tc>
        <w:tc>
          <w:tcPr>
            <w:tcW w:w="1166"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w:t>
            </w:r>
          </w:p>
          <w:p>
            <w:pPr>
              <w:pStyle w:val="2"/>
            </w:pPr>
            <w:r>
              <w:rPr>
                <w:rFonts w:hint="eastAsia" w:ascii="宋体" w:hAnsi="宋体" w:eastAsia="宋体"/>
              </w:rPr>
              <w:t>（已停用</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焦化备煤预粉碎除尘器排口</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设计风量6000</w:t>
            </w:r>
            <w:r>
              <w:rPr>
                <w:rFonts w:hint="eastAsia" w:ascii="Times New Roman" w:hAnsi="Times New Roman" w:eastAsia="宋体" w:cs="Times New Roman"/>
                <w:color w:val="FF0000"/>
                <w:szCs w:val="21"/>
              </w:rPr>
              <w:t>0</w:t>
            </w:r>
            <w:r>
              <w:rPr>
                <w:rFonts w:ascii="Times New Roman" w:hAnsi="Times New Roman" w:eastAsia="宋体" w:cs="Times New Roman"/>
                <w:color w:val="FF0000"/>
                <w:szCs w:val="21"/>
              </w:rPr>
              <w:t>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精煤预粉粹</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焦化备煤粉碎除尘器排口（焦化工序）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设计风量400</w:t>
            </w:r>
            <w:r>
              <w:rPr>
                <w:rFonts w:hint="eastAsia" w:ascii="Times New Roman" w:hAnsi="Times New Roman" w:eastAsia="宋体" w:cs="Times New Roman"/>
                <w:color w:val="FF0000"/>
                <w:szCs w:val="21"/>
              </w:rPr>
              <w:t>0</w:t>
            </w:r>
            <w:r>
              <w:rPr>
                <w:rFonts w:ascii="Times New Roman" w:hAnsi="Times New Roman" w:eastAsia="宋体" w:cs="Times New Roman"/>
                <w:color w:val="FF0000"/>
                <w:szCs w:val="21"/>
              </w:rPr>
              <w:t>0m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精煤粉碎</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焦炉烟囱</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目前正在进行脱硫脱硝设施改造</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采用脱硫后焦炉煤气作为燃料</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1#、2#焦炉公用一个排气口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焦化装煤除尘器排口（焦化工序）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、B(a)p</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侧吸管集气技术，干式净化除尘地面站（袋式除尘器）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设计风量8000m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1#、2#焦炉公用一个排气口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8</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焦化推焦除尘器排口（焦化工序）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干式净化除尘地面站（袋式除尘器）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设计风量34000m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1#、2#焦炉公用一个排气口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焦炉逸散烟气收集装置排口（焦化工序）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r>
              <w:rPr>
                <w:rFonts w:ascii="Times New Roman" w:hAnsi="Times New Roman" w:eastAsia="宋体" w:cs="Times New Roman"/>
                <w:color w:val="FF0000"/>
                <w:szCs w:val="21"/>
              </w:rPr>
              <w:t>、B(a)p</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设计风量900000m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4.4</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1#、2#焦炉公用一个排气口，收集焦炉本体、装煤、推焦时产生的无组织烟气</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焦化干熄焦除尘器排口（焦化工序）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干式净化除尘地面站（袋式除尘器）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设计风量280000m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干熄焦除尘器</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焦化筛焦除尘器排口（焦化工序）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设计风量320000m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筛焦楼除尘器，包括焦炭转运尘、焦炭筛分尘</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w:t>
            </w:r>
            <w:r>
              <w:rPr>
                <w:rFonts w:hint="eastAsia" w:ascii="Times New Roman" w:hAnsi="Times New Roman" w:eastAsia="宋体" w:cs="Times New Roman"/>
                <w:color w:val="FF0000"/>
                <w:szCs w:val="21"/>
              </w:rPr>
              <w:t>煤气净化回收</w:t>
            </w:r>
            <w:r>
              <w:rPr>
                <w:rFonts w:ascii="Times New Roman" w:hAnsi="Times New Roman" w:eastAsia="宋体" w:cs="Times New Roman"/>
                <w:color w:val="FF0000"/>
                <w:szCs w:val="21"/>
              </w:rPr>
              <w:t>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H</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S、NH</w:t>
            </w:r>
            <w:r>
              <w:rPr>
                <w:rFonts w:ascii="Times New Roman" w:hAnsi="Times New Roman" w:eastAsia="宋体" w:cs="Times New Roman"/>
                <w:color w:val="FF0000"/>
                <w:szCs w:val="21"/>
                <w:vertAlign w:val="subscript"/>
              </w:rPr>
              <w:t>3</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洗净塔</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洗涤介质：水</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0.5</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焦化脱胺干燥器排口（焦化工序）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颗粒物、NH</w:t>
            </w:r>
            <w:r>
              <w:rPr>
                <w:rFonts w:ascii="Times New Roman" w:hAnsi="Times New Roman" w:eastAsia="宋体" w:cs="Times New Roman"/>
                <w:color w:val="FF0000"/>
                <w:szCs w:val="21"/>
                <w:vertAlign w:val="subscript"/>
              </w:rPr>
              <w:t>3</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旋风除尘器后串联洗涤除尘</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焦化粗苯管式炉排口（焦化工序）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燃用净化后的煤气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两个管式炉，一开一备</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焦化粗苯管式炉排口（焦化工序）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燃用净化后的煤气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两个管式炉，一开一备</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w:t>
            </w:r>
            <w:r>
              <w:rPr>
                <w:rFonts w:ascii="Times New Roman" w:hAnsi="Times New Roman" w:eastAsia="宋体" w:cs="Times New Roman"/>
                <w:color w:val="FF0000"/>
                <w:szCs w:val="21"/>
              </w:rPr>
              <w:t>6</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原料场7#转运站除尘器排口</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（原料储存工序）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供卸料设施（地下料仓上料）</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17</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原料场8#转运站除尘器排口</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（原料储存工序）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供卸料设施（地下料仓上料）</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18</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烧结配料除尘器排口（烧结工序）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电袋复合除尘器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《钢铁烧结、球团工业大气污染物排放标准》（GB28662-2012）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1#、2#烧结公用配料系统</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19</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烧结燃料破碎除尘器排口（烧结工序）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《钢铁烧结、球团工业大气污染物排放标准》（GB28662-2012）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1#、2#烧结公用破碎系统</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20</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1#烧结机头脱硫排口（烧结工序）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r>
              <w:rPr>
                <w:rFonts w:ascii="Times New Roman" w:hAnsi="Times New Roman" w:eastAsia="宋体" w:cs="Times New Roman"/>
                <w:color w:val="FF0000"/>
                <w:szCs w:val="21"/>
              </w:rPr>
              <w:t>、氟化物、二噁英</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脱硫系统-石灰石/石灰-石膏法，四电场静电除尘器，脱销系统-SCR</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《钢铁烧结、球团工业大气污染物排放标准》（GB28662-2012）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1#烧结机</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21</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2#烧结机头脱硫排口（烧结工序）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r>
              <w:rPr>
                <w:rFonts w:ascii="Times New Roman" w:hAnsi="Times New Roman" w:eastAsia="宋体" w:cs="Times New Roman"/>
                <w:color w:val="FF0000"/>
                <w:szCs w:val="21"/>
              </w:rPr>
              <w:t>、氟化物、二噁英</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脱硫系统-石灰石/石灰-石膏法，四电场静电除尘器，脱销系统-SCR</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《钢铁烧结、球团工业大气污染物排放标准》（GB28662-2012）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2#烧结机</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22</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1#烧结机尾除尘排口（烧结工序）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电袋复合除尘器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《钢铁烧结、球团工业大气污染物排放标准》（GB28662-2012）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1#烧结机尾（包含整粒筛分废气和烧结矿冷却废气）</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2#烧结机尾除尘排口（烧结工序）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电袋复合除尘器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《钢铁烧结、球团工业大气污染物排放标准》（GB28662-2012）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2#烧结机尾包含整粒筛分废气和烧结矿冷却废气）</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烧结块矿烘干除尘器排口（烧结工序）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《钢铁烧结、球团工业大气污染物排放标准》（GB28662-2012）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1#、2#烧结公用</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炼铁1#转运站除尘器排口（高炉工序）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炼铁3#转运站除尘器排口（高炉工序）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炼铁4#转运站除尘器排口（高炉工序）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1#高炉矿槽除尘器排口（高炉工序）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1#高炉煤粉制备除尘排口（高炉工序）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1#高炉热风炉烟囱排口（高炉工序）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使用净化煤气，高炉煤气采用干法除尘</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5.3</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1#高炉出铁场除尘排口（高炉工序）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1#高炉炉顶上料除尘排口（高炉工序）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矿渣微粉除尘器排口（高炉工序）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34</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铸铁机除尘排口</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0.95</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2#高炉矿槽除尘排口（高炉工序）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2#高炉煤粉制备除尘排口（高炉工序）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2#高炉热风炉烟囱排口（高炉工序）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使用净化煤气，高炉煤气采用干法除尘</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5.3</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2#高炉出铁场除尘排口（高炉工序）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39</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2#高炉炉顶上料除尘排口（高炉工序）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《炼铁工业大气污染物排放标准》（GB28663-2012）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2#高炉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铁水预处理除尘排口（转炉工序）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5.4</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公用单元（与拆炉、拆包、连铸中间罐倾翻废气公用一个排放口）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color w:val="FF0000"/>
                <w:szCs w:val="21"/>
              </w:rPr>
              <w:t>41</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1#转炉一次烟气除尘排口（转炉工序）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转炉一次除尘系统干法（LT干法除尘）</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1#转炉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42</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转炉二次烟气除尘排口（转炉工序）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1#、2#转炉二次除尘器公用一个排放口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转炉三次烟气除尘排口（转炉工序）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与转炉地下料仓上料废气（经除尘器处理后）以及炼钢工序精炼炉废气（经除尘器处理后）公用一个排气口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44</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2#转炉一次烟气除尘排口（转炉工序）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转炉一次除尘系统干法（LT干法除尘）</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2#转炉</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石灰窑尾除尘排口（石灰石焙烧工序）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46</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白灰上料除尘排口（石灰石焙烧工序）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47</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白灰成品冷却除尘排口（石灰石焙烧工序）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48</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白灰成品冷却、卸料和破碎除尘排口（石灰石焙烧工序）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49</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白灰成品卸料除尘排口（石灰石焙烧工序）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公用单元</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50</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小棒加热炉空废排口（轧钢工序）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小棒</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w:t>
            </w:r>
            <w:r>
              <w:rPr>
                <w:rFonts w:ascii="Times New Roman" w:hAnsi="Times New Roman" w:eastAsia="宋体" w:cs="Times New Roman"/>
                <w:color w:val="FF0000"/>
                <w:szCs w:val="21"/>
              </w:rPr>
              <w:t>1</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小棒加热炉煤废排口（轧钢工序）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小棒</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52</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中棒加热炉空废排口（轧钢工序）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《轧钢工业大气污染物排放标准》（GB28665-2012）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中棒</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w:t>
            </w:r>
            <w:r>
              <w:rPr>
                <w:rFonts w:ascii="Times New Roman" w:hAnsi="Times New Roman" w:eastAsia="宋体" w:cs="Times New Roman"/>
                <w:color w:val="FF0000"/>
                <w:szCs w:val="21"/>
              </w:rPr>
              <w:t>3</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中棒加热炉煤废排口（轧钢工序）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《轧钢工业大气污染物排放标准》（GB28665-2012）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中棒</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54</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大棒加热炉空废排口（轧钢工序）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《轧钢工业大气污染物排放标准》（GB28665-2012）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大棒</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55</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大棒加热炉煤废排口（轧钢工序）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《轧钢工业大气污染物排放标准》（GB28665-2012）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大棒</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w:t>
            </w:r>
            <w:r>
              <w:rPr>
                <w:rFonts w:ascii="Times New Roman" w:hAnsi="Times New Roman" w:eastAsia="宋体" w:cs="Times New Roman"/>
                <w:color w:val="FF0000"/>
                <w:szCs w:val="21"/>
              </w:rPr>
              <w:t>6</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普通线材加热炉空废排口（轧钢工序）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《轧钢工业大气污染物排放标准》（GB28665-2012）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普通线材</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57</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普通线材加热炉煤废排口（轧钢工序）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《轧钢工业大气污染物排放标准》（GB28665-2012）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普通线材</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58</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精品线材加热炉空废排口（轧钢工序）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《轧钢工业大气污染物排放标准》（GB28665-2012）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精品线材</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59</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精品线材加热炉煤废排口（轧钢工序）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使用净化后的煤气</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《轧钢工业大气污染物排放标准》（GB28665-2012）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精品线材</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60</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混铁炉除尘器</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61</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水冷工频电炉除尘器（铸管工序）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《炼钢工业大气污染物排放标准》（GB28664-2012）</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62</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喂丝球化除尘器</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63</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热膜离心浇铸除尘器（铸管工序）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64</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热膜退火炉出口</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r>
              <w:rPr>
                <w:rFonts w:ascii="Times New Roman" w:hAnsi="Times New Roman" w:eastAsia="宋体" w:cs="Times New Roman"/>
                <w:color w:val="FF0000"/>
                <w:szCs w:val="21"/>
              </w:rPr>
              <w:t>、沥青烟、苯、甲苯、二甲苯</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vMerge w:val="restart"/>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烟尘执行《工业炉窑大气污染物综合排放标准》（GB9078-1996），颗粒物、苯、二甲苯执行《大气污染物综合排放标准》（GB16297-1996），SO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r>
              <w:rPr>
                <w:rFonts w:ascii="Times New Roman" w:hAnsi="Times New Roman" w:eastAsia="宋体" w:cs="Times New Roman"/>
                <w:color w:val="FF0000"/>
                <w:szCs w:val="21"/>
              </w:rPr>
              <w:t>执行《锅炉大气污染物排放标准》（GB13271-2001）II时段燃气锅炉标准</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65</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水冷退火炉出口1</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r>
              <w:rPr>
                <w:rFonts w:ascii="Times New Roman" w:hAnsi="Times New Roman" w:eastAsia="宋体" w:cs="Times New Roman"/>
                <w:color w:val="FF0000"/>
                <w:szCs w:val="21"/>
              </w:rPr>
              <w:t>、沥青烟、苯、甲苯、二甲苯</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vMerge w:val="continue"/>
            <w:tcBorders>
              <w:tl2br w:val="nil"/>
              <w:tr2bl w:val="nil"/>
            </w:tcBorders>
            <w:vAlign w:val="center"/>
          </w:tcPr>
          <w:p>
            <w:pPr>
              <w:jc w:val="center"/>
              <w:rPr>
                <w:rFonts w:ascii="Times New Roman" w:hAnsi="Times New Roman" w:eastAsia="宋体" w:cs="Times New Roman"/>
                <w:color w:val="FF0000"/>
                <w:szCs w:val="21"/>
              </w:rPr>
            </w:pP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66</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水冷退火炉出口2</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颗粒物、SO</w:t>
            </w:r>
            <w:r>
              <w:rPr>
                <w:rFonts w:ascii="Times New Roman" w:hAnsi="Times New Roman" w:eastAsia="宋体" w:cs="Times New Roman"/>
                <w:color w:val="FF0000"/>
                <w:szCs w:val="21"/>
                <w:vertAlign w:val="subscript"/>
              </w:rPr>
              <w:t>2</w:t>
            </w:r>
            <w:r>
              <w:rPr>
                <w:rFonts w:ascii="Times New Roman" w:hAnsi="Times New Roman" w:eastAsia="宋体" w:cs="Times New Roman"/>
                <w:color w:val="FF0000"/>
                <w:szCs w:val="21"/>
              </w:rPr>
              <w:t>、NO</w:t>
            </w:r>
            <w:r>
              <w:rPr>
                <w:rFonts w:ascii="Times New Roman" w:hAnsi="Times New Roman" w:eastAsia="宋体" w:cs="Times New Roman"/>
                <w:color w:val="FF0000"/>
                <w:szCs w:val="21"/>
                <w:vertAlign w:val="subscript"/>
              </w:rPr>
              <w:t>x</w:t>
            </w:r>
            <w:r>
              <w:rPr>
                <w:rFonts w:ascii="Times New Roman" w:hAnsi="Times New Roman" w:eastAsia="宋体" w:cs="Times New Roman"/>
                <w:color w:val="FF0000"/>
                <w:szCs w:val="21"/>
              </w:rPr>
              <w:t>、沥青烟、苯、甲苯、二甲苯</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vMerge w:val="continue"/>
            <w:tcBorders>
              <w:tl2br w:val="nil"/>
              <w:tr2bl w:val="nil"/>
            </w:tcBorders>
            <w:vAlign w:val="center"/>
          </w:tcPr>
          <w:p>
            <w:pPr>
              <w:jc w:val="center"/>
              <w:rPr>
                <w:rFonts w:ascii="Times New Roman" w:hAnsi="Times New Roman" w:eastAsia="宋体" w:cs="Times New Roman"/>
                <w:color w:val="FF0000"/>
                <w:szCs w:val="21"/>
              </w:rPr>
            </w:pP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67</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喷锌废气袋式除尘装置（铸管工序）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重力除尘+袋式除尘</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0.9</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中大线喷锌除尘</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重力除尘+袋式除尘</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69</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小线喷锌除尘</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重力除尘+袋式除尘</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70</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热模三磨除尘出口（铸管工序）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71</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水冷离心机除尘</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72</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水冷三磨除尘</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73</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热模工频电炉除尘（铸管工序）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74</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制芯烘砂袋式除尘装置（铸管工序）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湿法+旋风除尘</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0.6</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75</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管模工段袋式除尘装置出口1（铸管工序）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0.65</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与管模工段除尘器2#尾气公用一个排气口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w:t>
            </w:r>
            <w:r>
              <w:rPr>
                <w:rFonts w:ascii="Times New Roman" w:hAnsi="Times New Roman" w:eastAsia="宋体" w:cs="Times New Roman"/>
                <w:color w:val="FF0000"/>
                <w:szCs w:val="21"/>
              </w:rPr>
              <w:t>6</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管模工段袋式除尘装置出口2（铸管工序）</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袋式除尘器</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滤袋材质：聚酯（涤纶）针刺毡</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0.65</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与管模工段除尘器1#尾气公用一个排气口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77</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三乙胺尾气净化</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（铸管工序--水冷）</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三乙胺</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稀磷酸溶液吸收</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《冷芯盒射芯机 技术条件》（JB/T 5361-2006）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0.5</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与热膜工序三乙胺净化尾气公用一个排气口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7"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78</w:t>
            </w:r>
          </w:p>
        </w:tc>
        <w:tc>
          <w:tcPr>
            <w:tcW w:w="21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三乙胺尾气净化</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（铸管工序--热模）</w:t>
            </w:r>
          </w:p>
        </w:tc>
        <w:tc>
          <w:tcPr>
            <w:tcW w:w="145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三乙胺</w:t>
            </w:r>
          </w:p>
        </w:tc>
        <w:tc>
          <w:tcPr>
            <w:tcW w:w="162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稀磷酸溶液吸收</w:t>
            </w:r>
          </w:p>
        </w:tc>
        <w:tc>
          <w:tcPr>
            <w:tcW w:w="129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248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《冷芯盒射芯机 技术条件》（JB/T 5361-2006）</w:t>
            </w:r>
          </w:p>
        </w:tc>
        <w:tc>
          <w:tcPr>
            <w:tcW w:w="863"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w:t>
            </w:r>
          </w:p>
        </w:tc>
        <w:tc>
          <w:tcPr>
            <w:tcW w:w="779"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0.5</w:t>
            </w:r>
          </w:p>
        </w:tc>
        <w:tc>
          <w:tcPr>
            <w:tcW w:w="1310"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与热水冷工序三乙胺净化尾气公用一个排气口</w:t>
            </w:r>
          </w:p>
        </w:tc>
        <w:tc>
          <w:tcPr>
            <w:tcW w:w="1166" w:type="dxa"/>
            <w:tcBorders>
              <w:tl2br w:val="nil"/>
              <w:tr2bl w:val="nil"/>
            </w:tcBorders>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72#</w:t>
            </w:r>
          </w:p>
        </w:tc>
      </w:tr>
    </w:tbl>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3.3.1.2废气处理措施</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（1）原料场</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原料场设有挡风抑尘墙，减少因风引起的扬尘；原料场内各原/燃料堆设有喷水抑尘设施，以减少二次扬尘；带式输送机上部设有密闭防护罩，以防风吹和物料落差散发扬尘；原料场各原/燃料在输送、转运过程中均产生的粉尘，设有密闭罩，粉尘经袋式除尘器净化后通过15m高烟囱（15#）排放；原料场地下料仓上料过程中产生的粉尘，粉尘经袋式除尘器净化后通过22m高烟囱（14#）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（2）石灰焙烧</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石灰石在上料、转运过程中产生的粉尘，经袋式除尘器净化后由高20m烟囱（42#）排放；冷却后的石灰在输送、破碎、提升、筛分、入库及装车等过程中产生的粉尘，经3套袋式收尘器除尘净化后分别由20m高烟囱</w:t>
      </w:r>
      <w:r>
        <w:rPr>
          <w:rFonts w:ascii="Times New Roman" w:hAnsi="Times New Roman" w:eastAsia="宋体" w:cs="Times New Roman"/>
          <w:color w:val="FF0000"/>
          <w:sz w:val="24"/>
        </w:rPr>
        <w:t>（43#、44#、45#）</w:t>
      </w:r>
      <w:r>
        <w:rPr>
          <w:rFonts w:ascii="Times New Roman" w:hAnsi="Times New Roman" w:eastAsia="宋体" w:cs="Times New Roman"/>
          <w:sz w:val="24"/>
        </w:rPr>
        <w:t>排放；预热器、回转窑窑头窑尾、冷却器冷却室、预热器顶部上料转运点产生的粉尘，经2套袋式除尘器净化后，经40m高烟囱（41#）排放，高温石灰在窑头冷却过程中产生的粉尘，并入上述窑尾除尘系统处理。</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（3）烧结</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烧结机生产采用铺底料工艺，减少烟气原始含尘浓度，同时对烧结机各产尘点均设密闭罩，抽风强制除尘，以控制其烟/粉尘的排放。两台烧结机各有一套机头、机尾烟气除尘系统，配料、燃料系统则共用一套除尘系统。</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rPr>
        <w:t>烧结机机头配有烟气脱硫、脱硝设施，以减少烟气中SO</w:t>
      </w:r>
      <w:r>
        <w:rPr>
          <w:rFonts w:ascii="Times New Roman" w:hAnsi="Times New Roman" w:eastAsia="宋体" w:cs="Times New Roman"/>
          <w:sz w:val="24"/>
          <w:vertAlign w:val="subscript"/>
        </w:rPr>
        <w:t>2</w:t>
      </w:r>
      <w:r>
        <w:rPr>
          <w:rFonts w:ascii="Times New Roman" w:hAnsi="Times New Roman" w:eastAsia="宋体" w:cs="Times New Roman"/>
          <w:sz w:val="24"/>
        </w:rPr>
        <w:t>、NOx等的排放。</w:t>
      </w:r>
      <w:r>
        <w:rPr>
          <w:rFonts w:ascii="Times New Roman" w:hAnsi="Times New Roman" w:eastAsia="宋体" w:cs="Times New Roman"/>
          <w:sz w:val="24"/>
          <w:szCs w:val="24"/>
        </w:rPr>
        <w:t>烧结机机头烟气为烧结生产过程中最主要的烟尘、SO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和NO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产生源，烟气先经H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-SCR脱硝处理后，采用双室四电场静电除尘器净化，除尘后的烟气再经过湿式石灰石-石膏法脱硫，净化后废气由70m高烟囱（18#）排放。烧结机机机头废气中二噁英，通过H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-SCR脱硝、四电场静电除尘器、湿法脱硫协同处置后，可吸附在颗粒物上从而减少排放量；烧结机机尾产生的含尘废气，采用1台电袋复合除尘器</w:t>
      </w:r>
      <w:r>
        <w:rPr>
          <w:rFonts w:hint="eastAsia" w:ascii="Times New Roman" w:hAnsi="Times New Roman" w:eastAsia="宋体" w:cs="Times New Roman"/>
          <w:sz w:val="24"/>
          <w:szCs w:val="24"/>
        </w:rPr>
        <w:t>（</w:t>
      </w:r>
      <w:r>
        <w:rPr>
          <w:rFonts w:ascii="Times New Roman" w:hAnsi="Times New Roman" w:eastAsia="宋体" w:cs="Times New Roman"/>
          <w:sz w:val="24"/>
          <w:szCs w:val="24"/>
        </w:rPr>
        <w:t>1电+3布袋</w:t>
      </w:r>
      <w:r>
        <w:rPr>
          <w:rFonts w:hint="eastAsia" w:ascii="Times New Roman" w:hAnsi="Times New Roman" w:eastAsia="宋体" w:cs="Times New Roman"/>
          <w:sz w:val="24"/>
          <w:szCs w:val="24"/>
        </w:rPr>
        <w:t>）</w:t>
      </w:r>
      <w:r>
        <w:rPr>
          <w:rFonts w:ascii="Times New Roman" w:hAnsi="Times New Roman" w:eastAsia="宋体" w:cs="Times New Roman"/>
          <w:sz w:val="24"/>
          <w:szCs w:val="24"/>
        </w:rPr>
        <w:t>净</w:t>
      </w:r>
      <w:r>
        <w:rPr>
          <w:rFonts w:ascii="Times New Roman" w:hAnsi="Times New Roman" w:eastAsia="宋体" w:cs="Times New Roman"/>
          <w:color w:val="auto"/>
          <w:sz w:val="24"/>
          <w:szCs w:val="24"/>
        </w:rPr>
        <w:t>化，净化后废气由45m高烟囱（19#）排放；配料及转运等产生的粉尘，采用1套袋式除尘器净化，净化后废气由40m高烟囱（16#）排放；燃料破碎产生的粉尘，因其具有爆炸性危险，采用1台防爆型袋式除尘器净化，净化后废气由40m高烟囱（17#）排放；烧结块</w:t>
      </w:r>
      <w:r>
        <w:rPr>
          <w:rFonts w:ascii="Times New Roman" w:hAnsi="Times New Roman" w:eastAsia="宋体" w:cs="Times New Roman"/>
          <w:sz w:val="24"/>
          <w:szCs w:val="24"/>
        </w:rPr>
        <w:t>矿烘干产生的粉尘，采用1套袋式除尘器净化，净化后废气由21m高烟囱（20#）排放。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（4）焦化</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①</w:t>
      </w:r>
      <w:r>
        <w:rPr>
          <w:rFonts w:ascii="Times New Roman" w:hAnsi="Times New Roman" w:eastAsia="宋体" w:cs="Times New Roman"/>
          <w:sz w:val="24"/>
        </w:rPr>
        <w:t>备煤工段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煤转运站、粉碎机室及运煤通廊等建/构筑物采用密闭结构，有效避免煤尘外逸。在各扬尘场所采用水喷抑尘，防止煤尘逸散造成二次污染。</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为消除煤在预粉碎、粉碎过程中产生的煤尘，设有2套袋式除尘器，净化后废气</w:t>
      </w:r>
      <w:r>
        <w:rPr>
          <w:rFonts w:hint="eastAsia" w:ascii="Times New Roman" w:hAnsi="Times New Roman" w:eastAsia="宋体" w:cs="Times New Roman"/>
          <w:sz w:val="24"/>
        </w:rPr>
        <w:t>经</w:t>
      </w:r>
      <w:r>
        <w:rPr>
          <w:rFonts w:ascii="Times New Roman" w:hAnsi="Times New Roman" w:eastAsia="宋体" w:cs="Times New Roman"/>
          <w:sz w:val="24"/>
        </w:rPr>
        <w:t>32m高烟囱（4#）排放。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lang w:eastAsia="ja-JP"/>
        </w:rPr>
      </w:pPr>
      <w:r>
        <w:rPr>
          <w:rFonts w:hint="eastAsia" w:ascii="宋体" w:hAnsi="宋体" w:eastAsia="宋体" w:cs="宋体"/>
          <w:sz w:val="24"/>
          <w:lang w:eastAsia="ja-JP"/>
        </w:rPr>
        <w:t>②</w:t>
      </w:r>
      <w:r>
        <w:rPr>
          <w:rFonts w:ascii="Times New Roman" w:hAnsi="Times New Roman" w:eastAsia="宋体" w:cs="Times New Roman"/>
          <w:sz w:val="24"/>
          <w:lang w:eastAsia="ja-JP"/>
        </w:rPr>
        <w:t>炼焦工段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装煤孔盖采用密封结构，并用特制泥浆密封炉盖与盖座间隙，减少90~95%的烟尘外逸；上升管盖、桥管承插口采用水封装置，以减少烟尘外逸；上升管根部采用编织石棉绳填塞，特制泥浆封闭，以减少烟尘外逸。采用弹簧刀边炉门、厚炉门框、大保护板，减少炉门热变形程度，有效防止炉门泄漏；采用炭化室压力稳定控制系统，防止炭化室压力过大出现冒烟冒火现象，以减少烟尘外逸；装煤采用CPS系统，集气管保持微负</w:t>
      </w:r>
      <w:r>
        <w:rPr>
          <w:rFonts w:ascii="Times New Roman" w:hAnsi="Times New Roman" w:eastAsia="宋体" w:cs="Times New Roman"/>
          <w:color w:val="auto"/>
          <w:sz w:val="24"/>
        </w:rPr>
        <w:t>压，实现无烟装煤。装煤时产生的一部分烟尘通过CPS系统进入负压工作的集气管，另一部分烟尘通过除尘装煤车进入除尘地面站</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袋式除尘</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净化，净化后废气由20m高烟囱（6#）排放；出焦时产生的烟尘，由设在拦焦机上的吸气罩捕集，经集尘干管送入推焦除尘地面站</w:t>
      </w:r>
      <w:r>
        <w:rPr>
          <w:rFonts w:ascii="Times New Roman" w:hAnsi="Times New Roman" w:eastAsia="宋体" w:cs="Times New Roman"/>
          <w:sz w:val="24"/>
        </w:rPr>
        <w:t>(袋式除尘)净化，净化后废气由20m高烟囱（7#）排放；焦炉采用高净化后的高、焦混合煤气为燃料，煤气燃烧产生的含SO</w:t>
      </w:r>
      <w:r>
        <w:rPr>
          <w:rFonts w:ascii="Times New Roman" w:hAnsi="Times New Roman" w:eastAsia="宋体" w:cs="Times New Roman"/>
          <w:sz w:val="24"/>
          <w:vertAlign w:val="subscript"/>
        </w:rPr>
        <w:t>2</w:t>
      </w:r>
      <w:r>
        <w:rPr>
          <w:rFonts w:ascii="Times New Roman" w:hAnsi="Times New Roman" w:eastAsia="宋体" w:cs="Times New Roman"/>
          <w:sz w:val="24"/>
        </w:rPr>
        <w:t>、NOx及少量尘烟气由135m高烟囱（5#）排放。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③</w:t>
      </w:r>
      <w:r>
        <w:rPr>
          <w:rFonts w:ascii="Times New Roman" w:hAnsi="Times New Roman" w:eastAsia="宋体" w:cs="Times New Roman"/>
          <w:sz w:val="24"/>
        </w:rPr>
        <w:t>熄焦工段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采用干法熄焦工艺，在干熄罐顶部装焦处、罐底出焦处、出焦口胶带、循环风机放散口处设置烟尘捕集装置，产生的烟尘经收集后送至干熄焦地面除尘站</w:t>
      </w:r>
      <w:r>
        <w:rPr>
          <w:rFonts w:hint="eastAsia" w:ascii="Times New Roman" w:hAnsi="Times New Roman" w:eastAsia="宋体" w:cs="Times New Roman"/>
          <w:sz w:val="24"/>
        </w:rPr>
        <w:t>（</w:t>
      </w:r>
      <w:r>
        <w:rPr>
          <w:rFonts w:ascii="Times New Roman" w:hAnsi="Times New Roman" w:eastAsia="宋体" w:cs="Times New Roman"/>
          <w:sz w:val="24"/>
        </w:rPr>
        <w:t>袋式除尘</w:t>
      </w:r>
      <w:r>
        <w:rPr>
          <w:rFonts w:hint="eastAsia" w:ascii="Times New Roman" w:hAnsi="Times New Roman" w:eastAsia="宋体" w:cs="Times New Roman"/>
          <w:sz w:val="24"/>
        </w:rPr>
        <w:t>）</w:t>
      </w:r>
      <w:r>
        <w:rPr>
          <w:rFonts w:ascii="Times New Roman" w:hAnsi="Times New Roman" w:eastAsia="宋体" w:cs="Times New Roman"/>
          <w:sz w:val="24"/>
        </w:rPr>
        <w:t>净化，净化后废气由24m高烟囱（9#）排放。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当干熄焦系统出现故障或检修时，采用湿法熄焦。熄焦塔高55m，熄焦塔塔顶设水雾捕集和双层木结构捕尘装置，可使大部分焦尘和水滴捕集下来，干熄焦恢复时间几小时到几十个小时不等，恢复后立即停止采用湿熄焦。</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④</w:t>
      </w:r>
      <w:r>
        <w:rPr>
          <w:rFonts w:ascii="Times New Roman" w:hAnsi="Times New Roman" w:eastAsia="宋体" w:cs="Times New Roman"/>
          <w:sz w:val="24"/>
        </w:rPr>
        <w:t>煤气净化工段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对于煤气净化系统产生的各类废气，首先通过采用先进的工艺流程及设备，从根本上加以控制和治理，其次是采取必要的治理措施：</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煤气脱硫采用KXTT技术，煤气H</w:t>
      </w:r>
      <w:r>
        <w:rPr>
          <w:rFonts w:ascii="Times New Roman" w:hAnsi="Times New Roman" w:eastAsia="宋体" w:cs="Times New Roman"/>
          <w:sz w:val="24"/>
          <w:vertAlign w:val="subscript"/>
        </w:rPr>
        <w:t>2</w:t>
      </w:r>
      <w:r>
        <w:rPr>
          <w:rFonts w:ascii="Times New Roman" w:hAnsi="Times New Roman" w:eastAsia="宋体" w:cs="Times New Roman"/>
          <w:sz w:val="24"/>
        </w:rPr>
        <w:t>S含量可由2~9g/m</w:t>
      </w:r>
      <w:r>
        <w:rPr>
          <w:rFonts w:ascii="Times New Roman" w:hAnsi="Times New Roman" w:eastAsia="宋体" w:cs="Times New Roman"/>
          <w:sz w:val="24"/>
          <w:vertAlign w:val="superscript"/>
        </w:rPr>
        <w:t>3</w:t>
      </w:r>
      <w:r>
        <w:rPr>
          <w:rFonts w:ascii="Times New Roman" w:hAnsi="Times New Roman" w:eastAsia="宋体" w:cs="Times New Roman"/>
          <w:sz w:val="24"/>
        </w:rPr>
        <w:t>降到100mg/m</w:t>
      </w:r>
      <w:r>
        <w:rPr>
          <w:rFonts w:ascii="Times New Roman" w:hAnsi="Times New Roman" w:eastAsia="宋体" w:cs="Times New Roman"/>
          <w:sz w:val="24"/>
          <w:vertAlign w:val="superscript"/>
        </w:rPr>
        <w:t>3</w:t>
      </w:r>
      <w:r>
        <w:rPr>
          <w:rFonts w:ascii="Times New Roman" w:hAnsi="Times New Roman" w:eastAsia="宋体" w:cs="Times New Roman"/>
          <w:sz w:val="24"/>
        </w:rPr>
        <w:t>，净化后废气由30m高烟囱（11#）排放，外排废气H</w:t>
      </w:r>
      <w:r>
        <w:rPr>
          <w:rFonts w:ascii="Times New Roman" w:hAnsi="Times New Roman" w:eastAsia="宋体" w:cs="Times New Roman"/>
          <w:sz w:val="24"/>
          <w:vertAlign w:val="subscript"/>
        </w:rPr>
        <w:t>2</w:t>
      </w:r>
      <w:r>
        <w:rPr>
          <w:rFonts w:ascii="Times New Roman" w:hAnsi="Times New Roman" w:eastAsia="宋体" w:cs="Times New Roman"/>
          <w:sz w:val="24"/>
        </w:rPr>
        <w:t>S浓度≤3mg/m</w:t>
      </w:r>
      <w:r>
        <w:rPr>
          <w:rFonts w:ascii="Times New Roman" w:hAnsi="Times New Roman" w:eastAsia="宋体" w:cs="Times New Roman"/>
          <w:sz w:val="24"/>
          <w:vertAlign w:val="superscript"/>
        </w:rPr>
        <w:t>3</w:t>
      </w:r>
      <w:r>
        <w:rPr>
          <w:rFonts w:ascii="Times New Roman" w:hAnsi="Times New Roman" w:eastAsia="宋体" w:cs="Times New Roman"/>
          <w:sz w:val="24"/>
        </w:rPr>
        <w:t>、NH</w:t>
      </w:r>
      <w:r>
        <w:rPr>
          <w:rFonts w:ascii="Times New Roman" w:hAnsi="Times New Roman" w:eastAsia="宋体" w:cs="Times New Roman"/>
          <w:sz w:val="24"/>
          <w:vertAlign w:val="subscript"/>
        </w:rPr>
        <w:t>3</w:t>
      </w:r>
      <w:r>
        <w:rPr>
          <w:rFonts w:ascii="Times New Roman" w:hAnsi="Times New Roman" w:eastAsia="宋体" w:cs="Times New Roman"/>
          <w:sz w:val="24"/>
        </w:rPr>
        <w:t>≤30mg/m</w:t>
      </w:r>
      <w:r>
        <w:rPr>
          <w:rFonts w:ascii="Times New Roman" w:hAnsi="Times New Roman" w:eastAsia="宋体" w:cs="Times New Roman"/>
          <w:sz w:val="24"/>
          <w:vertAlign w:val="superscript"/>
        </w:rPr>
        <w:t>3</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对于煤气净化系统的各类设备，采用密闭结构以防止其废气泄漏。</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冷凝鼓风工段各槽类设备等放散气体集中接入负压煤气管道，不外排。</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粗苯蒸馏工段各油槽分离器和设备管道放散管排出的放散气体集中接入负压煤气管道，不外排。</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硫铵工段干燥系统排放的尾气，经旋风除尘+湿式洗涤两级净化后由23m高烟囱（12#）排放。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各贮槽放散管排出的放散气体集中接入负压煤气管道，不外排。</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粗苯管式炉燃烧高、焦混合煤气产生的含SO</w:t>
      </w:r>
      <w:r>
        <w:rPr>
          <w:rFonts w:ascii="Times New Roman" w:hAnsi="Times New Roman" w:eastAsia="宋体" w:cs="Times New Roman"/>
          <w:sz w:val="24"/>
          <w:vertAlign w:val="subscript"/>
        </w:rPr>
        <w:t>2</w:t>
      </w:r>
      <w:r>
        <w:rPr>
          <w:rFonts w:ascii="Times New Roman" w:hAnsi="Times New Roman" w:eastAsia="宋体" w:cs="Times New Roman"/>
          <w:sz w:val="24"/>
        </w:rPr>
        <w:t>、NOx及少量尘的烟气，经25m高烟囱（13#）排放。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宋体" w:hAnsi="宋体" w:eastAsia="宋体" w:cs="宋体"/>
          <w:sz w:val="24"/>
          <w:lang w:eastAsia="ja-JP"/>
        </w:rPr>
        <w:t>⑤</w:t>
      </w:r>
      <w:r>
        <w:rPr>
          <w:rFonts w:ascii="Times New Roman" w:hAnsi="Times New Roman" w:eastAsia="宋体" w:cs="Times New Roman"/>
          <w:sz w:val="24"/>
        </w:rPr>
        <w:t>筛焦工段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焦炭在筛分、转运、贮存过程中产生的焦尘，采用1套袋式除尘器净化，净化后废气由27m高烟囱（10#）排放。焦转运站及运焦通廊采用封闭设计，可避免焦尘外逸造成污染。</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为减少炉门、集气管、装煤孔等处泄漏的烟尘、SO</w:t>
      </w:r>
      <w:r>
        <w:rPr>
          <w:rFonts w:ascii="Times New Roman" w:hAnsi="Times New Roman" w:eastAsia="宋体" w:cs="Times New Roman"/>
          <w:sz w:val="24"/>
          <w:vertAlign w:val="subscript"/>
        </w:rPr>
        <w:t>2</w:t>
      </w:r>
      <w:r>
        <w:rPr>
          <w:rFonts w:ascii="Times New Roman" w:hAnsi="Times New Roman" w:eastAsia="宋体" w:cs="Times New Roman"/>
          <w:sz w:val="24"/>
        </w:rPr>
        <w:t>、BaP等有害物质，设置了1套焦炉装煤、出焦过程中逸散烟尘的收集处理装置，即在2座焦炉顶部设置2个烟气收集装置（即排烟罩），将其收集到的含尘烟气通过除尘管道送入除尘地面站，经袋式除尘器净化后由30m高烟囱（8#）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（5）炼铁</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原、燃料转运站内胶带机在转运过程产生的含尘气体，采用3套袋式除尘器净化，净化后烟气分别经25m高烟囱（21#、22#、23#）排放。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2座高炉出铁时出铁口、砂口、铁沟、渣沟、摆动流槽等处散发的烟尘，采用排烟罩捕集方式，经袋式除尘器净化后分别由25m高烟囱（27#、34#）排放。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2座高炉炉顶皮带卸料点产生的粉尘，经袋式除尘器净化后分别由高20m烟囱（28#、35#）排放。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2座高炉矿/焦槽槽上及槽下振动筛、称量漏斗、胶带机等受料点设有密闭抽风装置，抽出的含尘废气经袋式除尘器净化后分别由23m高烟囱（24#、31#）排放。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高炉煤气采用干法除尘系统，煤气净化后含尘浓度≤10mg/m</w:t>
      </w:r>
      <w:r>
        <w:rPr>
          <w:rFonts w:ascii="Times New Roman" w:hAnsi="Times New Roman" w:eastAsia="宋体" w:cs="Times New Roman"/>
          <w:color w:val="auto"/>
          <w:sz w:val="24"/>
          <w:vertAlign w:val="superscript"/>
        </w:rPr>
        <w:t>3</w:t>
      </w:r>
      <w:r>
        <w:rPr>
          <w:rFonts w:ascii="Times New Roman" w:hAnsi="Times New Roman" w:eastAsia="宋体" w:cs="Times New Roman"/>
          <w:color w:val="auto"/>
          <w:sz w:val="24"/>
        </w:rPr>
        <w:t>，除供高炉热风炉自用外，其余供其他用户使用。</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2座高炉煤粉制备系统从烟气升温炉至煤粉仓，全部采用负压操作，以避免煤粉外逸污染环境；磨煤过程中产生的煤粉由气力输送进入袋式收粉器，将煤粉分离后进入煤粉仓，净化后气体分别经40m高烟囱（25#、32#）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2座热风炉燃用高炉煤气产生的含SO</w:t>
      </w:r>
      <w:r>
        <w:rPr>
          <w:rFonts w:ascii="Times New Roman" w:hAnsi="Times New Roman" w:eastAsia="宋体" w:cs="Times New Roman"/>
          <w:color w:val="auto"/>
          <w:sz w:val="24"/>
          <w:vertAlign w:val="subscript"/>
        </w:rPr>
        <w:t>2</w:t>
      </w:r>
      <w:r>
        <w:rPr>
          <w:rFonts w:ascii="Times New Roman" w:hAnsi="Times New Roman" w:eastAsia="宋体" w:cs="Times New Roman"/>
          <w:color w:val="auto"/>
          <w:sz w:val="24"/>
        </w:rPr>
        <w:t>、NOx及少量尘的烟气，分别经60m高烟囱（26#、33#）排放。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（6）铸管</w:t>
      </w:r>
    </w:p>
    <w:p>
      <w:pPr>
        <w:keepNext w:val="0"/>
        <w:keepLines w:val="0"/>
        <w:pageBreakBefore w:val="0"/>
        <w:kinsoku/>
        <w:wordWrap/>
        <w:bidi w:val="0"/>
        <w:snapToGrid/>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混铁炉出入铁水时产生的烟尘，工频炉入料出料、增温调质和球化喂丝产生的烟尘，分别经混铁炉顶吸罩、工频炉第四孔排烟、球化转包顶吸罩、车间屋顶罩捕集后送至袋式除尘器净化，净化后烟气经高29m（56#）、27m（57#、58#）的排气筒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离心浇注过程中产生的含尘烟气经顶吸罩捕集后送袋式除尘器净化，净化后烟气经高26m（59#）烟囱排放。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铸管磨承插口、磨内壁及切环倒角等工序产生的含尘废气，采用袋式除尘器净化，净化后烟气经高20m（6</w:t>
      </w:r>
      <w:r>
        <w:rPr>
          <w:rFonts w:hint="eastAsia" w:ascii="Times New Roman" w:hAnsi="Times New Roman" w:eastAsia="宋体" w:cs="Times New Roman"/>
          <w:color w:val="auto"/>
          <w:sz w:val="24"/>
          <w:lang w:val="en-US" w:eastAsia="zh-CN"/>
        </w:rPr>
        <w:t>6</w:t>
      </w:r>
      <w:r>
        <w:rPr>
          <w:rFonts w:ascii="Times New Roman" w:hAnsi="Times New Roman" w:eastAsia="宋体" w:cs="Times New Roman"/>
          <w:color w:val="auto"/>
          <w:sz w:val="24"/>
        </w:rPr>
        <w:t>#）、27m（6</w:t>
      </w:r>
      <w:r>
        <w:rPr>
          <w:rFonts w:hint="eastAsia" w:ascii="Times New Roman" w:hAnsi="Times New Roman" w:eastAsia="宋体" w:cs="Times New Roman"/>
          <w:color w:val="auto"/>
          <w:sz w:val="24"/>
          <w:lang w:val="en-US" w:eastAsia="zh-CN"/>
        </w:rPr>
        <w:t>7</w:t>
      </w:r>
      <w:r>
        <w:rPr>
          <w:rFonts w:ascii="Times New Roman" w:hAnsi="Times New Roman" w:eastAsia="宋体" w:cs="Times New Roman"/>
          <w:color w:val="auto"/>
          <w:sz w:val="24"/>
        </w:rPr>
        <w:t>#、6</w:t>
      </w:r>
      <w:r>
        <w:rPr>
          <w:rFonts w:hint="eastAsia" w:ascii="Times New Roman" w:hAnsi="Times New Roman" w:eastAsia="宋体" w:cs="Times New Roman"/>
          <w:color w:val="auto"/>
          <w:sz w:val="24"/>
          <w:lang w:val="en-US" w:eastAsia="zh-CN"/>
        </w:rPr>
        <w:t>8</w:t>
      </w:r>
      <w:r>
        <w:rPr>
          <w:rFonts w:ascii="Times New Roman" w:hAnsi="Times New Roman" w:eastAsia="宋体" w:cs="Times New Roman"/>
          <w:color w:val="auto"/>
          <w:sz w:val="24"/>
        </w:rPr>
        <w:t>#）烟囱排放。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熔化的锌丝经过喷枪喷到铸管表面时有高温含尘烟气产生，采用重力除尘加袋式除尘的方式净化，净化后烟气经高18m（63#）、21m（64#）、27m（65#）烟囱排放。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铸管外壁喷涂沥青漆、喷漆后烘干均在密闭空间内进行，挥发出来的漆雾、废气经抽吸后送至退火炉中燃烧，热模及水冷退火炉采用净化后的焦炉煤气作燃料，燃烧产生的含SO</w:t>
      </w:r>
      <w:r>
        <w:rPr>
          <w:rFonts w:ascii="Times New Roman" w:hAnsi="Times New Roman" w:eastAsia="宋体" w:cs="Times New Roman"/>
          <w:color w:val="auto"/>
          <w:sz w:val="24"/>
          <w:vertAlign w:val="subscript"/>
        </w:rPr>
        <w:t>2</w:t>
      </w:r>
      <w:r>
        <w:rPr>
          <w:rFonts w:ascii="Times New Roman" w:hAnsi="Times New Roman" w:eastAsia="宋体" w:cs="Times New Roman"/>
          <w:color w:val="auto"/>
          <w:sz w:val="24"/>
        </w:rPr>
        <w:t>、NO</w:t>
      </w:r>
      <w:r>
        <w:rPr>
          <w:rFonts w:ascii="Times New Roman" w:hAnsi="Times New Roman" w:eastAsia="宋体" w:cs="Times New Roman"/>
          <w:color w:val="auto"/>
          <w:sz w:val="24"/>
          <w:vertAlign w:val="subscript"/>
        </w:rPr>
        <w:t>x</w:t>
      </w:r>
      <w:r>
        <w:rPr>
          <w:rFonts w:ascii="Times New Roman" w:hAnsi="Times New Roman" w:eastAsia="宋体" w:cs="Times New Roman"/>
          <w:color w:val="auto"/>
          <w:sz w:val="24"/>
        </w:rPr>
        <w:t>及少量烟尘烟气经高20m（61#、62#）烟囱排放。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制芯烘砂产生的含尘废气，采用湿法+旋风除尘除尘器净化，净化后烟气经高15m（</w:t>
      </w:r>
      <w:r>
        <w:rPr>
          <w:rFonts w:hint="eastAsia" w:ascii="Times New Roman" w:hAnsi="Times New Roman" w:eastAsia="宋体" w:cs="Times New Roman"/>
          <w:color w:val="auto"/>
          <w:sz w:val="24"/>
          <w:lang w:val="en-US" w:eastAsia="zh-CN"/>
        </w:rPr>
        <w:t>70</w:t>
      </w:r>
      <w:r>
        <w:rPr>
          <w:rFonts w:ascii="Times New Roman" w:hAnsi="Times New Roman" w:eastAsia="宋体" w:cs="Times New Roman"/>
          <w:color w:val="auto"/>
          <w:sz w:val="24"/>
        </w:rPr>
        <w:t>#）烟囱排放。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砂芯硬化成型过程中有三乙胺废气产生，选用2%-4%的稀磷酸溶液在封闭的净化器中喷淋吸收三乙胺尾气，净化后的尾气通过高15m</w:t>
      </w:r>
      <w:r>
        <w:rPr>
          <w:rFonts w:ascii="Times New Roman" w:hAnsi="Times New Roman" w:eastAsia="宋体" w:cs="Times New Roman"/>
          <w:color w:val="FF0000"/>
          <w:sz w:val="24"/>
          <w:szCs w:val="24"/>
        </w:rPr>
        <w:t>（72#）</w:t>
      </w:r>
      <w:r>
        <w:rPr>
          <w:rFonts w:ascii="Times New Roman" w:hAnsi="Times New Roman" w:eastAsia="宋体" w:cs="Times New Roman"/>
          <w:color w:val="auto"/>
          <w:sz w:val="24"/>
          <w:szCs w:val="24"/>
        </w:rPr>
        <w:t>的排气筒外排。</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（7）炼钢</w:t>
      </w:r>
    </w:p>
    <w:p>
      <w:pPr>
        <w:keepNext w:val="0"/>
        <w:keepLines w:val="0"/>
        <w:pageBreakBefore w:val="0"/>
        <w:kinsoku/>
        <w:wordWrap/>
        <w:bidi w:val="0"/>
        <w:snapToGrid/>
        <w:spacing w:line="360" w:lineRule="auto"/>
        <w:ind w:firstLine="480" w:firstLineChars="200"/>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2座转炉一次烟气采用LT法干式电除尘净化并回收煤气，即炉内烟气经烟罩捕集后送入汽化冷却烟道，用以回收煤气中的显热，然后经蒸发冷却器喷水降温，再进入圆筒形电除尘器进一步净化，净化后的煤气由风机引出。回收期煤气经冷却塔降温后送入煤气柜贮存，非回收期煤气分别经80m（37#、40#）高放散烟囱点火放散。</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转炉二次烟气采用袋式除尘器净化，净化后烟气由高35m（38#）烟囱排放。</w:t>
      </w:r>
    </w:p>
    <w:p>
      <w:pPr>
        <w:keepNext w:val="0"/>
        <w:keepLines w:val="0"/>
        <w:pageBreakBefore w:val="0"/>
        <w:kinsoku/>
        <w:wordWrap/>
        <w:bidi w:val="0"/>
        <w:snapToGrid/>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拆炉、拆包、连铸中间罐倾翻时产生的瞬时粉尘，经集气罩捕集后并入铁水预处理除尘系统。铁水预处理产生的含尘烟气经集气罩捕集后送袋式除尘器净化，净化后烟气分别经高35m（36#）烟囱排放。</w:t>
      </w:r>
    </w:p>
    <w:p>
      <w:pPr>
        <w:keepNext w:val="0"/>
        <w:keepLines w:val="0"/>
        <w:pageBreakBefore w:val="0"/>
        <w:kinsoku/>
        <w:wordWrap/>
        <w:bidi w:val="0"/>
        <w:snapToGrid/>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转炉辅原料上料系统、地下料仓等产生的粉尘，经集气罩捕集后送精炼炉除尘系统。LF精炼产生的烟尘，经集气罩捕集后送袋式除尘器净化，净化后烟气经高35m（39#）烟囱排放。</w:t>
      </w:r>
    </w:p>
    <w:p>
      <w:pPr>
        <w:keepNext w:val="0"/>
        <w:keepLines w:val="0"/>
        <w:pageBreakBefore w:val="0"/>
        <w:kinsoku/>
        <w:wordWrap/>
        <w:bidi w:val="0"/>
        <w:snapToGrid/>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连铸结晶器加保护渣时产生的少量含尘烟气，设专用风机将其引入连铸二冷室，利用二冷室内的大量水雾将其净化后，随二冷水进入沉淀池沉淀。</w:t>
      </w:r>
    </w:p>
    <w:p>
      <w:pPr>
        <w:keepNext w:val="0"/>
        <w:keepLines w:val="0"/>
        <w:pageBreakBefore w:val="0"/>
        <w:kinsoku/>
        <w:wordWrap/>
        <w:bidi w:val="0"/>
        <w:snapToGrid/>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铁水罐、钢水罐及连铸中间罐烘烤、干燥所用燃料为转炉煤气，由于该煤气已经过除尘净化处理，燃烧废气由厂房天窗外排。</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（8）轧钢</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轧钢各生产线加热炉燃用煤气产生的烟气，分别经25m（46#</w:t>
      </w:r>
      <w:r>
        <w:rPr>
          <w:rFonts w:hint="eastAsia" w:ascii="Times New Roman" w:hAnsi="Times New Roman" w:eastAsia="宋体" w:cs="Times New Roman"/>
          <w:color w:val="auto"/>
          <w:sz w:val="24"/>
        </w:rPr>
        <w:t>、47</w:t>
      </w:r>
      <w:r>
        <w:rPr>
          <w:rFonts w:ascii="Times New Roman" w:hAnsi="Times New Roman" w:eastAsia="宋体" w:cs="Times New Roman"/>
          <w:color w:val="auto"/>
          <w:sz w:val="24"/>
        </w:rPr>
        <w:t>#）、30m（48#、49#、50#、51#、52#、53#、54#、55#）高烟囱排放。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（9）矿渣微粉生产线</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矿渣除铁、皮带转运、立磨、选粉、矿粉转运、汽车散装过程中产生的粉尘，经捕集后送2套袋式除尘器净化，净化后烟气由一根高50m（29#）烟囱排放。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（10）发电站</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2台130t/h全燃煤气的高温高压锅炉燃煤气产生的含SO</w:t>
      </w:r>
      <w:r>
        <w:rPr>
          <w:rFonts w:ascii="Times New Roman" w:hAnsi="Times New Roman" w:eastAsia="宋体" w:cs="Times New Roman"/>
          <w:color w:val="auto"/>
          <w:sz w:val="24"/>
          <w:vertAlign w:val="subscript"/>
        </w:rPr>
        <w:t>2</w:t>
      </w:r>
      <w:r>
        <w:rPr>
          <w:rFonts w:ascii="Times New Roman" w:hAnsi="Times New Roman" w:eastAsia="宋体" w:cs="Times New Roman"/>
          <w:color w:val="auto"/>
          <w:sz w:val="24"/>
        </w:rPr>
        <w:t>、NOx及少量尘的烟气经高60m（1#）烟囱排放。</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FF0000"/>
          <w:sz w:val="24"/>
        </w:rPr>
      </w:pPr>
      <w:r>
        <w:rPr>
          <w:rFonts w:hint="eastAsia" w:ascii="Times New Roman" w:hAnsi="Times New Roman" w:eastAsia="宋体" w:cs="Times New Roman"/>
          <w:color w:val="auto"/>
          <w:sz w:val="24"/>
          <w:lang w:val="en-US" w:eastAsia="zh-CN"/>
        </w:rPr>
        <w:t>1台60t/h</w:t>
      </w:r>
      <w:r>
        <w:rPr>
          <w:rFonts w:ascii="Times New Roman" w:hAnsi="Times New Roman" w:eastAsia="宋体" w:cs="Times New Roman"/>
          <w:color w:val="auto"/>
          <w:sz w:val="24"/>
        </w:rPr>
        <w:t>过热炉燃烧煤气产生的含SO</w:t>
      </w:r>
      <w:r>
        <w:rPr>
          <w:rFonts w:ascii="Times New Roman" w:hAnsi="Times New Roman" w:eastAsia="宋体" w:cs="Times New Roman"/>
          <w:color w:val="auto"/>
          <w:sz w:val="24"/>
          <w:vertAlign w:val="subscript"/>
        </w:rPr>
        <w:t>2</w:t>
      </w:r>
      <w:r>
        <w:rPr>
          <w:rFonts w:ascii="Times New Roman" w:hAnsi="Times New Roman" w:eastAsia="宋体" w:cs="Times New Roman"/>
          <w:color w:val="auto"/>
          <w:sz w:val="24"/>
        </w:rPr>
        <w:t>、NO</w:t>
      </w:r>
      <w:r>
        <w:rPr>
          <w:rFonts w:ascii="Times New Roman" w:hAnsi="Times New Roman" w:eastAsia="宋体" w:cs="Times New Roman"/>
          <w:color w:val="auto"/>
          <w:sz w:val="24"/>
          <w:vertAlign w:val="subscript"/>
        </w:rPr>
        <w:t>x</w:t>
      </w:r>
      <w:r>
        <w:rPr>
          <w:rFonts w:ascii="Times New Roman" w:hAnsi="Times New Roman" w:eastAsia="宋体" w:cs="Times New Roman"/>
          <w:color w:val="auto"/>
          <w:sz w:val="24"/>
        </w:rPr>
        <w:t>的烟气经高25m（2#）烟囱排放。</w:t>
      </w:r>
    </w:p>
    <w:p>
      <w:pPr>
        <w:spacing w:line="360" w:lineRule="auto"/>
        <w:outlineLvl w:val="3"/>
        <w:rPr>
          <w:rFonts w:ascii="Times New Roman" w:hAnsi="Times New Roman" w:eastAsia="黑体" w:cs="Times New Roman"/>
          <w:color w:val="FF0000"/>
          <w:sz w:val="24"/>
          <w:szCs w:val="24"/>
        </w:rPr>
      </w:pPr>
      <w:r>
        <w:rPr>
          <w:rFonts w:hint="eastAsia" w:ascii="Times New Roman" w:hAnsi="Times New Roman" w:eastAsia="黑体" w:cs="Times New Roman"/>
          <w:color w:val="FF0000"/>
          <w:sz w:val="24"/>
          <w:szCs w:val="24"/>
        </w:rPr>
        <w:t>3.3.1.3废气污染物达标排放分析</w:t>
      </w:r>
    </w:p>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根据安徽世标检测技术有限公司于2019年4月8日~10日对现有厂区废气的检测报告和</w:t>
      </w:r>
      <w:r>
        <w:rPr>
          <w:rFonts w:hint="eastAsia" w:ascii="Times New Roman" w:hAnsi="Times New Roman" w:eastAsia="宋体" w:cs="Times New Roman"/>
          <w:bCs/>
          <w:color w:val="FF0000"/>
          <w:sz w:val="24"/>
          <w:szCs w:val="24"/>
        </w:rPr>
        <w:t>2018年</w:t>
      </w:r>
      <w:r>
        <w:rPr>
          <w:rFonts w:ascii="Times New Roman" w:hAnsi="Times New Roman" w:eastAsia="宋体" w:cs="Times New Roman"/>
          <w:bCs/>
          <w:color w:val="FF0000"/>
          <w:sz w:val="24"/>
          <w:szCs w:val="24"/>
        </w:rPr>
        <w:t>安徽基越环境监测公司</w:t>
      </w:r>
      <w:r>
        <w:rPr>
          <w:rFonts w:hint="eastAsia" w:ascii="Times New Roman" w:hAnsi="Times New Roman" w:eastAsia="宋体" w:cs="Times New Roman"/>
          <w:bCs/>
          <w:color w:val="FF0000"/>
          <w:sz w:val="24"/>
          <w:szCs w:val="24"/>
        </w:rPr>
        <w:t>对厂区例行</w:t>
      </w:r>
      <w:r>
        <w:rPr>
          <w:rFonts w:ascii="Times New Roman" w:hAnsi="Times New Roman" w:eastAsia="宋体" w:cs="Times New Roman"/>
          <w:color w:val="FF0000"/>
          <w:sz w:val="24"/>
        </w:rPr>
        <w:t>检测报告，废气设施出口检测结果见表3.3-</w:t>
      </w:r>
      <w:r>
        <w:rPr>
          <w:rFonts w:hint="eastAsia" w:ascii="Times New Roman" w:hAnsi="Times New Roman" w:eastAsia="宋体" w:cs="Times New Roman"/>
          <w:color w:val="FF0000"/>
          <w:sz w:val="24"/>
          <w:lang w:val="en-US" w:eastAsia="zh-CN"/>
        </w:rPr>
        <w:t>2</w:t>
      </w:r>
      <w:r>
        <w:rPr>
          <w:rFonts w:hint="eastAsia" w:ascii="Times New Roman" w:hAnsi="Times New Roman" w:eastAsia="宋体" w:cs="Times New Roman"/>
          <w:color w:val="FF0000"/>
          <w:sz w:val="24"/>
        </w:rPr>
        <w:t>至</w:t>
      </w:r>
      <w:r>
        <w:rPr>
          <w:rFonts w:ascii="Times New Roman" w:hAnsi="Times New Roman" w:eastAsia="宋体" w:cs="Times New Roman"/>
          <w:color w:val="FF0000"/>
          <w:sz w:val="24"/>
        </w:rPr>
        <w:t>3.3-1</w:t>
      </w:r>
      <w:r>
        <w:rPr>
          <w:rFonts w:hint="eastAsia" w:ascii="Times New Roman" w:hAnsi="Times New Roman" w:eastAsia="宋体" w:cs="Times New Roman"/>
          <w:color w:val="FF0000"/>
          <w:sz w:val="24"/>
          <w:lang w:val="en-US" w:eastAsia="zh-CN"/>
        </w:rPr>
        <w:t>6</w:t>
      </w:r>
      <w:r>
        <w:rPr>
          <w:rFonts w:ascii="Times New Roman" w:hAnsi="Times New Roman" w:eastAsia="宋体" w:cs="Times New Roman"/>
          <w:color w:val="FF0000"/>
          <w:sz w:val="24"/>
        </w:rPr>
        <w:t>。</w:t>
      </w:r>
    </w:p>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（1）有组织污染物达标排放分析</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w:t>
      </w:r>
      <w:r>
        <w:rPr>
          <w:rFonts w:hint="eastAsia" w:ascii="Times New Roman" w:hAnsi="Times New Roman" w:eastAsia="黑体" w:cs="Times New Roman"/>
          <w:color w:val="FF0000"/>
          <w:sz w:val="24"/>
          <w:lang w:val="en-US" w:eastAsia="zh-CN"/>
        </w:rPr>
        <w:t>2</w:t>
      </w:r>
      <w:r>
        <w:rPr>
          <w:rFonts w:ascii="Times New Roman" w:hAnsi="Times New Roman" w:eastAsia="黑体" w:cs="Times New Roman"/>
          <w:color w:val="FF0000"/>
          <w:sz w:val="24"/>
        </w:rPr>
        <w:t xml:space="preserve">  石灰窑工序废气检测结果表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1"/>
        <w:gridCol w:w="1786"/>
        <w:gridCol w:w="1155"/>
        <w:gridCol w:w="1276"/>
        <w:gridCol w:w="1134"/>
        <w:gridCol w:w="1134"/>
        <w:gridCol w:w="11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采样日期</w:t>
            </w:r>
          </w:p>
        </w:tc>
        <w:tc>
          <w:tcPr>
            <w:tcW w:w="1786"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检测点位</w:t>
            </w:r>
          </w:p>
        </w:tc>
        <w:tc>
          <w:tcPr>
            <w:tcW w:w="1155"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检测因子</w:t>
            </w:r>
          </w:p>
        </w:tc>
        <w:tc>
          <w:tcPr>
            <w:tcW w:w="1276"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检测频次</w:t>
            </w:r>
          </w:p>
        </w:tc>
        <w:tc>
          <w:tcPr>
            <w:tcW w:w="1134"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废气流量</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（Nm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/h）</w:t>
            </w:r>
          </w:p>
        </w:tc>
        <w:tc>
          <w:tcPr>
            <w:tcW w:w="1134"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排放浓度（mg/m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w:t>
            </w:r>
          </w:p>
        </w:tc>
        <w:tc>
          <w:tcPr>
            <w:tcW w:w="1176"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排放速率</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2019.04.09</w:t>
            </w:r>
          </w:p>
        </w:tc>
        <w:tc>
          <w:tcPr>
            <w:tcW w:w="1786"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w:t>
            </w:r>
            <w:r>
              <w:rPr>
                <w:rFonts w:ascii="Times New Roman" w:hAnsi="Times New Roman" w:eastAsia="宋体" w:cs="Times New Roman"/>
                <w:color w:val="FF0000"/>
                <w:szCs w:val="21"/>
              </w:rPr>
              <w:t>2#排气筒（上料转运出口）</w:t>
            </w:r>
          </w:p>
        </w:tc>
        <w:tc>
          <w:tcPr>
            <w:tcW w:w="115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37347</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8.1</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35568</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0.302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37945</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7.9</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0.300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134"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36953</w:t>
            </w:r>
          </w:p>
        </w:tc>
        <w:tc>
          <w:tcPr>
            <w:tcW w:w="1134"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8.2</w:t>
            </w:r>
          </w:p>
        </w:tc>
        <w:tc>
          <w:tcPr>
            <w:tcW w:w="11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41#排气筒（1#窑尾焙烧烟气出口）</w:t>
            </w:r>
          </w:p>
        </w:tc>
        <w:tc>
          <w:tcPr>
            <w:tcW w:w="115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141272</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13.4</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1.89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133478</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11.5</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1.53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140294</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13.1</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1.84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134"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138348</w:t>
            </w:r>
          </w:p>
        </w:tc>
        <w:tc>
          <w:tcPr>
            <w:tcW w:w="1134"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12.7</w:t>
            </w:r>
          </w:p>
        </w:tc>
        <w:tc>
          <w:tcPr>
            <w:tcW w:w="11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212283</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212350</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216023</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134"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213552</w:t>
            </w:r>
          </w:p>
        </w:tc>
        <w:tc>
          <w:tcPr>
            <w:tcW w:w="1134"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33</w:t>
            </w:r>
          </w:p>
        </w:tc>
        <w:tc>
          <w:tcPr>
            <w:tcW w:w="11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43</w:t>
            </w:r>
            <w:r>
              <w:rPr>
                <w:rFonts w:ascii="Times New Roman" w:hAnsi="Times New Roman" w:eastAsia="宋体" w:cs="Times New Roman"/>
                <w:color w:val="FF0000"/>
                <w:szCs w:val="21"/>
              </w:rPr>
              <w:t>#</w:t>
            </w:r>
            <w:r>
              <w:rPr>
                <w:rFonts w:hint="eastAsia" w:ascii="Times New Roman" w:hAnsi="Times New Roman" w:eastAsia="宋体" w:cs="Times New Roman"/>
                <w:color w:val="FF0000"/>
                <w:szCs w:val="21"/>
              </w:rPr>
              <w:t>排气筒</w:t>
            </w:r>
            <w:r>
              <w:rPr>
                <w:rFonts w:ascii="Times New Roman" w:hAnsi="Times New Roman" w:eastAsia="宋体" w:cs="Times New Roman"/>
                <w:color w:val="FF0000"/>
                <w:szCs w:val="21"/>
              </w:rPr>
              <w:t>（成品冷却除尘出口）</w:t>
            </w:r>
          </w:p>
        </w:tc>
        <w:tc>
          <w:tcPr>
            <w:tcW w:w="115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19198</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7.5</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18642</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18831</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7.1</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134"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18890</w:t>
            </w:r>
          </w:p>
        </w:tc>
        <w:tc>
          <w:tcPr>
            <w:tcW w:w="1134"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7.1</w:t>
            </w:r>
          </w:p>
        </w:tc>
        <w:tc>
          <w:tcPr>
            <w:tcW w:w="11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44</w:t>
            </w:r>
            <w:r>
              <w:rPr>
                <w:rFonts w:ascii="Times New Roman" w:hAnsi="Times New Roman" w:eastAsia="宋体" w:cs="Times New Roman"/>
                <w:color w:val="FF0000"/>
                <w:szCs w:val="21"/>
              </w:rPr>
              <w:t>#排气筒</w:t>
            </w:r>
            <w:r>
              <w:rPr>
                <w:rFonts w:hint="eastAsia" w:ascii="Times New Roman" w:hAnsi="Times New Roman" w:eastAsia="宋体" w:cs="Times New Roman"/>
                <w:color w:val="FF0000"/>
                <w:szCs w:val="21"/>
              </w:rPr>
              <w:t>（</w:t>
            </w:r>
            <w:r>
              <w:rPr>
                <w:rFonts w:ascii="Times New Roman" w:hAnsi="Times New Roman" w:eastAsia="宋体" w:cs="Times New Roman"/>
                <w:color w:val="FF0000"/>
                <w:szCs w:val="21"/>
              </w:rPr>
              <w:t>成品冷却、卸料、破碎除尘出口</w:t>
            </w:r>
            <w:r>
              <w:rPr>
                <w:rFonts w:hint="eastAsia" w:ascii="Times New Roman" w:hAnsi="Times New Roman" w:eastAsia="宋体" w:cs="Times New Roman"/>
                <w:color w:val="FF0000"/>
                <w:szCs w:val="21"/>
              </w:rPr>
              <w:t>）</w:t>
            </w:r>
          </w:p>
        </w:tc>
        <w:tc>
          <w:tcPr>
            <w:tcW w:w="115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65974</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12.7</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0.838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67251</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13.5</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0.908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67729</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13.2</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0.894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134"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66985</w:t>
            </w:r>
          </w:p>
        </w:tc>
        <w:tc>
          <w:tcPr>
            <w:tcW w:w="1134"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13.13</w:t>
            </w:r>
          </w:p>
        </w:tc>
        <w:tc>
          <w:tcPr>
            <w:tcW w:w="11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45</w:t>
            </w:r>
            <w:r>
              <w:rPr>
                <w:rFonts w:ascii="Times New Roman" w:hAnsi="Times New Roman" w:eastAsia="宋体" w:cs="Times New Roman"/>
                <w:color w:val="FF0000"/>
                <w:szCs w:val="21"/>
              </w:rPr>
              <w:t>#排气筒（成品卸料除尘</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出口）</w:t>
            </w:r>
          </w:p>
        </w:tc>
        <w:tc>
          <w:tcPr>
            <w:tcW w:w="115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68147</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17.4</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1.19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68665</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17.6</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1.21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68926</w:t>
            </w:r>
          </w:p>
        </w:tc>
        <w:tc>
          <w:tcPr>
            <w:tcW w:w="113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17.2</w:t>
            </w:r>
          </w:p>
        </w:tc>
        <w:tc>
          <w:tcPr>
            <w:tcW w:w="117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1.19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vAlign w:val="center"/>
          </w:tcPr>
          <w:p>
            <w:pPr>
              <w:jc w:val="center"/>
              <w:rPr>
                <w:rFonts w:ascii="Times New Roman" w:hAnsi="Times New Roman" w:eastAsia="宋体" w:cs="Times New Roman"/>
                <w:color w:val="FF0000"/>
                <w:szCs w:val="21"/>
              </w:rPr>
            </w:pPr>
          </w:p>
        </w:tc>
        <w:tc>
          <w:tcPr>
            <w:tcW w:w="1786" w:type="dxa"/>
            <w:vMerge w:val="continue"/>
            <w:vAlign w:val="center"/>
          </w:tcPr>
          <w:p>
            <w:pPr>
              <w:jc w:val="center"/>
              <w:rPr>
                <w:rFonts w:ascii="Times New Roman" w:hAnsi="Times New Roman" w:eastAsia="宋体" w:cs="Times New Roman"/>
                <w:color w:val="FF0000"/>
                <w:szCs w:val="21"/>
              </w:rPr>
            </w:pPr>
          </w:p>
        </w:tc>
        <w:tc>
          <w:tcPr>
            <w:tcW w:w="1155" w:type="dxa"/>
            <w:vMerge w:val="continue"/>
            <w:vAlign w:val="center"/>
          </w:tcPr>
          <w:p>
            <w:pPr>
              <w:jc w:val="center"/>
              <w:rPr>
                <w:rFonts w:ascii="Times New Roman" w:hAnsi="Times New Roman" w:eastAsia="宋体" w:cs="Times New Roman"/>
                <w:color w:val="FF0000"/>
                <w:szCs w:val="21"/>
              </w:rPr>
            </w:pPr>
          </w:p>
        </w:tc>
        <w:tc>
          <w:tcPr>
            <w:tcW w:w="1276"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134"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68579</w:t>
            </w:r>
          </w:p>
        </w:tc>
        <w:tc>
          <w:tcPr>
            <w:tcW w:w="1134"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17.4</w:t>
            </w:r>
          </w:p>
        </w:tc>
        <w:tc>
          <w:tcPr>
            <w:tcW w:w="11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1.20</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由监测结果可知，石灰窑工序废气经处理后可满足《炼钢工业大气污染物排放标准》（GB28664-2012）表2排放限值要求；上料转运、成品冷却废气经处理后可满足钢铁行业超低排放标准限值要求</w:t>
      </w:r>
      <w:r>
        <w:rPr>
          <w:rFonts w:hint="eastAsia" w:ascii="Times New Roman" w:hAnsi="Times New Roman" w:eastAsia="宋体" w:cs="Times New Roman"/>
          <w:color w:val="FF0000"/>
          <w:sz w:val="24"/>
        </w:rPr>
        <w:t>（颗粒物10mg/m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，石灰窑工序其他废气经处理后</w:t>
      </w:r>
      <w:r>
        <w:rPr>
          <w:rFonts w:hint="eastAsia" w:ascii="Times New Roman" w:hAnsi="Times New Roman" w:eastAsia="宋体" w:cs="Times New Roman"/>
          <w:color w:val="FF0000"/>
          <w:sz w:val="24"/>
        </w:rPr>
        <w:t>均</w:t>
      </w:r>
      <w:r>
        <w:rPr>
          <w:rFonts w:ascii="Times New Roman" w:hAnsi="Times New Roman" w:eastAsia="宋体" w:cs="Times New Roman"/>
          <w:color w:val="FF0000"/>
          <w:sz w:val="24"/>
        </w:rPr>
        <w:t>不能满足钢铁行业超低排放标准限值要求。</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w:t>
      </w:r>
      <w:r>
        <w:rPr>
          <w:rFonts w:hint="eastAsia" w:ascii="Times New Roman" w:hAnsi="Times New Roman" w:eastAsia="黑体" w:cs="Times New Roman"/>
          <w:color w:val="FF0000"/>
          <w:sz w:val="24"/>
          <w:lang w:val="en-US" w:eastAsia="zh-CN"/>
        </w:rPr>
        <w:t>3</w:t>
      </w:r>
      <w:r>
        <w:rPr>
          <w:rFonts w:ascii="Times New Roman" w:hAnsi="Times New Roman" w:eastAsia="黑体" w:cs="Times New Roman"/>
          <w:color w:val="FF0000"/>
          <w:sz w:val="24"/>
        </w:rPr>
        <w:t xml:space="preserve">  铸管工序废气检测结果表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45"/>
        <w:gridCol w:w="1109"/>
        <w:gridCol w:w="1302"/>
        <w:gridCol w:w="1446"/>
        <w:gridCol w:w="1320"/>
        <w:gridCol w:w="13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检测点位</w:t>
            </w:r>
          </w:p>
        </w:tc>
        <w:tc>
          <w:tcPr>
            <w:tcW w:w="1109"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检测因子</w:t>
            </w:r>
          </w:p>
        </w:tc>
        <w:tc>
          <w:tcPr>
            <w:tcW w:w="1302"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检测频次</w:t>
            </w:r>
          </w:p>
        </w:tc>
        <w:tc>
          <w:tcPr>
            <w:tcW w:w="1446"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废气流量</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（Nm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/h）</w:t>
            </w:r>
          </w:p>
        </w:tc>
        <w:tc>
          <w:tcPr>
            <w:tcW w:w="1320"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排放浓度（mg/m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w:t>
            </w:r>
          </w:p>
        </w:tc>
        <w:tc>
          <w:tcPr>
            <w:tcW w:w="1350"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排放速率</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56</w:t>
            </w:r>
            <w:r>
              <w:rPr>
                <w:rFonts w:ascii="Times New Roman" w:hAnsi="Times New Roman" w:eastAsia="宋体" w:cs="Times New Roman"/>
                <w:color w:val="FF0000"/>
                <w:szCs w:val="21"/>
              </w:rPr>
              <w:t>#排气筒（混铁炉除尘装置出口）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274985</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9.8</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2.69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285546</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2.97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282157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10.2</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2.88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280896</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10.1</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57</w:t>
            </w:r>
            <w:r>
              <w:rPr>
                <w:rFonts w:ascii="Times New Roman" w:hAnsi="Times New Roman" w:eastAsia="宋体" w:cs="Times New Roman"/>
                <w:color w:val="FF0000"/>
                <w:szCs w:val="21"/>
              </w:rPr>
              <w:t>#排气筒（工频炉除尘器出口）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117112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1.42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125418</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13.0</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1.63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128475</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12.7</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1.63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123668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12.6</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58</w:t>
            </w:r>
            <w:r>
              <w:rPr>
                <w:rFonts w:ascii="Times New Roman" w:hAnsi="Times New Roman" w:eastAsia="宋体" w:cs="Times New Roman"/>
                <w:color w:val="FF0000"/>
                <w:szCs w:val="21"/>
              </w:rPr>
              <w:t>#排气筒（喂丝球化除尘器出口）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91584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1.02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85418</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0.888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87052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10.8</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0.940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88018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10.8</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0.949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65</w:t>
            </w:r>
            <w:r>
              <w:rPr>
                <w:rFonts w:ascii="Times New Roman" w:hAnsi="Times New Roman" w:eastAsia="宋体" w:cs="Times New Roman"/>
                <w:color w:val="FF0000"/>
                <w:szCs w:val="21"/>
              </w:rPr>
              <w:t>#排气筒（铸管中小线喷锌除尘器出口）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51482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15.8</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0.813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55254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0.906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53495</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0.861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53410</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16.1</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0.860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64</w:t>
            </w:r>
            <w:r>
              <w:rPr>
                <w:rFonts w:ascii="Times New Roman" w:hAnsi="Times New Roman" w:eastAsia="宋体" w:cs="Times New Roman"/>
                <w:color w:val="FF0000"/>
                <w:szCs w:val="21"/>
              </w:rPr>
              <w:t>#排气筒（铸管大线喷锌除尘器出口）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71847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89247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17.8</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1.59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89651</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1.56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83582</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17.2</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63</w:t>
            </w:r>
            <w:r>
              <w:rPr>
                <w:rFonts w:ascii="Times New Roman" w:hAnsi="Times New Roman" w:eastAsia="宋体" w:cs="Times New Roman"/>
                <w:color w:val="FF0000"/>
                <w:szCs w:val="21"/>
              </w:rPr>
              <w:t>#排气筒（铸管热膜喷锌除尘器出口）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31257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0.481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33159</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0.577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29856</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16.8</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0.502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31424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16.5</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59</w:t>
            </w:r>
            <w:r>
              <w:rPr>
                <w:rFonts w:ascii="Times New Roman" w:hAnsi="Times New Roman" w:eastAsia="宋体" w:cs="Times New Roman"/>
                <w:color w:val="FF0000"/>
                <w:szCs w:val="21"/>
              </w:rPr>
              <w:t>#排气筒（热膜离心浇铸除尘出口）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121478</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9.0</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1.09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128434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9.7</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113579</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8.7</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0.988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 w:hRule="atLeast"/>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121164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9.1</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66</w:t>
            </w:r>
            <w:r>
              <w:rPr>
                <w:rFonts w:ascii="Times New Roman" w:hAnsi="Times New Roman" w:eastAsia="宋体" w:cs="Times New Roman"/>
                <w:color w:val="FF0000"/>
                <w:szCs w:val="21"/>
              </w:rPr>
              <w:t>#排气筒（热模三磨除尘出口）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121852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15.8</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1.93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119875</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1.97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113625</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15.2</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1.73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118451</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15.8</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w:t>
            </w:r>
            <w:r>
              <w:rPr>
                <w:rFonts w:ascii="Times New Roman" w:hAnsi="Times New Roman" w:eastAsia="宋体" w:cs="Times New Roman"/>
                <w:color w:val="FF0000"/>
                <w:szCs w:val="21"/>
              </w:rPr>
              <w:t>7#排气筒（</w:t>
            </w:r>
            <w:r>
              <w:rPr>
                <w:rFonts w:hint="eastAsia" w:ascii="Times New Roman" w:hAnsi="Times New Roman" w:eastAsia="宋体" w:cs="Times New Roman"/>
                <w:color w:val="FF0000"/>
                <w:szCs w:val="21"/>
              </w:rPr>
              <w:t>水冷离心机</w:t>
            </w:r>
            <w:r>
              <w:rPr>
                <w:rFonts w:ascii="Times New Roman" w:hAnsi="Times New Roman" w:eastAsia="宋体" w:cs="Times New Roman"/>
                <w:color w:val="FF0000"/>
                <w:szCs w:val="21"/>
              </w:rPr>
              <w:t>除尘排口）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250999</w:t>
            </w:r>
          </w:p>
        </w:tc>
        <w:tc>
          <w:tcPr>
            <w:tcW w:w="1320" w:type="dxa"/>
            <w:vAlign w:val="center"/>
          </w:tcPr>
          <w:p>
            <w:pPr>
              <w:jc w:val="center"/>
              <w:rPr>
                <w:rFonts w:ascii="Times New Roman" w:hAnsi="Times New Roman" w:eastAsia="宋体"/>
                <w:color w:val="FF0000"/>
              </w:rPr>
            </w:pPr>
            <w:r>
              <w:rPr>
                <w:rFonts w:hint="eastAsia" w:ascii="Times New Roman" w:hAnsi="Times New Roman" w:eastAsia="宋体"/>
                <w:color w:val="FF0000"/>
              </w:rPr>
              <w:t>13.9</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3.383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olor w:val="FF0000"/>
              </w:rPr>
            </w:pPr>
            <w:r>
              <w:rPr>
                <w:rFonts w:hint="eastAsia" w:ascii="Times New Roman" w:hAnsi="Times New Roman" w:eastAsia="宋体"/>
                <w:color w:val="FF0000"/>
              </w:rPr>
              <w:t>250949</w:t>
            </w:r>
          </w:p>
        </w:tc>
        <w:tc>
          <w:tcPr>
            <w:tcW w:w="1320" w:type="dxa"/>
            <w:vAlign w:val="center"/>
          </w:tcPr>
          <w:p>
            <w:pPr>
              <w:jc w:val="center"/>
              <w:rPr>
                <w:rFonts w:ascii="Times New Roman" w:hAnsi="Times New Roman" w:eastAsia="宋体"/>
                <w:color w:val="FF0000"/>
              </w:rPr>
            </w:pPr>
            <w:r>
              <w:rPr>
                <w:rFonts w:hint="eastAsia" w:ascii="Times New Roman" w:hAnsi="Times New Roman" w:eastAsia="宋体"/>
                <w:color w:val="FF0000"/>
              </w:rPr>
              <w:t>12.8</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3.293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olor w:val="FF0000"/>
              </w:rPr>
            </w:pPr>
            <w:r>
              <w:rPr>
                <w:rFonts w:hint="eastAsia" w:ascii="Times New Roman" w:hAnsi="Times New Roman" w:eastAsia="宋体"/>
                <w:color w:val="FF0000"/>
              </w:rPr>
              <w:t>250749</w:t>
            </w:r>
          </w:p>
        </w:tc>
        <w:tc>
          <w:tcPr>
            <w:tcW w:w="1320" w:type="dxa"/>
            <w:vAlign w:val="center"/>
          </w:tcPr>
          <w:p>
            <w:pPr>
              <w:jc w:val="center"/>
              <w:rPr>
                <w:rFonts w:ascii="Times New Roman" w:hAnsi="Times New Roman" w:eastAsia="宋体"/>
                <w:color w:val="FF0000"/>
              </w:rPr>
            </w:pPr>
            <w:r>
              <w:rPr>
                <w:rFonts w:hint="eastAsia" w:ascii="Times New Roman" w:hAnsi="Times New Roman" w:eastAsia="宋体"/>
                <w:color w:val="FF0000"/>
              </w:rPr>
              <w:t>13.2</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3.338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250899</w:t>
            </w:r>
          </w:p>
        </w:tc>
        <w:tc>
          <w:tcPr>
            <w:tcW w:w="132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13.3</w:t>
            </w:r>
          </w:p>
        </w:tc>
        <w:tc>
          <w:tcPr>
            <w:tcW w:w="135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3.338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w:t>
            </w:r>
            <w:r>
              <w:rPr>
                <w:rFonts w:ascii="Times New Roman" w:hAnsi="Times New Roman" w:eastAsia="宋体" w:cs="Times New Roman"/>
                <w:color w:val="FF0000"/>
                <w:szCs w:val="21"/>
              </w:rPr>
              <w:t>8#排气筒（</w:t>
            </w:r>
            <w:r>
              <w:rPr>
                <w:rFonts w:hint="eastAsia" w:ascii="Times New Roman" w:hAnsi="Times New Roman" w:eastAsia="宋体" w:cs="Times New Roman"/>
                <w:color w:val="FF0000"/>
                <w:szCs w:val="21"/>
              </w:rPr>
              <w:t>水冷三磨</w:t>
            </w:r>
            <w:r>
              <w:rPr>
                <w:rFonts w:ascii="Times New Roman" w:hAnsi="Times New Roman" w:eastAsia="宋体" w:cs="Times New Roman"/>
                <w:color w:val="FF0000"/>
                <w:szCs w:val="21"/>
              </w:rPr>
              <w:t>除尘排口）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89477</w:t>
            </w:r>
          </w:p>
        </w:tc>
        <w:tc>
          <w:tcPr>
            <w:tcW w:w="1320" w:type="dxa"/>
            <w:vAlign w:val="center"/>
          </w:tcPr>
          <w:p>
            <w:pPr>
              <w:jc w:val="center"/>
              <w:rPr>
                <w:rFonts w:ascii="Times New Roman" w:hAnsi="Times New Roman" w:eastAsia="宋体"/>
                <w:color w:val="FF0000"/>
              </w:rPr>
            </w:pPr>
            <w:r>
              <w:rPr>
                <w:rFonts w:hint="eastAsia" w:ascii="Times New Roman" w:hAnsi="Times New Roman" w:eastAsia="宋体"/>
                <w:color w:val="FF0000"/>
              </w:rPr>
              <w:t>14.6</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1.297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olor w:val="FF0000"/>
              </w:rPr>
            </w:pPr>
            <w:r>
              <w:rPr>
                <w:rFonts w:hint="eastAsia" w:ascii="Times New Roman" w:hAnsi="Times New Roman" w:eastAsia="宋体"/>
                <w:color w:val="FF0000"/>
              </w:rPr>
              <w:t>89427</w:t>
            </w:r>
          </w:p>
        </w:tc>
        <w:tc>
          <w:tcPr>
            <w:tcW w:w="1320" w:type="dxa"/>
            <w:vAlign w:val="center"/>
          </w:tcPr>
          <w:p>
            <w:pPr>
              <w:jc w:val="center"/>
              <w:rPr>
                <w:rFonts w:ascii="Times New Roman" w:hAnsi="Times New Roman" w:eastAsia="宋体"/>
                <w:color w:val="FF0000"/>
              </w:rPr>
            </w:pPr>
            <w:r>
              <w:rPr>
                <w:rFonts w:hint="eastAsia" w:ascii="Times New Roman" w:hAnsi="Times New Roman" w:eastAsia="宋体"/>
                <w:color w:val="FF0000"/>
              </w:rPr>
              <w:t>13.5</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1.207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olor w:val="FF0000"/>
              </w:rPr>
            </w:pPr>
            <w:r>
              <w:rPr>
                <w:rFonts w:hint="eastAsia" w:ascii="Times New Roman" w:hAnsi="Times New Roman" w:eastAsia="宋体"/>
                <w:color w:val="FF0000"/>
              </w:rPr>
              <w:t>89227</w:t>
            </w:r>
          </w:p>
        </w:tc>
        <w:tc>
          <w:tcPr>
            <w:tcW w:w="1320" w:type="dxa"/>
            <w:vAlign w:val="center"/>
          </w:tcPr>
          <w:p>
            <w:pPr>
              <w:jc w:val="center"/>
              <w:rPr>
                <w:rFonts w:ascii="Times New Roman" w:hAnsi="Times New Roman" w:eastAsia="宋体"/>
                <w:color w:val="FF0000"/>
              </w:rPr>
            </w:pPr>
            <w:r>
              <w:rPr>
                <w:rFonts w:hint="eastAsia" w:ascii="Times New Roman" w:hAnsi="Times New Roman" w:eastAsia="宋体"/>
                <w:color w:val="FF0000"/>
              </w:rPr>
              <w:t>13.9</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1.252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89377</w:t>
            </w:r>
          </w:p>
        </w:tc>
        <w:tc>
          <w:tcPr>
            <w:tcW w:w="132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14</w:t>
            </w:r>
          </w:p>
        </w:tc>
        <w:tc>
          <w:tcPr>
            <w:tcW w:w="135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1.252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69#排气筒（</w:t>
            </w:r>
            <w:r>
              <w:rPr>
                <w:rFonts w:hint="eastAsia" w:ascii="Times New Roman" w:hAnsi="Times New Roman" w:eastAsia="宋体" w:cs="Times New Roman"/>
                <w:color w:val="FF0000"/>
                <w:szCs w:val="21"/>
              </w:rPr>
              <w:t>热膜工频</w:t>
            </w:r>
            <w:r>
              <w:rPr>
                <w:rFonts w:ascii="Times New Roman" w:hAnsi="Times New Roman" w:eastAsia="宋体" w:cs="Times New Roman"/>
                <w:color w:val="FF0000"/>
                <w:szCs w:val="21"/>
              </w:rPr>
              <w:t>电炉除尘</w:t>
            </w:r>
            <w:r>
              <w:rPr>
                <w:rFonts w:hint="eastAsia" w:ascii="Times New Roman" w:hAnsi="Times New Roman" w:eastAsia="宋体" w:cs="Times New Roman"/>
                <w:color w:val="FF0000"/>
                <w:szCs w:val="21"/>
              </w:rPr>
              <w:t>出口</w:t>
            </w:r>
            <w:r>
              <w:rPr>
                <w:rFonts w:ascii="Times New Roman" w:hAnsi="Times New Roman" w:eastAsia="宋体" w:cs="Times New Roman"/>
                <w:color w:val="FF0000"/>
                <w:szCs w:val="21"/>
              </w:rPr>
              <w:t>）</w:t>
            </w:r>
          </w:p>
        </w:tc>
        <w:tc>
          <w:tcPr>
            <w:tcW w:w="1109"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129468</w:t>
            </w:r>
          </w:p>
        </w:tc>
        <w:tc>
          <w:tcPr>
            <w:tcW w:w="132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35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132748</w:t>
            </w:r>
          </w:p>
        </w:tc>
        <w:tc>
          <w:tcPr>
            <w:tcW w:w="132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35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132309</w:t>
            </w:r>
          </w:p>
        </w:tc>
        <w:tc>
          <w:tcPr>
            <w:tcW w:w="132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35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131508</w:t>
            </w:r>
          </w:p>
        </w:tc>
        <w:tc>
          <w:tcPr>
            <w:tcW w:w="132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c>
          <w:tcPr>
            <w:tcW w:w="1350"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70</w:t>
            </w:r>
            <w:r>
              <w:rPr>
                <w:rFonts w:ascii="Times New Roman" w:hAnsi="Times New Roman" w:eastAsia="宋体" w:cs="Times New Roman"/>
                <w:color w:val="FF0000"/>
                <w:szCs w:val="21"/>
              </w:rPr>
              <w:t>#排气筒（制芯烘砂除尘出口）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7847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0.142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7653</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17.8</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0.136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7238</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0.126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7579</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17.8</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71</w:t>
            </w:r>
            <w:r>
              <w:rPr>
                <w:rFonts w:ascii="Times New Roman" w:hAnsi="Times New Roman" w:eastAsia="宋体" w:cs="Times New Roman"/>
                <w:color w:val="FF0000"/>
                <w:szCs w:val="21"/>
              </w:rPr>
              <w:t>#排气筒（管模工段除尘出口）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11147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15.7</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0.175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12988</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0.213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11623</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0.187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11919</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16.1</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72</w:t>
            </w:r>
            <w:r>
              <w:rPr>
                <w:rFonts w:ascii="Times New Roman" w:hAnsi="Times New Roman" w:eastAsia="宋体" w:cs="Times New Roman"/>
                <w:color w:val="FF0000"/>
                <w:szCs w:val="21"/>
              </w:rPr>
              <w:t>#</w:t>
            </w:r>
            <w:r>
              <w:rPr>
                <w:rFonts w:hint="eastAsia" w:ascii="Times New Roman" w:hAnsi="Times New Roman" w:eastAsia="宋体" w:cs="Times New Roman"/>
                <w:color w:val="FF0000"/>
                <w:szCs w:val="21"/>
              </w:rPr>
              <w:t>排气筒</w:t>
            </w:r>
            <w:r>
              <w:rPr>
                <w:rFonts w:ascii="Times New Roman" w:hAnsi="Times New Roman" w:eastAsia="宋体" w:cs="Times New Roman"/>
                <w:color w:val="FF0000"/>
                <w:szCs w:val="21"/>
              </w:rPr>
              <w:t>（三乙胺工段水冷（热膜）净化器出口）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三乙胺</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64340</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ND</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62901</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ND</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62382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ND</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63208</w:t>
            </w:r>
          </w:p>
        </w:tc>
        <w:tc>
          <w:tcPr>
            <w:tcW w:w="132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c>
          <w:tcPr>
            <w:tcW w:w="1350" w:type="dxa"/>
            <w:vAlign w:val="center"/>
          </w:tcPr>
          <w:p>
            <w:pPr>
              <w:jc w:val="center"/>
              <w:rPr>
                <w:rFonts w:ascii="Times New Roman" w:hAnsi="Times New Roman" w:eastAsia="宋体" w:cs="Times New Roman"/>
                <w:color w:val="FF0000"/>
              </w:rPr>
            </w:pPr>
            <w:r>
              <w:rPr>
                <w:rFonts w:hint="eastAsia"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60</w:t>
            </w:r>
            <w:r>
              <w:rPr>
                <w:rFonts w:ascii="Times New Roman" w:hAnsi="Times New Roman" w:eastAsia="宋体" w:cs="Times New Roman"/>
                <w:color w:val="FF0000"/>
                <w:szCs w:val="21"/>
              </w:rPr>
              <w:t>#排气筒（热膜退火炉出口）</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8157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0.115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8846</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0.128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8012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13.6</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8338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14.1</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8490</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10484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10798</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9924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8490</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59</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10484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58</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10798</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59</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9924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59</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0.582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沥青烟</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8745</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0.126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8054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13.6</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0.109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8836</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15.2</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0.134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8545</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14.4</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8157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0.35</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8846</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0.38</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8012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0.32</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8338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0.35</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甲苯</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8157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8846</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0.29</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8012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0.23</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8338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0.25</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二甲苯</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8157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0.19</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8846</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0.25</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8012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0.22</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8338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0.22</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w:t>
            </w:r>
            <w:r>
              <w:rPr>
                <w:rFonts w:ascii="Times New Roman" w:hAnsi="Times New Roman" w:eastAsia="宋体" w:cs="Times New Roman"/>
                <w:color w:val="FF0000"/>
                <w:szCs w:val="21"/>
              </w:rPr>
              <w:t>1#</w:t>
            </w:r>
            <w:r>
              <w:rPr>
                <w:rFonts w:hint="eastAsia" w:ascii="Times New Roman" w:hAnsi="Times New Roman" w:eastAsia="宋体" w:cs="Times New Roman"/>
                <w:color w:val="FF0000"/>
                <w:szCs w:val="21"/>
              </w:rPr>
              <w:t>排气筒（</w:t>
            </w:r>
            <w:r>
              <w:rPr>
                <w:rFonts w:ascii="Times New Roman" w:hAnsi="Times New Roman" w:eastAsia="宋体" w:cs="Times New Roman"/>
                <w:color w:val="FF0000"/>
                <w:szCs w:val="21"/>
              </w:rPr>
              <w:t>水冷退火炉出口</w:t>
            </w:r>
            <w:r>
              <w:rPr>
                <w:rFonts w:hint="eastAsia" w:ascii="Times New Roman" w:hAnsi="Times New Roman" w:eastAsia="宋体" w:cs="Times New Roman"/>
                <w:color w:val="FF0000"/>
                <w:szCs w:val="21"/>
              </w:rPr>
              <w:t>1）</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22741</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0.350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21077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0.276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22824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0.331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22214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14.3</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24167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22298</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33.5</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23131</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23199</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33.2</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24167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79</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0.955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22298</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83.5</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0.929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23131</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83</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0.958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23199</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81.8</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0.947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沥青烟</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22374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0.271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22682</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0.297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21911</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12.7</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0.278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22322</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12.6</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22741</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0.34</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21077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22824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0.40</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22214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0.35</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甲苯</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22741</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0.23</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21077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0.19</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22824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22214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0.21</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二甲苯</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22741</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0.21</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21077</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0.17</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22824</w:t>
            </w:r>
          </w:p>
        </w:tc>
        <w:tc>
          <w:tcPr>
            <w:tcW w:w="1320"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0.20</w:t>
            </w:r>
          </w:p>
        </w:tc>
        <w:tc>
          <w:tcPr>
            <w:tcW w:w="1350"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0.005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22214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0.19</w:t>
            </w:r>
          </w:p>
        </w:tc>
        <w:tc>
          <w:tcPr>
            <w:tcW w:w="135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w:t>
            </w:r>
            <w:r>
              <w:rPr>
                <w:rFonts w:ascii="Times New Roman" w:hAnsi="Times New Roman" w:eastAsia="宋体" w:cs="Times New Roman"/>
                <w:color w:val="FF0000"/>
                <w:szCs w:val="21"/>
              </w:rPr>
              <w:t>2#</w:t>
            </w:r>
            <w:r>
              <w:rPr>
                <w:rFonts w:hint="eastAsia" w:ascii="Times New Roman" w:hAnsi="Times New Roman" w:eastAsia="宋体" w:cs="Times New Roman"/>
                <w:color w:val="FF0000"/>
                <w:szCs w:val="21"/>
              </w:rPr>
              <w:t>排气筒（</w:t>
            </w:r>
            <w:r>
              <w:rPr>
                <w:rFonts w:ascii="Times New Roman" w:hAnsi="Times New Roman" w:eastAsia="宋体" w:cs="Times New Roman"/>
                <w:color w:val="FF0000"/>
                <w:szCs w:val="21"/>
              </w:rPr>
              <w:t>水冷退火炉出口</w:t>
            </w:r>
            <w:r>
              <w:rPr>
                <w:rFonts w:hint="eastAsia" w:ascii="Times New Roman" w:hAnsi="Times New Roman" w:eastAsia="宋体" w:cs="Times New Roman"/>
                <w:color w:val="FF0000"/>
                <w:szCs w:val="21"/>
              </w:rPr>
              <w:t>2）</w:t>
            </w: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23196</w:t>
            </w:r>
          </w:p>
        </w:tc>
        <w:tc>
          <w:tcPr>
            <w:tcW w:w="1320"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16.94</w:t>
            </w:r>
          </w:p>
        </w:tc>
        <w:tc>
          <w:tcPr>
            <w:tcW w:w="1350"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0.385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21499</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14.41</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0.304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23280</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15.95</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0.364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22658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15.73</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0.351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24650</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34.1</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0.411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22744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36.85</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0.407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23594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38.5</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0.441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23663</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36.52</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0.420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24650</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86.9</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1.051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22744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91.85</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1.022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23594</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91.3</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1.054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23663</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89.98</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1.042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沥青烟</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22821</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13.31</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0.298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23136</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14.41</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0.327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22349</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13.97</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0.306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22768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13.86</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0.310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23196</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0.374</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21499</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0.341</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23280</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0.44</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22658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0.385</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甲苯</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23196</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0.253</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21499</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0.209</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23280</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0.231</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22658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0.231</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二甲苯</w:t>
            </w: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23196</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0.231</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21499</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0.187</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23280</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0.22</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45" w:type="dxa"/>
            <w:vMerge w:val="continue"/>
            <w:vAlign w:val="center"/>
          </w:tcPr>
          <w:p>
            <w:pPr>
              <w:jc w:val="center"/>
              <w:rPr>
                <w:rFonts w:ascii="Times New Roman" w:hAnsi="Times New Roman" w:eastAsia="宋体" w:cs="Times New Roman"/>
                <w:color w:val="FF0000"/>
                <w:szCs w:val="21"/>
              </w:rPr>
            </w:pPr>
          </w:p>
        </w:tc>
        <w:tc>
          <w:tcPr>
            <w:tcW w:w="1109" w:type="dxa"/>
            <w:vMerge w:val="continue"/>
            <w:vAlign w:val="center"/>
          </w:tcPr>
          <w:p>
            <w:pPr>
              <w:jc w:val="center"/>
              <w:rPr>
                <w:rFonts w:ascii="Times New Roman" w:hAnsi="Times New Roman" w:eastAsia="宋体" w:cs="Times New Roman"/>
                <w:color w:val="FF0000"/>
                <w:szCs w:val="21"/>
              </w:rPr>
            </w:pPr>
          </w:p>
        </w:tc>
        <w:tc>
          <w:tcPr>
            <w:tcW w:w="130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4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22658</w:t>
            </w:r>
          </w:p>
        </w:tc>
        <w:tc>
          <w:tcPr>
            <w:tcW w:w="1320"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0.209</w:t>
            </w:r>
          </w:p>
        </w:tc>
        <w:tc>
          <w:tcPr>
            <w:tcW w:w="1350" w:type="dxa"/>
            <w:vAlign w:val="center"/>
          </w:tcPr>
          <w:p>
            <w:pPr>
              <w:jc w:val="center"/>
              <w:rPr>
                <w:rFonts w:ascii="Times New Roman" w:hAnsi="Times New Roman" w:eastAsia="宋体"/>
                <w:color w:val="FF0000"/>
              </w:rPr>
            </w:pPr>
            <w:r>
              <w:rPr>
                <w:rFonts w:hint="eastAsia" w:ascii="Times New Roman" w:hAnsi="Times New Roman" w:eastAsia="宋体"/>
                <w:color w:val="FF0000"/>
              </w:rPr>
              <w:t>0.006</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由监测结果可知，铸管工序废气经处理后可满足《大气污染物综合排放标准》（GB16297-1996）表2中二级标准限值要求。</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w:t>
      </w:r>
      <w:r>
        <w:rPr>
          <w:rFonts w:hint="eastAsia" w:ascii="Times New Roman" w:hAnsi="Times New Roman" w:eastAsia="黑体" w:cs="Times New Roman"/>
          <w:color w:val="FF0000"/>
          <w:sz w:val="24"/>
          <w:lang w:val="en-US" w:eastAsia="zh-CN"/>
        </w:rPr>
        <w:t>4</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rPr>
        <w:t>炼铁</w:t>
      </w:r>
      <w:r>
        <w:rPr>
          <w:rFonts w:ascii="Times New Roman" w:hAnsi="Times New Roman" w:eastAsia="黑体" w:cs="Times New Roman"/>
          <w:color w:val="FF0000"/>
          <w:sz w:val="24"/>
        </w:rPr>
        <w:t>工序废气检测结果表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85"/>
        <w:gridCol w:w="1492"/>
        <w:gridCol w:w="1275"/>
        <w:gridCol w:w="1701"/>
        <w:gridCol w:w="1701"/>
        <w:gridCol w:w="13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检测点位</w:t>
            </w:r>
          </w:p>
        </w:tc>
        <w:tc>
          <w:tcPr>
            <w:tcW w:w="1492"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检测因子</w:t>
            </w:r>
          </w:p>
        </w:tc>
        <w:tc>
          <w:tcPr>
            <w:tcW w:w="1275"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检测频次</w:t>
            </w:r>
          </w:p>
        </w:tc>
        <w:tc>
          <w:tcPr>
            <w:tcW w:w="1701"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废气流量</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（Nm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/h）</w:t>
            </w:r>
          </w:p>
        </w:tc>
        <w:tc>
          <w:tcPr>
            <w:tcW w:w="1701"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排放浓度（mg/m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w:t>
            </w:r>
          </w:p>
        </w:tc>
        <w:tc>
          <w:tcPr>
            <w:tcW w:w="1318"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排放速率</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27#排气筒（1#高炉出铁场除尘排口）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459133</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485009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6.73</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491238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6.79</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478460</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6.75</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34#排气筒（2#高炉出铁场除尘排口）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508100</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9.42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552734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9.55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5.28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543249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9.13</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534694</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9.37</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5.01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28#排气筒（1#高炉供料除尘排口）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288581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283451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3.56</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282735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3.95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284922</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3.74</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35#排气筒（2#高炉供料除尘排口）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289895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5.11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295292</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5.98</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294248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4.66</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293145</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5.25</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25#排气筒（1#高炉煤粉制备除尘器出口）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77108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5.55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77338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6.42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78614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77687</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6.27</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0.488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77108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77338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0.773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78614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77687</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0.544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77108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77338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78614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77687</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31</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26#排气筒（1#高炉热风炉烟气出口）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607939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614537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621881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614786</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11.1</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607939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614537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621881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614786</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607939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614537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621881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113</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614786</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112</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32#排气筒（2#高炉煤粉制备除尘器出口）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59267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0.717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62696</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0.721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62758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61574</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11.53</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0.709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59267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0.711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62696</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62758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0.251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61574</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0.446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59267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62696</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62758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61574</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36</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33#排气筒（2#高炉热风炉烟气出口）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677885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681818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9.02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696517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8.58</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5.98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685407</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9.23</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677885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681818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696517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685407</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677885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116</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681818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123</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696517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113</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685407</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117</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21#排气筒（1#转运站除尘器外排口）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128632</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5.85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0.752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130331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7.98</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124909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8.99</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127957</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7.61</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0.971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22#排气筒（3#转运站除尘器外排口）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88402</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8.90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0.787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94094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9.52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0.896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91775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9.04</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0.830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91424</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9.15</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0.838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23#排气筒（4#转运站除尘器外排口）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124057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117953</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8.68</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124823</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9.50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3" w:hRule="atLeast"/>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122278</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8.99</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14#排气筒（7#转运站除尘器外排口）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3206</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8.20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3048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6.51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2637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7.44</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2964</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7.38</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15#排气筒（8#转运站除尘器外排口）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4583</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5061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5.25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4997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5.10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4880</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4.90</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24#排气筒（1#高炉炉顶除尘排口）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30525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8.90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0.272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33531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9.80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35226</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9.52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33094</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9.41</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31#排气筒（2#高炉炉顶除尘排口）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69502</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5.69</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68484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8.62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64891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7.44</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67626</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7.25</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0.489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30#排气筒（铸铁机除尘排口）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33578</w:t>
            </w:r>
          </w:p>
        </w:tc>
        <w:tc>
          <w:tcPr>
            <w:tcW w:w="1701" w:type="dxa"/>
            <w:vAlign w:val="center"/>
          </w:tcPr>
          <w:p>
            <w:pPr>
              <w:widowControl/>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9.79</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0.299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36884</w:t>
            </w:r>
          </w:p>
        </w:tc>
        <w:tc>
          <w:tcPr>
            <w:tcW w:w="1701" w:type="dxa"/>
            <w:vAlign w:val="center"/>
          </w:tcPr>
          <w:p>
            <w:pPr>
              <w:widowControl/>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10.78</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0.362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38749</w:t>
            </w:r>
          </w:p>
        </w:tc>
        <w:tc>
          <w:tcPr>
            <w:tcW w:w="1701" w:type="dxa"/>
            <w:vAlign w:val="center"/>
          </w:tcPr>
          <w:p>
            <w:pPr>
              <w:widowControl/>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10.47</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0.369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36403</w:t>
            </w:r>
          </w:p>
        </w:tc>
        <w:tc>
          <w:tcPr>
            <w:tcW w:w="1701" w:type="dxa"/>
            <w:vAlign w:val="center"/>
          </w:tcPr>
          <w:p>
            <w:pPr>
              <w:widowControl/>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10.35</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0.343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29</w:t>
            </w:r>
            <w:r>
              <w:rPr>
                <w:rFonts w:ascii="Times New Roman" w:hAnsi="Times New Roman" w:eastAsia="宋体" w:cs="Times New Roman"/>
                <w:bCs/>
                <w:color w:val="FF0000"/>
                <w:szCs w:val="21"/>
              </w:rPr>
              <w:t>#排气筒（矿渣微粉除尘器排气筒出口）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297553</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9.58</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298539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8.67</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301684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7.59</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299259</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8.61</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297553</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298539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301684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299259</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297553</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298539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301684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299259</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24</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7.09</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由监测结果可知，</w:t>
      </w:r>
      <w:r>
        <w:rPr>
          <w:rFonts w:hint="eastAsia" w:ascii="Times New Roman" w:hAnsi="Times New Roman" w:eastAsia="宋体" w:cs="Times New Roman"/>
          <w:color w:val="FF0000"/>
          <w:sz w:val="24"/>
        </w:rPr>
        <w:t>炼铁</w:t>
      </w:r>
      <w:r>
        <w:rPr>
          <w:rFonts w:ascii="Times New Roman" w:hAnsi="Times New Roman" w:eastAsia="宋体" w:cs="Times New Roman"/>
          <w:color w:val="FF0000"/>
          <w:sz w:val="24"/>
        </w:rPr>
        <w:t>工序废气经处理后可满足</w:t>
      </w:r>
      <w:r>
        <w:rPr>
          <w:rFonts w:hint="eastAsia" w:ascii="Times New Roman" w:hAnsi="Times New Roman" w:eastAsia="宋体" w:cs="Times New Roman"/>
          <w:color w:val="FF0000"/>
          <w:sz w:val="24"/>
        </w:rPr>
        <w:t>《炼铁工业大气污染物排放标准》（</w:t>
      </w:r>
      <w:r>
        <w:rPr>
          <w:rFonts w:ascii="Times New Roman" w:hAnsi="Times New Roman" w:eastAsia="宋体" w:cs="Times New Roman"/>
          <w:color w:val="FF0000"/>
          <w:sz w:val="24"/>
        </w:rPr>
        <w:t>GB28663-2012）表2排放限值要求；1#高炉热风炉烟气</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2#高炉煤粉制备除尘器</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2#高炉热风炉烟气</w:t>
      </w:r>
      <w:r>
        <w:rPr>
          <w:rFonts w:hint="eastAsia" w:ascii="Times New Roman" w:hAnsi="Times New Roman" w:eastAsia="宋体" w:cs="Times New Roman"/>
          <w:color w:val="FF0000"/>
          <w:sz w:val="24"/>
        </w:rPr>
        <w:t>、铸铁机除尘颗粒物</w:t>
      </w:r>
      <w:r>
        <w:rPr>
          <w:rFonts w:ascii="Times New Roman" w:hAnsi="Times New Roman" w:eastAsia="宋体" w:cs="Times New Roman"/>
          <w:color w:val="FF0000"/>
          <w:sz w:val="24"/>
        </w:rPr>
        <w:t>经处理后</w:t>
      </w:r>
      <w:r>
        <w:rPr>
          <w:rFonts w:hint="eastAsia" w:ascii="Times New Roman" w:hAnsi="Times New Roman" w:eastAsia="宋体" w:cs="Times New Roman"/>
          <w:color w:val="FF0000"/>
          <w:sz w:val="24"/>
        </w:rPr>
        <w:t>不能满足</w:t>
      </w:r>
      <w:r>
        <w:rPr>
          <w:rFonts w:ascii="Times New Roman" w:hAnsi="Times New Roman" w:eastAsia="宋体" w:cs="Times New Roman"/>
          <w:color w:val="FF0000"/>
          <w:sz w:val="24"/>
        </w:rPr>
        <w:t>钢铁行业超低排放标准限值要求</w:t>
      </w:r>
      <w:r>
        <w:rPr>
          <w:rFonts w:hint="eastAsia" w:ascii="Times New Roman" w:hAnsi="Times New Roman" w:eastAsia="宋体" w:cs="Times New Roman"/>
          <w:color w:val="FF0000"/>
          <w:sz w:val="24"/>
        </w:rPr>
        <w:t>（颗粒物10mg/m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炼</w:t>
      </w:r>
      <w:r>
        <w:rPr>
          <w:rFonts w:hint="eastAsia" w:ascii="Times New Roman" w:hAnsi="Times New Roman" w:eastAsia="宋体" w:cs="Times New Roman"/>
          <w:color w:val="FF0000"/>
          <w:sz w:val="24"/>
          <w:lang w:eastAsia="zh-CN"/>
        </w:rPr>
        <w:t>铁</w:t>
      </w:r>
      <w:r>
        <w:rPr>
          <w:rFonts w:ascii="Times New Roman" w:hAnsi="Times New Roman" w:eastAsia="宋体" w:cs="Times New Roman"/>
          <w:color w:val="FF0000"/>
          <w:sz w:val="24"/>
        </w:rPr>
        <w:t>工序其他废气经处理后</w:t>
      </w:r>
      <w:r>
        <w:rPr>
          <w:rFonts w:hint="eastAsia" w:ascii="Times New Roman" w:hAnsi="Times New Roman" w:eastAsia="宋体" w:cs="Times New Roman"/>
          <w:color w:val="FF0000"/>
          <w:sz w:val="24"/>
        </w:rPr>
        <w:t>均</w:t>
      </w:r>
      <w:r>
        <w:rPr>
          <w:rFonts w:ascii="Times New Roman" w:hAnsi="Times New Roman" w:eastAsia="宋体" w:cs="Times New Roman"/>
          <w:color w:val="FF0000"/>
          <w:sz w:val="24"/>
        </w:rPr>
        <w:t>能满足钢铁行业超低排放标准限值要求</w:t>
      </w:r>
      <w:r>
        <w:rPr>
          <w:rFonts w:hint="eastAsia" w:ascii="Times New Roman" w:hAnsi="Times New Roman" w:eastAsia="宋体" w:cs="Times New Roman"/>
          <w:color w:val="FF0000"/>
          <w:sz w:val="24"/>
        </w:rPr>
        <w:t>（颗粒物10mg/m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、二氧化硫20mg/m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、氮氧化物200mg/m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w:t>
      </w:r>
      <w:r>
        <w:rPr>
          <w:rFonts w:hint="eastAsia" w:ascii="Times New Roman" w:hAnsi="Times New Roman" w:eastAsia="黑体" w:cs="Times New Roman"/>
          <w:color w:val="FF0000"/>
          <w:sz w:val="24"/>
          <w:lang w:val="en-US" w:eastAsia="zh-CN"/>
        </w:rPr>
        <w:t>5</w:t>
      </w:r>
      <w:r>
        <w:rPr>
          <w:rFonts w:ascii="Times New Roman" w:hAnsi="Times New Roman" w:eastAsia="黑体" w:cs="Times New Roman"/>
          <w:color w:val="FF0000"/>
          <w:sz w:val="24"/>
        </w:rPr>
        <w:t xml:space="preserve">  </w:t>
      </w:r>
      <w:r>
        <w:rPr>
          <w:rFonts w:hint="eastAsia" w:ascii="Times New Roman" w:hAnsi="Times New Roman" w:eastAsia="黑体" w:cs="Times New Roman"/>
          <w:color w:val="FF0000"/>
          <w:sz w:val="24"/>
        </w:rPr>
        <w:t>转炉炼钢</w:t>
      </w:r>
      <w:r>
        <w:rPr>
          <w:rFonts w:ascii="Times New Roman" w:hAnsi="Times New Roman" w:eastAsia="黑体" w:cs="Times New Roman"/>
          <w:color w:val="FF0000"/>
          <w:sz w:val="24"/>
        </w:rPr>
        <w:t>工序废气检测结果表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85"/>
        <w:gridCol w:w="1492"/>
        <w:gridCol w:w="1275"/>
        <w:gridCol w:w="1701"/>
        <w:gridCol w:w="1701"/>
        <w:gridCol w:w="13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检测点位</w:t>
            </w:r>
          </w:p>
        </w:tc>
        <w:tc>
          <w:tcPr>
            <w:tcW w:w="1492"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检测因子</w:t>
            </w:r>
          </w:p>
        </w:tc>
        <w:tc>
          <w:tcPr>
            <w:tcW w:w="1275"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检测频次</w:t>
            </w:r>
          </w:p>
        </w:tc>
        <w:tc>
          <w:tcPr>
            <w:tcW w:w="1701"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废气流量</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（Nm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/h）</w:t>
            </w:r>
          </w:p>
        </w:tc>
        <w:tc>
          <w:tcPr>
            <w:tcW w:w="1701"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排放浓度（mg/m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w:t>
            </w:r>
          </w:p>
        </w:tc>
        <w:tc>
          <w:tcPr>
            <w:tcW w:w="1318"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排放速率</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36</w:t>
            </w:r>
            <w:r>
              <w:rPr>
                <w:rFonts w:ascii="Times New Roman" w:hAnsi="Times New Roman" w:eastAsia="宋体" w:cs="Times New Roman"/>
                <w:color w:val="FF0000"/>
                <w:szCs w:val="21"/>
              </w:rPr>
              <w:t>#排气筒（铁水预处理除尘器外排口）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858059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839197</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13.5</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716896</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14.2</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804717</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13.1</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37#排气筒（</w:t>
            </w:r>
            <w:r>
              <w:rPr>
                <w:rFonts w:hint="eastAsia" w:ascii="Times New Roman" w:hAnsi="Times New Roman" w:eastAsia="宋体" w:cs="Times New Roman"/>
                <w:color w:val="FF0000"/>
                <w:szCs w:val="21"/>
              </w:rPr>
              <w:t>1</w:t>
            </w:r>
            <w:r>
              <w:rPr>
                <w:rFonts w:ascii="Times New Roman" w:hAnsi="Times New Roman" w:eastAsia="宋体" w:cs="Times New Roman"/>
                <w:color w:val="FF0000"/>
                <w:szCs w:val="21"/>
              </w:rPr>
              <w:t>#转炉烟气除尘排口）</w:t>
            </w:r>
          </w:p>
        </w:tc>
        <w:tc>
          <w:tcPr>
            <w:tcW w:w="1492"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111575</w:t>
            </w:r>
          </w:p>
        </w:tc>
        <w:tc>
          <w:tcPr>
            <w:tcW w:w="1701"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111419</w:t>
            </w:r>
          </w:p>
        </w:tc>
        <w:tc>
          <w:tcPr>
            <w:tcW w:w="1701"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106695</w:t>
            </w:r>
          </w:p>
        </w:tc>
        <w:tc>
          <w:tcPr>
            <w:tcW w:w="1701"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109896</w:t>
            </w:r>
          </w:p>
        </w:tc>
        <w:tc>
          <w:tcPr>
            <w:tcW w:w="1701"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40#排气筒（2#转炉烟气除尘排口）</w:t>
            </w:r>
          </w:p>
        </w:tc>
        <w:tc>
          <w:tcPr>
            <w:tcW w:w="1492"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114971</w:t>
            </w:r>
          </w:p>
        </w:tc>
        <w:tc>
          <w:tcPr>
            <w:tcW w:w="1701"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115698</w:t>
            </w:r>
          </w:p>
        </w:tc>
        <w:tc>
          <w:tcPr>
            <w:tcW w:w="1701"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widowControl/>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115966</w:t>
            </w:r>
          </w:p>
        </w:tc>
        <w:tc>
          <w:tcPr>
            <w:tcW w:w="1701"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115545</w:t>
            </w:r>
          </w:p>
        </w:tc>
        <w:tc>
          <w:tcPr>
            <w:tcW w:w="1701"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c>
          <w:tcPr>
            <w:tcW w:w="1318" w:type="dxa"/>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38</w:t>
            </w:r>
            <w:r>
              <w:rPr>
                <w:rFonts w:ascii="Times New Roman" w:hAnsi="Times New Roman" w:eastAsia="宋体" w:cs="Times New Roman"/>
                <w:color w:val="FF0000"/>
                <w:szCs w:val="21"/>
              </w:rPr>
              <w:t>#排气筒（转炉二次除尘器外排口）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1651878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5.54</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1870716</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4.56</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1858369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4.87</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1793654</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4.99</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39</w:t>
            </w:r>
            <w:r>
              <w:rPr>
                <w:rFonts w:ascii="Times New Roman" w:hAnsi="Times New Roman" w:eastAsia="宋体" w:cs="Times New Roman"/>
                <w:color w:val="FF0000"/>
                <w:szCs w:val="21"/>
              </w:rPr>
              <w:t>#排气筒（转炉三次除尘器外排口）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1453155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1368723</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12.0</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1354142</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12.8</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1392007</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12.6</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38#排气筒（1#转炉二次烟气除尘出口）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1010571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12.4</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1084202</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1055315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12.9</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1050029</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12.5</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37</w:t>
            </w:r>
            <w:r>
              <w:rPr>
                <w:rFonts w:ascii="Times New Roman" w:hAnsi="Times New Roman" w:eastAsia="宋体" w:cs="Times New Roman"/>
                <w:color w:val="FF0000"/>
                <w:szCs w:val="21"/>
              </w:rPr>
              <w:t>#排气筒（转炉屋顶除尘出口）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842574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8.9</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853741</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824798</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9.8</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8.08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840371</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8.9</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39</w:t>
            </w:r>
            <w:r>
              <w:rPr>
                <w:rFonts w:ascii="Times New Roman" w:hAnsi="Times New Roman" w:eastAsia="宋体" w:cs="Times New Roman"/>
                <w:color w:val="FF0000"/>
                <w:szCs w:val="21"/>
              </w:rPr>
              <w:t>#排气筒（精炼及地下料仓出口）</w:t>
            </w:r>
          </w:p>
        </w:tc>
        <w:tc>
          <w:tcPr>
            <w:tcW w:w="1492"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615874</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13.7</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657415</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14.1</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633489</w:t>
            </w:r>
          </w:p>
        </w:tc>
        <w:tc>
          <w:tcPr>
            <w:tcW w:w="170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11.9</w:t>
            </w:r>
          </w:p>
        </w:tc>
        <w:tc>
          <w:tcPr>
            <w:tcW w:w="1318"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5" w:type="dxa"/>
            <w:vMerge w:val="continue"/>
            <w:vAlign w:val="center"/>
          </w:tcPr>
          <w:p>
            <w:pPr>
              <w:jc w:val="center"/>
              <w:rPr>
                <w:rFonts w:ascii="Times New Roman" w:hAnsi="Times New Roman" w:eastAsia="宋体" w:cs="Times New Roman"/>
                <w:color w:val="FF0000"/>
                <w:szCs w:val="21"/>
              </w:rPr>
            </w:pPr>
          </w:p>
        </w:tc>
        <w:tc>
          <w:tcPr>
            <w:tcW w:w="1492" w:type="dxa"/>
            <w:vMerge w:val="continue"/>
            <w:vAlign w:val="center"/>
          </w:tcPr>
          <w:p>
            <w:pPr>
              <w:jc w:val="center"/>
              <w:rPr>
                <w:rFonts w:ascii="Times New Roman" w:hAnsi="Times New Roman" w:eastAsia="宋体" w:cs="Times New Roman"/>
                <w:color w:val="FF0000"/>
                <w:szCs w:val="21"/>
              </w:rPr>
            </w:pPr>
          </w:p>
        </w:tc>
        <w:tc>
          <w:tcPr>
            <w:tcW w:w="127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701"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635593</w:t>
            </w:r>
          </w:p>
        </w:tc>
        <w:tc>
          <w:tcPr>
            <w:tcW w:w="1701"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13.2</w:t>
            </w:r>
          </w:p>
        </w:tc>
        <w:tc>
          <w:tcPr>
            <w:tcW w:w="1318"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8.42</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由监测结果可知，炼钢工序废气经处理后可满足《炼钢工业大气污染物排放标准》（GB28664-2012）表2排放限值要求；</w:t>
      </w:r>
      <w:r>
        <w:rPr>
          <w:rFonts w:hint="eastAsia" w:ascii="Times New Roman" w:hAnsi="Times New Roman" w:eastAsia="宋体" w:cs="Times New Roman"/>
          <w:color w:val="FF0000"/>
          <w:sz w:val="24"/>
        </w:rPr>
        <w:t>转炉二次除尘器、转炉屋顶除尘颗粒物</w:t>
      </w:r>
      <w:r>
        <w:rPr>
          <w:rFonts w:ascii="Times New Roman" w:hAnsi="Times New Roman" w:eastAsia="宋体" w:cs="Times New Roman"/>
          <w:color w:val="FF0000"/>
          <w:sz w:val="24"/>
        </w:rPr>
        <w:t>经处理后</w:t>
      </w:r>
      <w:r>
        <w:rPr>
          <w:rFonts w:hint="eastAsia" w:ascii="Times New Roman" w:hAnsi="Times New Roman" w:eastAsia="宋体" w:cs="Times New Roman"/>
          <w:color w:val="FF0000"/>
          <w:sz w:val="24"/>
        </w:rPr>
        <w:t>能</w:t>
      </w:r>
      <w:r>
        <w:rPr>
          <w:rFonts w:ascii="Times New Roman" w:hAnsi="Times New Roman" w:eastAsia="宋体" w:cs="Times New Roman"/>
          <w:color w:val="FF0000"/>
          <w:sz w:val="24"/>
        </w:rPr>
        <w:t>满足钢铁行业超低排放标准限值要求</w:t>
      </w:r>
      <w:r>
        <w:rPr>
          <w:rFonts w:hint="eastAsia" w:ascii="Times New Roman" w:hAnsi="Times New Roman" w:eastAsia="宋体" w:cs="Times New Roman"/>
          <w:color w:val="FF0000"/>
          <w:sz w:val="24"/>
        </w:rPr>
        <w:t>（颗粒物10mg/m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，炼钢工序其他废气经处理后</w:t>
      </w:r>
      <w:r>
        <w:rPr>
          <w:rFonts w:hint="eastAsia" w:ascii="Times New Roman" w:hAnsi="Times New Roman" w:eastAsia="宋体" w:cs="Times New Roman"/>
          <w:color w:val="FF0000"/>
          <w:sz w:val="24"/>
        </w:rPr>
        <w:t>均</w:t>
      </w:r>
      <w:r>
        <w:rPr>
          <w:rFonts w:ascii="Times New Roman" w:hAnsi="Times New Roman" w:eastAsia="宋体" w:cs="Times New Roman"/>
          <w:color w:val="FF0000"/>
          <w:sz w:val="24"/>
        </w:rPr>
        <w:t>不能满足钢铁行业超低排放标准限值要求</w:t>
      </w:r>
      <w:r>
        <w:rPr>
          <w:rFonts w:hint="eastAsia" w:ascii="Times New Roman" w:hAnsi="Times New Roman" w:eastAsia="宋体" w:cs="Times New Roman"/>
          <w:color w:val="FF0000"/>
          <w:sz w:val="24"/>
        </w:rPr>
        <w:t>（颗粒物10mg/m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w:t>
      </w:r>
      <w:r>
        <w:rPr>
          <w:rFonts w:hint="eastAsia" w:ascii="Times New Roman" w:hAnsi="Times New Roman" w:eastAsia="黑体" w:cs="Times New Roman"/>
          <w:color w:val="FF0000"/>
          <w:sz w:val="24"/>
          <w:lang w:val="en-US" w:eastAsia="zh-CN"/>
        </w:rPr>
        <w:t>6</w:t>
      </w:r>
      <w:r>
        <w:rPr>
          <w:rFonts w:ascii="Times New Roman" w:hAnsi="Times New Roman" w:eastAsia="黑体" w:cs="Times New Roman"/>
          <w:color w:val="FF0000"/>
          <w:sz w:val="24"/>
        </w:rPr>
        <w:t xml:space="preserve">  烧结工序废气检测结果表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41"/>
        <w:gridCol w:w="1108"/>
        <w:gridCol w:w="1108"/>
        <w:gridCol w:w="1555"/>
        <w:gridCol w:w="824"/>
        <w:gridCol w:w="825"/>
        <w:gridCol w:w="755"/>
        <w:gridCol w:w="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检测点位</w:t>
            </w:r>
          </w:p>
        </w:tc>
        <w:tc>
          <w:tcPr>
            <w:tcW w:w="1108"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检测因子</w:t>
            </w:r>
          </w:p>
        </w:tc>
        <w:tc>
          <w:tcPr>
            <w:tcW w:w="1108"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检测频次</w:t>
            </w:r>
          </w:p>
        </w:tc>
        <w:tc>
          <w:tcPr>
            <w:tcW w:w="1555"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废气流量</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（Nm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/h）</w:t>
            </w:r>
          </w:p>
        </w:tc>
        <w:tc>
          <w:tcPr>
            <w:tcW w:w="1649" w:type="dxa"/>
            <w:gridSpan w:val="2"/>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排放浓度（mg/m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w:t>
            </w:r>
          </w:p>
        </w:tc>
        <w:tc>
          <w:tcPr>
            <w:tcW w:w="1511" w:type="dxa"/>
            <w:gridSpan w:val="2"/>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排放速率</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17</w:t>
            </w:r>
            <w:r>
              <w:rPr>
                <w:rFonts w:ascii="Times New Roman" w:hAnsi="Times New Roman" w:eastAsia="宋体" w:cs="Times New Roman"/>
                <w:bCs/>
                <w:color w:val="FF0000"/>
                <w:szCs w:val="21"/>
              </w:rPr>
              <w:t>#排气筒（烧结破碎除尘器出口）</w:t>
            </w:r>
          </w:p>
        </w:tc>
        <w:tc>
          <w:tcPr>
            <w:tcW w:w="1108"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141257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11.7</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1.65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146874</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12.8</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1.88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142598</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11.4</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1.63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555"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143576</w:t>
            </w:r>
          </w:p>
        </w:tc>
        <w:tc>
          <w:tcPr>
            <w:tcW w:w="1649"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12.0</w:t>
            </w:r>
          </w:p>
        </w:tc>
        <w:tc>
          <w:tcPr>
            <w:tcW w:w="1511"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18#排气筒（2#烧结机头外排废气处理设施出口）</w:t>
            </w:r>
          </w:p>
        </w:tc>
        <w:tc>
          <w:tcPr>
            <w:tcW w:w="1108"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852757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17.5</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841774</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19.2</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850617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19.5</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555"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848383</w:t>
            </w:r>
          </w:p>
        </w:tc>
        <w:tc>
          <w:tcPr>
            <w:tcW w:w="1649"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18.7</w:t>
            </w:r>
          </w:p>
        </w:tc>
        <w:tc>
          <w:tcPr>
            <w:tcW w:w="1511"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852757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37.0</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841774</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34.0</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850617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33.0</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555"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848383</w:t>
            </w:r>
          </w:p>
        </w:tc>
        <w:tc>
          <w:tcPr>
            <w:tcW w:w="1649"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35</w:t>
            </w:r>
          </w:p>
        </w:tc>
        <w:tc>
          <w:tcPr>
            <w:tcW w:w="1511"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852757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169.0</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144.0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841774</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170.0</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143.0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850617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172.0</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146.0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555"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848383</w:t>
            </w:r>
          </w:p>
        </w:tc>
        <w:tc>
          <w:tcPr>
            <w:tcW w:w="1649"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170.0</w:t>
            </w:r>
          </w:p>
        </w:tc>
        <w:tc>
          <w:tcPr>
            <w:tcW w:w="1511"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氟化物</w:t>
            </w: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852757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0.52</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841774</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0.53</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850617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0.48</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555"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848383</w:t>
            </w:r>
          </w:p>
        </w:tc>
        <w:tc>
          <w:tcPr>
            <w:tcW w:w="1649"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0.51</w:t>
            </w:r>
          </w:p>
        </w:tc>
        <w:tc>
          <w:tcPr>
            <w:tcW w:w="1511"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二噁英</w:t>
            </w: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852757</w:t>
            </w:r>
          </w:p>
        </w:tc>
        <w:tc>
          <w:tcPr>
            <w:tcW w:w="824"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ng-TEQ/m</w:t>
            </w:r>
            <w:r>
              <w:rPr>
                <w:rFonts w:ascii="Times New Roman" w:hAnsi="Times New Roman" w:eastAsia="宋体" w:cs="Times New Roman"/>
                <w:color w:val="FF0000"/>
                <w:szCs w:val="21"/>
                <w:vertAlign w:val="superscript"/>
              </w:rPr>
              <w:t>3</w:t>
            </w:r>
          </w:p>
        </w:tc>
        <w:tc>
          <w:tcPr>
            <w:tcW w:w="82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0.034</w:t>
            </w:r>
          </w:p>
        </w:tc>
        <w:tc>
          <w:tcPr>
            <w:tcW w:w="755" w:type="dxa"/>
            <w:vMerge w:val="restart"/>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μg-TEQ/h</w:t>
            </w:r>
          </w:p>
        </w:tc>
        <w:tc>
          <w:tcPr>
            <w:tcW w:w="75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841774</w:t>
            </w:r>
          </w:p>
        </w:tc>
        <w:tc>
          <w:tcPr>
            <w:tcW w:w="824" w:type="dxa"/>
            <w:vMerge w:val="continue"/>
            <w:vAlign w:val="center"/>
          </w:tcPr>
          <w:p>
            <w:pPr>
              <w:jc w:val="center"/>
              <w:rPr>
                <w:rFonts w:ascii="Times New Roman" w:hAnsi="Times New Roman" w:eastAsia="宋体" w:cs="Times New Roman"/>
                <w:color w:val="FF0000"/>
                <w:szCs w:val="21"/>
              </w:rPr>
            </w:pPr>
          </w:p>
        </w:tc>
        <w:tc>
          <w:tcPr>
            <w:tcW w:w="82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0.021</w:t>
            </w:r>
          </w:p>
        </w:tc>
        <w:tc>
          <w:tcPr>
            <w:tcW w:w="755" w:type="dxa"/>
            <w:vMerge w:val="continue"/>
            <w:vAlign w:val="center"/>
          </w:tcPr>
          <w:p>
            <w:pPr>
              <w:jc w:val="center"/>
              <w:rPr>
                <w:rFonts w:ascii="Times New Roman" w:hAnsi="Times New Roman" w:eastAsia="宋体" w:cs="Times New Roman"/>
                <w:color w:val="FF0000"/>
              </w:rPr>
            </w:pPr>
          </w:p>
        </w:tc>
        <w:tc>
          <w:tcPr>
            <w:tcW w:w="75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850617</w:t>
            </w:r>
          </w:p>
        </w:tc>
        <w:tc>
          <w:tcPr>
            <w:tcW w:w="824" w:type="dxa"/>
            <w:vMerge w:val="continue"/>
            <w:vAlign w:val="center"/>
          </w:tcPr>
          <w:p>
            <w:pPr>
              <w:jc w:val="center"/>
              <w:rPr>
                <w:rFonts w:ascii="Times New Roman" w:hAnsi="Times New Roman" w:eastAsia="宋体" w:cs="Times New Roman"/>
                <w:color w:val="FF0000"/>
                <w:szCs w:val="21"/>
              </w:rPr>
            </w:pPr>
          </w:p>
        </w:tc>
        <w:tc>
          <w:tcPr>
            <w:tcW w:w="82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0.027</w:t>
            </w:r>
          </w:p>
        </w:tc>
        <w:tc>
          <w:tcPr>
            <w:tcW w:w="755" w:type="dxa"/>
            <w:vMerge w:val="continue"/>
            <w:vAlign w:val="center"/>
          </w:tcPr>
          <w:p>
            <w:pPr>
              <w:jc w:val="center"/>
              <w:rPr>
                <w:rFonts w:ascii="Times New Roman" w:hAnsi="Times New Roman" w:eastAsia="宋体" w:cs="Times New Roman"/>
                <w:color w:val="FF0000"/>
              </w:rPr>
            </w:pPr>
          </w:p>
        </w:tc>
        <w:tc>
          <w:tcPr>
            <w:tcW w:w="75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55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848383</w:t>
            </w:r>
          </w:p>
        </w:tc>
        <w:tc>
          <w:tcPr>
            <w:tcW w:w="824" w:type="dxa"/>
            <w:vMerge w:val="continue"/>
            <w:vAlign w:val="center"/>
          </w:tcPr>
          <w:p>
            <w:pPr>
              <w:jc w:val="center"/>
              <w:rPr>
                <w:rFonts w:ascii="Times New Roman" w:hAnsi="Times New Roman" w:eastAsia="宋体" w:cs="Times New Roman"/>
                <w:color w:val="FF0000"/>
                <w:szCs w:val="21"/>
              </w:rPr>
            </w:pPr>
          </w:p>
        </w:tc>
        <w:tc>
          <w:tcPr>
            <w:tcW w:w="825"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0.027</w:t>
            </w:r>
          </w:p>
        </w:tc>
        <w:tc>
          <w:tcPr>
            <w:tcW w:w="755" w:type="dxa"/>
            <w:vMerge w:val="continue"/>
            <w:vAlign w:val="center"/>
          </w:tcPr>
          <w:p>
            <w:pPr>
              <w:jc w:val="center"/>
              <w:rPr>
                <w:rFonts w:ascii="Times New Roman" w:hAnsi="Times New Roman" w:eastAsia="宋体" w:cs="Times New Roman"/>
                <w:color w:val="FF0000"/>
              </w:rPr>
            </w:pPr>
          </w:p>
        </w:tc>
        <w:tc>
          <w:tcPr>
            <w:tcW w:w="756" w:type="dxa"/>
            <w:vAlign w:val="center"/>
          </w:tcPr>
          <w:p>
            <w:pPr>
              <w:jc w:val="center"/>
              <w:rPr>
                <w:rFonts w:ascii="Times New Roman" w:hAnsi="Times New Roman" w:eastAsia="宋体" w:cs="Times New Roman"/>
                <w:color w:val="FF0000"/>
              </w:rPr>
            </w:pPr>
            <w:r>
              <w:rPr>
                <w:rFonts w:hint="eastAsia" w:ascii="Times New Roman" w:hAnsi="Times New Roman" w:eastAsia="宋体" w:cs="Times New Roman"/>
                <w:color w:val="FF0000"/>
              </w:rPr>
              <w:t>0</w:t>
            </w:r>
            <w:r>
              <w:rPr>
                <w:rFonts w:ascii="Times New Roman" w:hAnsi="Times New Roman" w:eastAsia="宋体" w:cs="Times New Roman"/>
                <w:color w:val="FF0000"/>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restart"/>
            <w:vAlign w:val="center"/>
          </w:tcPr>
          <w:p>
            <w:pPr>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19#排气筒（2#烧结机尾气除尘器出口）</w:t>
            </w:r>
          </w:p>
        </w:tc>
        <w:tc>
          <w:tcPr>
            <w:tcW w:w="1108"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517261</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5.70</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bCs/>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512378</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5.66</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bCs/>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513598</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5.74</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bCs/>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555"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514412</w:t>
            </w:r>
          </w:p>
        </w:tc>
        <w:tc>
          <w:tcPr>
            <w:tcW w:w="1649"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5.7</w:t>
            </w:r>
          </w:p>
        </w:tc>
        <w:tc>
          <w:tcPr>
            <w:tcW w:w="1511"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restart"/>
            <w:vAlign w:val="center"/>
          </w:tcPr>
          <w:p>
            <w:pPr>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20#排气筒（</w:t>
            </w:r>
            <w:r>
              <w:rPr>
                <w:rFonts w:hint="eastAsia" w:ascii="Times New Roman" w:hAnsi="Times New Roman" w:eastAsia="宋体" w:cs="Times New Roman"/>
                <w:bCs/>
                <w:color w:val="FF0000"/>
                <w:szCs w:val="21"/>
              </w:rPr>
              <w:t>烧结块矿</w:t>
            </w:r>
            <w:r>
              <w:rPr>
                <w:rFonts w:ascii="Times New Roman" w:hAnsi="Times New Roman" w:eastAsia="宋体" w:cs="Times New Roman"/>
                <w:bCs/>
                <w:color w:val="FF0000"/>
                <w:szCs w:val="21"/>
              </w:rPr>
              <w:t>烘干除尘器排口）</w:t>
            </w:r>
          </w:p>
        </w:tc>
        <w:tc>
          <w:tcPr>
            <w:tcW w:w="1108"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颗粒物</w:t>
            </w: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555"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114379</w:t>
            </w:r>
          </w:p>
        </w:tc>
        <w:tc>
          <w:tcPr>
            <w:tcW w:w="1649" w:type="dxa"/>
            <w:gridSpan w:val="2"/>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511" w:type="dxa"/>
            <w:gridSpan w:val="2"/>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bCs/>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555"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114675</w:t>
            </w:r>
          </w:p>
        </w:tc>
        <w:tc>
          <w:tcPr>
            <w:tcW w:w="1649" w:type="dxa"/>
            <w:gridSpan w:val="2"/>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511" w:type="dxa"/>
            <w:gridSpan w:val="2"/>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bCs/>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555"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111912</w:t>
            </w:r>
          </w:p>
        </w:tc>
        <w:tc>
          <w:tcPr>
            <w:tcW w:w="1649" w:type="dxa"/>
            <w:gridSpan w:val="2"/>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＜20</w:t>
            </w:r>
          </w:p>
        </w:tc>
        <w:tc>
          <w:tcPr>
            <w:tcW w:w="1511" w:type="dxa"/>
            <w:gridSpan w:val="2"/>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bCs/>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555" w:type="dxa"/>
            <w:vAlign w:val="center"/>
          </w:tcPr>
          <w:p>
            <w:pPr>
              <w:widowControl/>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113655</w:t>
            </w:r>
          </w:p>
        </w:tc>
        <w:tc>
          <w:tcPr>
            <w:tcW w:w="1649" w:type="dxa"/>
            <w:gridSpan w:val="2"/>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c>
          <w:tcPr>
            <w:tcW w:w="1511" w:type="dxa"/>
            <w:gridSpan w:val="2"/>
            <w:vAlign w:val="center"/>
          </w:tcPr>
          <w:p>
            <w:pPr>
              <w:jc w:val="center"/>
              <w:rPr>
                <w:rFonts w:ascii="Times New Roman" w:hAnsi="Times New Roman" w:eastAsia="等线" w:cs="Times New Roman"/>
                <w:color w:val="FF0000"/>
                <w:szCs w:val="21"/>
              </w:rPr>
            </w:pPr>
            <w:r>
              <w:rPr>
                <w:rFonts w:hint="eastAsia"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16</w:t>
            </w:r>
            <w:r>
              <w:rPr>
                <w:rFonts w:ascii="Times New Roman" w:hAnsi="Times New Roman" w:eastAsia="宋体" w:cs="Times New Roman"/>
                <w:bCs/>
                <w:color w:val="FF0000"/>
                <w:szCs w:val="21"/>
              </w:rPr>
              <w:t>#</w:t>
            </w:r>
            <w:r>
              <w:rPr>
                <w:rFonts w:hint="eastAsia" w:ascii="Times New Roman" w:hAnsi="Times New Roman" w:eastAsia="宋体" w:cs="Times New Roman"/>
                <w:bCs/>
                <w:color w:val="FF0000"/>
                <w:szCs w:val="21"/>
              </w:rPr>
              <w:t>排气筒</w:t>
            </w:r>
            <w:r>
              <w:rPr>
                <w:rFonts w:ascii="Times New Roman" w:hAnsi="Times New Roman" w:eastAsia="宋体" w:cs="Times New Roman"/>
                <w:bCs/>
                <w:color w:val="FF0000"/>
                <w:szCs w:val="21"/>
              </w:rPr>
              <w:t>（烧结配料除尘器出口）</w:t>
            </w:r>
          </w:p>
        </w:tc>
        <w:tc>
          <w:tcPr>
            <w:tcW w:w="1108"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159854</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10.8</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1.73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164477</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11.5</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1.89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555"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160578</w:t>
            </w:r>
          </w:p>
        </w:tc>
        <w:tc>
          <w:tcPr>
            <w:tcW w:w="1649"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12.9</w:t>
            </w:r>
          </w:p>
        </w:tc>
        <w:tc>
          <w:tcPr>
            <w:tcW w:w="1511" w:type="dxa"/>
            <w:gridSpan w:val="2"/>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2.07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1" w:type="dxa"/>
            <w:vMerge w:val="continue"/>
            <w:vAlign w:val="center"/>
          </w:tcPr>
          <w:p>
            <w:pPr>
              <w:jc w:val="center"/>
              <w:rPr>
                <w:rFonts w:ascii="Times New Roman" w:hAnsi="Times New Roman" w:eastAsia="宋体" w:cs="Times New Roman"/>
                <w:color w:val="FF0000"/>
                <w:szCs w:val="21"/>
              </w:rPr>
            </w:pPr>
          </w:p>
        </w:tc>
        <w:tc>
          <w:tcPr>
            <w:tcW w:w="1108" w:type="dxa"/>
            <w:vMerge w:val="continue"/>
            <w:vAlign w:val="center"/>
          </w:tcPr>
          <w:p>
            <w:pPr>
              <w:jc w:val="center"/>
              <w:rPr>
                <w:rFonts w:ascii="Times New Roman" w:hAnsi="Times New Roman" w:eastAsia="宋体" w:cs="Times New Roman"/>
                <w:color w:val="FF0000"/>
                <w:szCs w:val="21"/>
              </w:rPr>
            </w:pPr>
          </w:p>
        </w:tc>
        <w:tc>
          <w:tcPr>
            <w:tcW w:w="1108"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555"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161636</w:t>
            </w:r>
          </w:p>
        </w:tc>
        <w:tc>
          <w:tcPr>
            <w:tcW w:w="1649"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11.7</w:t>
            </w:r>
          </w:p>
        </w:tc>
        <w:tc>
          <w:tcPr>
            <w:tcW w:w="1511" w:type="dxa"/>
            <w:gridSpan w:val="2"/>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1.90</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由监测结果可知，烧结工序废气经处理后可满足《钢铁烧结、球团工业大气污染物排放标准》（GB28662-2012）表2排放限值要求；2#烧结机尾气经处理后能满足钢铁行业超低排放标准限值要求</w:t>
      </w:r>
      <w:r>
        <w:rPr>
          <w:rFonts w:hint="eastAsia" w:ascii="Times New Roman" w:hAnsi="Times New Roman" w:eastAsia="宋体" w:cs="Times New Roman"/>
          <w:color w:val="FF0000"/>
          <w:sz w:val="24"/>
        </w:rPr>
        <w:t>（颗粒物10mg/m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，烧结工序其他废气经处理后不能满足钢铁行业超低排放标准限值要求</w:t>
      </w:r>
      <w:r>
        <w:rPr>
          <w:rFonts w:hint="eastAsia" w:ascii="Times New Roman" w:hAnsi="Times New Roman" w:eastAsia="宋体" w:cs="Times New Roman"/>
          <w:color w:val="FF0000"/>
          <w:sz w:val="24"/>
        </w:rPr>
        <w:t>（颗粒物10mg/m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、二氧化硫35mg/m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、氮氧化物50mg/m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 xml:space="preserve">  焦化工序废气检测结果表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1313"/>
        <w:gridCol w:w="1477"/>
        <w:gridCol w:w="1477"/>
        <w:gridCol w:w="1476"/>
        <w:gridCol w:w="1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检测点位</w:t>
            </w:r>
          </w:p>
        </w:tc>
        <w:tc>
          <w:tcPr>
            <w:tcW w:w="1313"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检测因子</w:t>
            </w:r>
          </w:p>
        </w:tc>
        <w:tc>
          <w:tcPr>
            <w:tcW w:w="1477"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检测频次</w:t>
            </w:r>
          </w:p>
        </w:tc>
        <w:tc>
          <w:tcPr>
            <w:tcW w:w="1477"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废气流量</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（Nm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/h）</w:t>
            </w:r>
          </w:p>
        </w:tc>
        <w:tc>
          <w:tcPr>
            <w:tcW w:w="1476"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排放浓度（mg/m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w:t>
            </w:r>
          </w:p>
        </w:tc>
        <w:tc>
          <w:tcPr>
            <w:tcW w:w="1526"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排放速率</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6</w:t>
            </w:r>
            <w:r>
              <w:rPr>
                <w:rFonts w:ascii="Times New Roman" w:hAnsi="Times New Roman" w:eastAsia="宋体" w:cs="Times New Roman"/>
                <w:bCs/>
                <w:color w:val="FF0000"/>
                <w:szCs w:val="21"/>
              </w:rPr>
              <w:t>#排气筒（焦化装煤除尘器出口）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87483</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14.9</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1.30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88246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82076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1.08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85935</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13.4</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57028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56313</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60609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57983</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0.657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苯并[a]芘</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57028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ND</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56313</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ND</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60609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ND</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57983</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9</w:t>
            </w:r>
            <w:r>
              <w:rPr>
                <w:rFonts w:ascii="Times New Roman" w:hAnsi="Times New Roman" w:eastAsia="宋体" w:cs="Times New Roman"/>
                <w:bCs/>
                <w:color w:val="FF0000"/>
                <w:szCs w:val="21"/>
              </w:rPr>
              <w:t>#排气筒（焦化干熄焦除尘器出口）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157724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10.7</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1.69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160157</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1.79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168538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12.9</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2.17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162140</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11.6</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176886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5.13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173037</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169611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173178</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27</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4.62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10</w:t>
            </w:r>
            <w:r>
              <w:rPr>
                <w:rFonts w:ascii="Times New Roman" w:hAnsi="Times New Roman" w:eastAsia="宋体" w:cs="Times New Roman"/>
                <w:color w:val="FF0000"/>
                <w:szCs w:val="21"/>
              </w:rPr>
              <w:t>#排气筒（焦化筛焦楼除尘器出口）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311038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297258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312029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306775</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7</w:t>
            </w:r>
            <w:r>
              <w:rPr>
                <w:rFonts w:ascii="Times New Roman" w:hAnsi="Times New Roman" w:eastAsia="宋体" w:cs="Times New Roman"/>
                <w:bCs/>
                <w:color w:val="FF0000"/>
                <w:szCs w:val="21"/>
              </w:rPr>
              <w:t>#排气筒（焦化推焦除尘器出口）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197851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211475</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16.9</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3.57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208541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3.44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205956</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16.4</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214414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195358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5.47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208234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5.83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206002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25.67</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5.27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苯并[a]芘</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214414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ND</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195358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ND</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208234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ND</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206002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8</w:t>
            </w:r>
            <w:r>
              <w:rPr>
                <w:rFonts w:ascii="Times New Roman" w:hAnsi="Times New Roman" w:eastAsia="宋体" w:cs="Times New Roman"/>
                <w:color w:val="FF0000"/>
                <w:szCs w:val="21"/>
              </w:rPr>
              <w:t>#排气筒（焦化散逸烟气回收系统出口）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313899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319035</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318048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316994</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10.3</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313899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319035</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318048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316994</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26</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313899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86.0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319035</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318048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51.0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316994</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w:t>
            </w:r>
            <w:r>
              <w:rPr>
                <w:rFonts w:ascii="Times New Roman" w:hAnsi="Times New Roman" w:eastAsia="宋体" w:cs="Times New Roman"/>
                <w:color w:val="FF0000"/>
                <w:szCs w:val="21"/>
              </w:rPr>
              <w:t>#排气筒（焦化备煤粉碎除尘器出口）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56020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56574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10.4</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56788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56461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10.3</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0.665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13</w:t>
            </w:r>
            <w:r>
              <w:rPr>
                <w:rFonts w:ascii="Times New Roman" w:hAnsi="Times New Roman" w:eastAsia="宋体" w:cs="Times New Roman"/>
                <w:color w:val="FF0000"/>
                <w:szCs w:val="21"/>
              </w:rPr>
              <w:t>#排气筒（焦化粗苯管式炉尾气）</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14501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9.56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15379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9.12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14806</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9.63</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14501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15379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14806</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16</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14501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39.0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15379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14806</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41</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12</w:t>
            </w:r>
            <w:r>
              <w:rPr>
                <w:rFonts w:ascii="Times New Roman" w:hAnsi="Times New Roman" w:eastAsia="宋体" w:cs="Times New Roman"/>
                <w:bCs/>
                <w:color w:val="FF0000"/>
                <w:szCs w:val="21"/>
              </w:rPr>
              <w:t>#排气筒（焦化硫铵干燥废气处理设施出口）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17472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15.9</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0.278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16489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14.7</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0.242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17056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16.4</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0.280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17006</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15.7</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氨气</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13239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13192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13312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13248</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3.48</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pStyle w:val="41"/>
              <w:spacing w:line="240" w:lineRule="auto"/>
              <w:rPr>
                <w:bCs/>
                <w:color w:val="FF0000"/>
              </w:rPr>
            </w:pPr>
            <w:r>
              <w:rPr>
                <w:rFonts w:hint="eastAsia"/>
                <w:color w:val="FF0000"/>
              </w:rPr>
              <w:t>11</w:t>
            </w:r>
            <w:r>
              <w:rPr>
                <w:color w:val="FF0000"/>
              </w:rPr>
              <w:t>#排气筒（焦炉煤气净化尾气回收出口）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16847</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0.126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17495</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8.4</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18431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 xml:space="preserve">0.159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17591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氨气</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15310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3.84</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18852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21460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3.57</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18541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3.82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硫化氢</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15310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0.71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18852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0.72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21460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0.69</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18541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0.71</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w:t>
            </w:r>
            <w:r>
              <w:rPr>
                <w:rFonts w:ascii="Times New Roman" w:hAnsi="Times New Roman" w:eastAsia="宋体" w:cs="Times New Roman"/>
                <w:color w:val="FF0000"/>
                <w:szCs w:val="21"/>
              </w:rPr>
              <w:t>#排气筒（焦化焦炉烟囱）</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w:t>
            </w:r>
          </w:p>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400767</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439384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282452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374201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10.6</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400767</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439384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282452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374201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26</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400767</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205.0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439384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210.0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282452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235.0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374201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217</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80.3</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由监测结果可知，焦化工序废气经处理后可满足《炼焦化学工业污染物排放标准》（GB16171-2012）表5排放限值要求；</w:t>
      </w:r>
      <w:r>
        <w:rPr>
          <w:rFonts w:hint="eastAsia" w:ascii="Times New Roman" w:hAnsi="Times New Roman" w:eastAsia="宋体" w:cs="Times New Roman"/>
          <w:color w:val="FF0000"/>
          <w:sz w:val="24"/>
        </w:rPr>
        <w:t>焦化散逸烟气回收系统、焦化粗苯管式炉尾气中氮氧化物</w:t>
      </w:r>
      <w:r>
        <w:rPr>
          <w:rFonts w:ascii="Times New Roman" w:hAnsi="Times New Roman" w:eastAsia="宋体" w:cs="Times New Roman"/>
          <w:color w:val="FF0000"/>
          <w:sz w:val="24"/>
        </w:rPr>
        <w:t>经处理后能满足钢铁行业超低排放标准限值要求</w:t>
      </w:r>
      <w:r>
        <w:rPr>
          <w:rFonts w:hint="eastAsia" w:ascii="Times New Roman" w:hAnsi="Times New Roman" w:eastAsia="宋体" w:cs="Times New Roman"/>
          <w:color w:val="FF0000"/>
          <w:sz w:val="24"/>
        </w:rPr>
        <w:t>（氮氧化物150mg/m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焦化工序其他废气经处理后</w:t>
      </w:r>
      <w:r>
        <w:rPr>
          <w:rFonts w:hint="eastAsia" w:ascii="Times New Roman" w:hAnsi="Times New Roman" w:eastAsia="宋体" w:cs="Times New Roman"/>
          <w:color w:val="FF0000"/>
          <w:sz w:val="24"/>
        </w:rPr>
        <w:t>不</w:t>
      </w:r>
      <w:r>
        <w:rPr>
          <w:rFonts w:ascii="Times New Roman" w:hAnsi="Times New Roman" w:eastAsia="宋体" w:cs="Times New Roman"/>
          <w:color w:val="FF0000"/>
          <w:sz w:val="24"/>
        </w:rPr>
        <w:t>能满足钢铁行业超低排放标准限值要求</w:t>
      </w:r>
      <w:r>
        <w:rPr>
          <w:rFonts w:hint="eastAsia" w:ascii="Times New Roman" w:hAnsi="Times New Roman" w:eastAsia="宋体" w:cs="Times New Roman"/>
          <w:color w:val="FF0000"/>
          <w:sz w:val="24"/>
        </w:rPr>
        <w:t>（颗粒物10mg/m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、二氧化硫30mg/m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、氮氧化物150mg/m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w:t>
      </w:r>
      <w:r>
        <w:rPr>
          <w:rFonts w:hint="eastAsia" w:ascii="Times New Roman" w:hAnsi="Times New Roman" w:eastAsia="黑体" w:cs="Times New Roman"/>
          <w:color w:val="FF0000"/>
          <w:sz w:val="24"/>
          <w:lang w:val="en-US" w:eastAsia="zh-CN"/>
        </w:rPr>
        <w:t>8</w:t>
      </w:r>
      <w:r>
        <w:rPr>
          <w:rFonts w:ascii="Times New Roman" w:hAnsi="Times New Roman" w:eastAsia="黑体" w:cs="Times New Roman"/>
          <w:color w:val="FF0000"/>
          <w:sz w:val="24"/>
        </w:rPr>
        <w:t xml:space="preserve">  轧钢车间废气检测结果表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1313"/>
        <w:gridCol w:w="1477"/>
        <w:gridCol w:w="1477"/>
        <w:gridCol w:w="1476"/>
        <w:gridCol w:w="1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检测点位</w:t>
            </w:r>
          </w:p>
        </w:tc>
        <w:tc>
          <w:tcPr>
            <w:tcW w:w="1313"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检测因子</w:t>
            </w:r>
          </w:p>
        </w:tc>
        <w:tc>
          <w:tcPr>
            <w:tcW w:w="1477"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检测频次</w:t>
            </w:r>
          </w:p>
        </w:tc>
        <w:tc>
          <w:tcPr>
            <w:tcW w:w="1477"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废气流量</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（Nm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/h）</w:t>
            </w:r>
          </w:p>
        </w:tc>
        <w:tc>
          <w:tcPr>
            <w:tcW w:w="1476"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排放浓度（mg/m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w:t>
            </w:r>
          </w:p>
        </w:tc>
        <w:tc>
          <w:tcPr>
            <w:tcW w:w="1526"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排放速率</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bCs/>
                <w:color w:val="FF0000"/>
                <w:szCs w:val="21"/>
              </w:rPr>
            </w:pPr>
            <w:r>
              <w:rPr>
                <w:rFonts w:hint="eastAsia" w:ascii="Times New Roman" w:hAnsi="Times New Roman" w:eastAsia="宋体" w:cs="Times New Roman"/>
                <w:bCs/>
                <w:color w:val="FF0000"/>
                <w:szCs w:val="21"/>
              </w:rPr>
              <w:t>52</w:t>
            </w:r>
            <w:r>
              <w:rPr>
                <w:rFonts w:ascii="Times New Roman" w:hAnsi="Times New Roman" w:eastAsia="宋体" w:cs="Times New Roman"/>
                <w:bCs/>
                <w:color w:val="FF0000"/>
                <w:szCs w:val="21"/>
              </w:rPr>
              <w:t>#排气筒（普通高线工段加热炉空废外排口）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45928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46469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42712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45036</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11.6</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0.523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45928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46469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42712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45036</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45928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46469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42712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45036</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37</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highlight w:val="yellow"/>
              </w:rPr>
            </w:pPr>
            <w:r>
              <w:rPr>
                <w:rFonts w:hint="eastAsia" w:ascii="Times New Roman" w:hAnsi="Times New Roman" w:eastAsia="宋体" w:cs="Times New Roman"/>
                <w:color w:val="FF0000"/>
                <w:szCs w:val="21"/>
              </w:rPr>
              <w:t>53</w:t>
            </w:r>
            <w:r>
              <w:rPr>
                <w:rFonts w:ascii="Times New Roman" w:hAnsi="Times New Roman" w:eastAsia="宋体" w:cs="Times New Roman"/>
                <w:color w:val="FF0000"/>
                <w:szCs w:val="21"/>
              </w:rPr>
              <w:t>#排气筒（普通高线加热炉煤废外排口）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72168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76239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77944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75450</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72168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76239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77944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75450</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72168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76239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77944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highlight w:val="yellow"/>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75450</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24</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w:t>
            </w:r>
            <w:r>
              <w:rPr>
                <w:rFonts w:ascii="Times New Roman" w:hAnsi="Times New Roman" w:eastAsia="宋体" w:cs="Times New Roman"/>
                <w:color w:val="FF0000"/>
                <w:szCs w:val="21"/>
              </w:rPr>
              <w:t>4#排气筒（精品高线加热炉</w:t>
            </w:r>
            <w:r>
              <w:rPr>
                <w:rFonts w:hint="eastAsia" w:ascii="Times New Roman" w:hAnsi="Times New Roman" w:eastAsia="宋体" w:cs="Times New Roman"/>
                <w:color w:val="FF0000"/>
                <w:szCs w:val="21"/>
              </w:rPr>
              <w:t>空废</w:t>
            </w:r>
            <w:r>
              <w:rPr>
                <w:rFonts w:ascii="Times New Roman" w:hAnsi="Times New Roman" w:eastAsia="宋体" w:cs="Times New Roman"/>
                <w:color w:val="FF0000"/>
                <w:szCs w:val="21"/>
              </w:rPr>
              <w:t>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24912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24314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29470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26232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14</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24912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24314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0.778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29470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26232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31</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0.811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24912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24314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67</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29470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26232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64</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55</w:t>
            </w:r>
            <w:r>
              <w:rPr>
                <w:rFonts w:ascii="Times New Roman" w:hAnsi="Times New Roman" w:eastAsia="宋体" w:cs="Times New Roman"/>
                <w:color w:val="FF0000"/>
                <w:szCs w:val="21"/>
              </w:rPr>
              <w:t>#排气筒（精品高线加热炉煤废外排口）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38410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44591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12.7</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43462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42154</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12.4</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0.524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38410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44591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43462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42154</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40</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38410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44591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87</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43462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42154</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87</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48</w:t>
            </w:r>
            <w:r>
              <w:rPr>
                <w:rFonts w:ascii="Times New Roman" w:hAnsi="Times New Roman" w:eastAsia="宋体" w:cs="Times New Roman"/>
                <w:color w:val="FF0000"/>
                <w:szCs w:val="21"/>
              </w:rPr>
              <w:t>#排气筒（中棒加热炉空废外排口）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53299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52079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54609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53329</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10.8</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0.576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53299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52079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54609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34</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53329</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36</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53299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52079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54609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53329</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49</w:t>
            </w:r>
            <w:r>
              <w:rPr>
                <w:rFonts w:ascii="Times New Roman" w:hAnsi="Times New Roman" w:eastAsia="宋体" w:cs="Times New Roman"/>
                <w:color w:val="FF0000"/>
                <w:szCs w:val="21"/>
              </w:rPr>
              <w:t>#排气筒（中棒加热炉煤废外排口）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85868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9.85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0.846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90769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0.926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102180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92939</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0.947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85868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90769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102180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92939</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85868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6.70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90769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79</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102180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92939</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78</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50</w:t>
            </w:r>
            <w:r>
              <w:rPr>
                <w:rFonts w:ascii="Times New Roman" w:hAnsi="Times New Roman" w:eastAsia="宋体" w:cs="Times New Roman"/>
                <w:color w:val="FF0000"/>
                <w:szCs w:val="21"/>
              </w:rPr>
              <w:t>#排气筒（大棒加热炉空废外排口）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30416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8.88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0.270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23650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7.68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0.182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25248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0.258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26438</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8.92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0.237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30416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23650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0.473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25248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0.555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26438</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21</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0.556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30416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23650</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25248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26438</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52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51</w:t>
            </w:r>
            <w:r>
              <w:rPr>
                <w:rFonts w:ascii="Times New Roman" w:hAnsi="Times New Roman" w:eastAsia="宋体" w:cs="Times New Roman"/>
                <w:color w:val="FF0000"/>
                <w:szCs w:val="21"/>
              </w:rPr>
              <w:t>#排气筒（大棒加热炉空废外排口）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30043</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30748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33441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0.368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31411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10.9</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0.342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30043</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30748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0.646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33441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0.769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31411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21</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0.672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30043</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30748</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33441</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31411</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63</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46</w:t>
            </w:r>
            <w:r>
              <w:rPr>
                <w:rFonts w:ascii="Times New Roman" w:hAnsi="Times New Roman" w:eastAsia="宋体" w:cs="Times New Roman"/>
                <w:color w:val="FF0000"/>
                <w:szCs w:val="21"/>
              </w:rPr>
              <w:t>#排气筒（小棒加热炉空废外排口）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77573</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0.892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70234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12.0</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0.843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70166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0.856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72658</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11.9</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0.864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77573</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44</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70234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70166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72658</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42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77573</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70234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61</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70166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4.63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72658</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63</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47</w:t>
            </w:r>
            <w:r>
              <w:rPr>
                <w:rFonts w:ascii="Times New Roman" w:hAnsi="Times New Roman" w:eastAsia="宋体" w:cs="Times New Roman"/>
                <w:color w:val="FF0000"/>
                <w:szCs w:val="21"/>
              </w:rPr>
              <w:t>#排气筒</w:t>
            </w:r>
            <w:r>
              <w:rPr>
                <w:rFonts w:hint="eastAsia" w:ascii="Times New Roman" w:hAnsi="Times New Roman" w:eastAsia="宋体" w:cs="Times New Roman"/>
                <w:color w:val="FF0000"/>
                <w:szCs w:val="21"/>
              </w:rPr>
              <w:t>（</w:t>
            </w:r>
            <w:r>
              <w:rPr>
                <w:rFonts w:ascii="Times New Roman" w:hAnsi="Times New Roman" w:eastAsia="宋体" w:cs="Times New Roman"/>
                <w:color w:val="FF0000"/>
                <w:szCs w:val="21"/>
              </w:rPr>
              <w:t>小棒加热炉空废外排口</w:t>
            </w:r>
            <w:r>
              <w:rPr>
                <w:rFonts w:hint="eastAsia" w:ascii="Times New Roman" w:hAnsi="Times New Roman" w:eastAsia="宋体" w:cs="Times New Roman"/>
                <w:color w:val="FF0000"/>
                <w:szCs w:val="21"/>
              </w:rPr>
              <w:t>）</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74765</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0.994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75166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0.962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86744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78892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13.2</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74765</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75166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46</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86744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3.90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78892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45</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3.57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74765</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75166</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7.89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86744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109</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78892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106</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8.4</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由监测结果可知，轧钢工序废气经处理后可满足《轧钢工业大气污染物排放标准》（GB28665-2012）表2排放限值要求；轧钢工序废气中颗粒物经处理后不能满足钢铁行业超低排放标准限值要求</w:t>
      </w:r>
      <w:r>
        <w:rPr>
          <w:rFonts w:hint="eastAsia" w:ascii="Times New Roman" w:hAnsi="Times New Roman" w:eastAsia="宋体" w:cs="Times New Roman"/>
          <w:color w:val="FF0000"/>
          <w:sz w:val="24"/>
        </w:rPr>
        <w:t>（颗粒物10mg/m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、二氧化硫50mg/m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、氮氧化物200mg/m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，轧钢工序其他废气经处理后</w:t>
      </w:r>
      <w:r>
        <w:rPr>
          <w:rFonts w:hint="eastAsia" w:ascii="Times New Roman" w:hAnsi="Times New Roman" w:eastAsia="宋体" w:cs="Times New Roman"/>
          <w:color w:val="FF0000"/>
          <w:sz w:val="24"/>
        </w:rPr>
        <w:t>均</w:t>
      </w:r>
      <w:r>
        <w:rPr>
          <w:rFonts w:ascii="Times New Roman" w:hAnsi="Times New Roman" w:eastAsia="宋体" w:cs="Times New Roman"/>
          <w:color w:val="FF0000"/>
          <w:sz w:val="24"/>
        </w:rPr>
        <w:t>能满足钢铁行业超低排放标准限值要求</w:t>
      </w:r>
      <w:r>
        <w:rPr>
          <w:rFonts w:hint="eastAsia" w:ascii="Times New Roman" w:hAnsi="Times New Roman" w:eastAsia="宋体" w:cs="Times New Roman"/>
          <w:color w:val="FF0000"/>
          <w:sz w:val="24"/>
        </w:rPr>
        <w:t>（二氧化硫50mg/m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、氮氧化物200mg/m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w:t>
      </w:r>
      <w:r>
        <w:rPr>
          <w:rFonts w:hint="eastAsia" w:ascii="Times New Roman" w:hAnsi="Times New Roman" w:eastAsia="黑体" w:cs="Times New Roman"/>
          <w:color w:val="FF0000"/>
          <w:sz w:val="24"/>
          <w:lang w:val="en-US" w:eastAsia="zh-CN"/>
        </w:rPr>
        <w:t>9</w:t>
      </w:r>
      <w:r>
        <w:rPr>
          <w:rFonts w:ascii="Times New Roman" w:hAnsi="Times New Roman" w:eastAsia="黑体" w:cs="Times New Roman"/>
          <w:color w:val="FF0000"/>
          <w:sz w:val="24"/>
        </w:rPr>
        <w:t xml:space="preserve">  发电工序废气检测结果表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1313"/>
        <w:gridCol w:w="1477"/>
        <w:gridCol w:w="1477"/>
        <w:gridCol w:w="1476"/>
        <w:gridCol w:w="1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检测点位</w:t>
            </w:r>
          </w:p>
        </w:tc>
        <w:tc>
          <w:tcPr>
            <w:tcW w:w="1313"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检测因子</w:t>
            </w:r>
          </w:p>
        </w:tc>
        <w:tc>
          <w:tcPr>
            <w:tcW w:w="1477"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检测频次</w:t>
            </w:r>
          </w:p>
        </w:tc>
        <w:tc>
          <w:tcPr>
            <w:tcW w:w="1477"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废气流量</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（Nm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/h）</w:t>
            </w:r>
          </w:p>
        </w:tc>
        <w:tc>
          <w:tcPr>
            <w:tcW w:w="1476" w:type="dxa"/>
            <w:vAlign w:val="center"/>
          </w:tcPr>
          <w:p>
            <w:pPr>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排放浓度（mg/m</w:t>
            </w:r>
            <w:r>
              <w:rPr>
                <w:rFonts w:ascii="Times New Roman" w:hAnsi="Times New Roman" w:eastAsia="宋体" w:cs="Times New Roman"/>
                <w:b/>
                <w:color w:val="FF0000"/>
                <w:szCs w:val="21"/>
                <w:vertAlign w:val="superscript"/>
              </w:rPr>
              <w:t>3</w:t>
            </w:r>
            <w:r>
              <w:rPr>
                <w:rFonts w:ascii="Times New Roman" w:hAnsi="Times New Roman" w:eastAsia="宋体" w:cs="Times New Roman"/>
                <w:b/>
                <w:color w:val="FF0000"/>
                <w:szCs w:val="21"/>
              </w:rPr>
              <w:t>）</w:t>
            </w:r>
          </w:p>
        </w:tc>
        <w:tc>
          <w:tcPr>
            <w:tcW w:w="1526"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排放速率</w:t>
            </w:r>
          </w:p>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restart"/>
            <w:vAlign w:val="center"/>
          </w:tcPr>
          <w:p>
            <w:pPr>
              <w:jc w:val="center"/>
              <w:rPr>
                <w:rFonts w:ascii="Times New Roman" w:hAnsi="Times New Roman" w:eastAsia="宋体" w:cs="Times New Roman"/>
                <w:bCs/>
                <w:color w:val="FF0000"/>
                <w:szCs w:val="21"/>
              </w:rPr>
            </w:pPr>
            <w:r>
              <w:rPr>
                <w:rFonts w:hint="eastAsia" w:ascii="Times New Roman" w:hAnsi="Times New Roman" w:eastAsia="宋体" w:cs="Times New Roman"/>
                <w:bCs/>
                <w:color w:val="FF0000"/>
                <w:szCs w:val="21"/>
              </w:rPr>
              <w:t>1</w:t>
            </w:r>
            <w:r>
              <w:rPr>
                <w:rFonts w:ascii="Times New Roman" w:hAnsi="Times New Roman" w:eastAsia="宋体" w:cs="Times New Roman"/>
                <w:bCs/>
                <w:color w:val="FF0000"/>
                <w:szCs w:val="21"/>
              </w:rPr>
              <w:t>#排气筒（发电车间烟囱外排口）</w:t>
            </w: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低浓度颗粒物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355714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4.52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358622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360539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4.08</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1.47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358292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4.31</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1.54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355714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358622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8.61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360539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9.01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358292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25</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8.84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第一次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355714</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74</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第二次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358622</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73</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第三次</w:t>
            </w:r>
          </w:p>
        </w:tc>
        <w:tc>
          <w:tcPr>
            <w:tcW w:w="14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360539</w:t>
            </w:r>
          </w:p>
        </w:tc>
        <w:tc>
          <w:tcPr>
            <w:tcW w:w="14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72</w:t>
            </w:r>
          </w:p>
        </w:tc>
        <w:tc>
          <w:tcPr>
            <w:tcW w:w="1526" w:type="dxa"/>
            <w:vAlign w:val="center"/>
          </w:tcPr>
          <w:p>
            <w:pPr>
              <w:jc w:val="center"/>
              <w:rPr>
                <w:rFonts w:ascii="Times New Roman" w:hAnsi="Times New Roman" w:eastAsia="宋体" w:cs="Times New Roman"/>
                <w:color w:val="FF0000"/>
              </w:rPr>
            </w:pPr>
            <w:r>
              <w:rPr>
                <w:rFonts w:ascii="Times New Roman" w:hAnsi="Times New Roman" w:eastAsia="宋体" w:cs="Times New Roman"/>
                <w:color w:val="FF0000"/>
              </w:rPr>
              <w:t>25.96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3" w:type="dxa"/>
            <w:vMerge w:val="continue"/>
            <w:vAlign w:val="center"/>
          </w:tcPr>
          <w:p>
            <w:pPr>
              <w:jc w:val="center"/>
              <w:rPr>
                <w:rFonts w:ascii="Times New Roman" w:hAnsi="Times New Roman" w:eastAsia="宋体" w:cs="Times New Roman"/>
                <w:color w:val="FF0000"/>
                <w:szCs w:val="21"/>
              </w:rPr>
            </w:pPr>
          </w:p>
        </w:tc>
        <w:tc>
          <w:tcPr>
            <w:tcW w:w="1313" w:type="dxa"/>
            <w:vMerge w:val="continue"/>
            <w:vAlign w:val="center"/>
          </w:tcPr>
          <w:p>
            <w:pPr>
              <w:jc w:val="center"/>
              <w:rPr>
                <w:rFonts w:ascii="Times New Roman" w:hAnsi="Times New Roman" w:eastAsia="宋体" w:cs="Times New Roman"/>
                <w:color w:val="FF0000"/>
                <w:szCs w:val="21"/>
              </w:rPr>
            </w:pPr>
          </w:p>
        </w:tc>
        <w:tc>
          <w:tcPr>
            <w:tcW w:w="1477"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平均值</w:t>
            </w:r>
          </w:p>
        </w:tc>
        <w:tc>
          <w:tcPr>
            <w:tcW w:w="1477" w:type="dxa"/>
            <w:vAlign w:val="center"/>
          </w:tcPr>
          <w:p>
            <w:pPr>
              <w:widowControl/>
              <w:jc w:val="center"/>
              <w:rPr>
                <w:rFonts w:ascii="Times New Roman" w:hAnsi="Times New Roman" w:eastAsia="等线" w:cs="Times New Roman"/>
                <w:color w:val="FF0000"/>
                <w:kern w:val="0"/>
                <w:szCs w:val="21"/>
              </w:rPr>
            </w:pPr>
            <w:r>
              <w:rPr>
                <w:rFonts w:ascii="Times New Roman" w:hAnsi="Times New Roman" w:eastAsia="等线" w:cs="Times New Roman"/>
                <w:color w:val="FF0000"/>
                <w:szCs w:val="21"/>
              </w:rPr>
              <w:t>358292</w:t>
            </w:r>
          </w:p>
        </w:tc>
        <w:tc>
          <w:tcPr>
            <w:tcW w:w="147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73</w:t>
            </w:r>
          </w:p>
        </w:tc>
        <w:tc>
          <w:tcPr>
            <w:tcW w:w="1526" w:type="dxa"/>
            <w:vAlign w:val="center"/>
          </w:tcPr>
          <w:p>
            <w:pPr>
              <w:jc w:val="center"/>
              <w:rPr>
                <w:rFonts w:ascii="Times New Roman" w:hAnsi="Times New Roman" w:eastAsia="等线" w:cs="Times New Roman"/>
                <w:color w:val="FF0000"/>
                <w:szCs w:val="21"/>
              </w:rPr>
            </w:pPr>
            <w:r>
              <w:rPr>
                <w:rFonts w:ascii="Times New Roman" w:hAnsi="Times New Roman" w:eastAsia="等线" w:cs="Times New Roman"/>
                <w:color w:val="FF0000"/>
                <w:szCs w:val="21"/>
              </w:rPr>
              <w:t>26.15</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由监测结果可知，</w:t>
      </w:r>
      <w:r>
        <w:rPr>
          <w:rFonts w:hint="eastAsia" w:ascii="Times New Roman" w:hAnsi="Times New Roman" w:eastAsia="宋体" w:cs="Times New Roman"/>
          <w:color w:val="FF0000"/>
          <w:sz w:val="24"/>
        </w:rPr>
        <w:t>发电车间废气</w:t>
      </w:r>
      <w:r>
        <w:rPr>
          <w:rFonts w:ascii="Times New Roman" w:hAnsi="Times New Roman" w:eastAsia="宋体" w:cs="Times New Roman"/>
          <w:color w:val="FF0000"/>
          <w:sz w:val="24"/>
        </w:rPr>
        <w:t>经处理后可满足《火电厂大气污染物排放标准》（GB13223-2011）表2特别排放限值要求及《锅炉大气污染物排放标准》（GB13271-2014）表3特别排放限值要求；</w:t>
      </w:r>
      <w:r>
        <w:rPr>
          <w:rFonts w:hint="eastAsia" w:ascii="Times New Roman" w:hAnsi="Times New Roman" w:eastAsia="宋体" w:cs="Times New Roman"/>
          <w:color w:val="FF0000"/>
          <w:sz w:val="24"/>
        </w:rPr>
        <w:t>发电车间</w:t>
      </w:r>
      <w:r>
        <w:rPr>
          <w:rFonts w:ascii="Times New Roman" w:hAnsi="Times New Roman" w:eastAsia="宋体" w:cs="Times New Roman"/>
          <w:color w:val="FF0000"/>
          <w:sz w:val="24"/>
        </w:rPr>
        <w:t>废气中氮氧化物经处理后不能满足钢铁行业超低排放标准限值要求</w:t>
      </w:r>
      <w:r>
        <w:rPr>
          <w:rFonts w:hint="eastAsia" w:ascii="Times New Roman" w:hAnsi="Times New Roman" w:eastAsia="宋体" w:cs="Times New Roman"/>
          <w:color w:val="FF0000"/>
          <w:sz w:val="24"/>
        </w:rPr>
        <w:t>（氮氧化物50mg/m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，发电</w:t>
      </w:r>
      <w:r>
        <w:rPr>
          <w:rFonts w:hint="eastAsia" w:ascii="Times New Roman" w:hAnsi="Times New Roman" w:eastAsia="宋体" w:cs="Times New Roman"/>
          <w:color w:val="FF0000"/>
          <w:sz w:val="24"/>
        </w:rPr>
        <w:t>车间</w:t>
      </w:r>
      <w:r>
        <w:rPr>
          <w:rFonts w:ascii="Times New Roman" w:hAnsi="Times New Roman" w:eastAsia="宋体" w:cs="Times New Roman"/>
          <w:color w:val="FF0000"/>
          <w:sz w:val="24"/>
        </w:rPr>
        <w:t>其他废气经处理后能满足钢铁行业超低排放标准限值要求</w:t>
      </w:r>
      <w:r>
        <w:rPr>
          <w:rFonts w:hint="eastAsia" w:ascii="Times New Roman" w:hAnsi="Times New Roman" w:eastAsia="宋体" w:cs="Times New Roman"/>
          <w:color w:val="FF0000"/>
          <w:sz w:val="24"/>
        </w:rPr>
        <w:t>（颗粒物5mg/m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、二氧化硫35mg/m</w:t>
      </w:r>
      <w:r>
        <w:rPr>
          <w:rFonts w:hint="eastAsia" w:ascii="Times New Roman" w:hAnsi="Times New Roman" w:eastAsia="宋体" w:cs="Times New Roman"/>
          <w:color w:val="FF0000"/>
          <w:sz w:val="24"/>
          <w:vertAlign w:val="superscript"/>
        </w:rPr>
        <w:t>3</w:t>
      </w:r>
      <w:r>
        <w:rPr>
          <w:rFonts w:hint="eastAsia" w:ascii="Times New Roman" w:hAnsi="Times New Roman" w:eastAsia="宋体" w:cs="Times New Roman"/>
          <w:color w:val="FF0000"/>
          <w:sz w:val="24"/>
        </w:rPr>
        <w:t>）。</w:t>
      </w:r>
    </w:p>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（2）无组织污染物达标排放分析</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w:t>
      </w:r>
      <w:r>
        <w:rPr>
          <w:rFonts w:hint="eastAsia" w:ascii="Times New Roman" w:hAnsi="Times New Roman" w:eastAsia="黑体" w:cs="Times New Roman"/>
          <w:color w:val="FF0000"/>
          <w:sz w:val="24"/>
          <w:lang w:val="en-US" w:eastAsia="zh-CN"/>
        </w:rPr>
        <w:t>10</w:t>
      </w:r>
      <w:r>
        <w:rPr>
          <w:rFonts w:ascii="Times New Roman" w:hAnsi="Times New Roman" w:eastAsia="黑体" w:cs="Times New Roman"/>
          <w:color w:val="FF0000"/>
          <w:sz w:val="24"/>
        </w:rPr>
        <w:t xml:space="preserve">  无组织废气总悬浮颗粒物浓度检测结果表</w:t>
      </w:r>
      <w:r>
        <w:rPr>
          <w:rFonts w:hint="eastAsia" w:ascii="Times New Roman" w:hAnsi="Times New Roman" w:eastAsia="黑体" w:cs="Times New Roman"/>
          <w:color w:val="FF0000"/>
          <w:sz w:val="24"/>
        </w:rPr>
        <w:t>（</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hint="eastAsia"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1"/>
        <w:gridCol w:w="3493"/>
        <w:gridCol w:w="1276"/>
        <w:gridCol w:w="1276"/>
        <w:gridCol w:w="12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采样日期</w:t>
            </w:r>
          </w:p>
        </w:tc>
        <w:tc>
          <w:tcPr>
            <w:tcW w:w="3493"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检测点位</w:t>
            </w:r>
          </w:p>
        </w:tc>
        <w:tc>
          <w:tcPr>
            <w:tcW w:w="3828" w:type="dxa"/>
            <w:gridSpan w:val="3"/>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
                <w:bCs/>
                <w:color w:val="FF0000"/>
                <w:szCs w:val="21"/>
              </w:rPr>
            </w:pPr>
          </w:p>
        </w:tc>
        <w:tc>
          <w:tcPr>
            <w:tcW w:w="3493" w:type="dxa"/>
            <w:vMerge w:val="continue"/>
            <w:vAlign w:val="center"/>
          </w:tcPr>
          <w:p>
            <w:pPr>
              <w:jc w:val="center"/>
              <w:rPr>
                <w:rFonts w:ascii="Times New Roman" w:hAnsi="Times New Roman" w:eastAsia="宋体" w:cs="Times New Roman"/>
                <w:b/>
                <w:bCs/>
                <w:color w:val="FF0000"/>
                <w:szCs w:val="21"/>
              </w:rPr>
            </w:pP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第一次</w:t>
            </w: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第二次</w:t>
            </w: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第三次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restart"/>
            <w:vAlign w:val="center"/>
          </w:tcPr>
          <w:p>
            <w:pPr>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2019.04.09</w:t>
            </w: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厂界上风向西北厂界外</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0.184</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0.191</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厂界下风向南厂界外</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0.254</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0.304</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厂界下风向东南厂界外</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0.305</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0.278</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厂界下风向东厂界外</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0.270</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0.304</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44"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3828" w:type="dxa"/>
            <w:gridSpan w:val="3"/>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1.0</w:t>
            </w:r>
          </w:p>
        </w:tc>
      </w:tr>
    </w:tbl>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表3.3-1</w:t>
      </w:r>
      <w:r>
        <w:rPr>
          <w:rFonts w:hint="eastAsia" w:ascii="Times New Roman" w:hAnsi="Times New Roman" w:eastAsia="黑体" w:cs="Times New Roman"/>
          <w:color w:val="FF0000"/>
          <w:sz w:val="24"/>
          <w:lang w:val="en-US" w:eastAsia="zh-CN"/>
        </w:rPr>
        <w:t>1</w:t>
      </w:r>
      <w:r>
        <w:rPr>
          <w:rFonts w:ascii="Times New Roman" w:hAnsi="Times New Roman" w:eastAsia="黑体" w:cs="Times New Roman"/>
          <w:color w:val="FF0000"/>
          <w:sz w:val="24"/>
        </w:rPr>
        <w:t xml:space="preserve">  无组织废气二氧化硫浓度检测结果表</w:t>
      </w:r>
      <w:r>
        <w:rPr>
          <w:rFonts w:hint="eastAsia" w:ascii="Times New Roman" w:hAnsi="Times New Roman" w:eastAsia="黑体" w:cs="Times New Roman"/>
          <w:color w:val="FF0000"/>
          <w:sz w:val="24"/>
        </w:rPr>
        <w:t>（</w:t>
      </w:r>
      <w:r>
        <w:rPr>
          <w:rFonts w:ascii="Times New Roman" w:hAnsi="Times New Roman" w:eastAsia="黑体" w:cs="Times New Roman"/>
          <w:color w:val="FF0000"/>
          <w:sz w:val="24"/>
        </w:rPr>
        <w:t>单位：</w:t>
      </w:r>
      <w:r>
        <w:rPr>
          <w:rFonts w:hint="eastAsia" w:ascii="Times New Roman" w:hAnsi="Times New Roman" w:eastAsia="黑体" w:cs="Times New Roman"/>
          <w:color w:val="FF0000"/>
          <w:sz w:val="24"/>
          <w:lang w:val="en-US" w:eastAsia="zh-CN"/>
        </w:rPr>
        <w:t>m</w:t>
      </w:r>
      <w:r>
        <w:rPr>
          <w:rFonts w:ascii="Times New Roman" w:hAnsi="Times New Roman" w:eastAsia="黑体" w:cs="Times New Roman"/>
          <w:color w:val="FF0000"/>
          <w:sz w:val="24"/>
        </w:rPr>
        <w:t>g/m</w:t>
      </w:r>
      <w:r>
        <w:rPr>
          <w:rFonts w:ascii="Times New Roman" w:hAnsi="Times New Roman" w:eastAsia="黑体" w:cs="Times New Roman"/>
          <w:color w:val="FF0000"/>
          <w:sz w:val="24"/>
          <w:vertAlign w:val="superscript"/>
        </w:rPr>
        <w:t>3</w:t>
      </w:r>
      <w:r>
        <w:rPr>
          <w:rFonts w:hint="eastAsia"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1"/>
        <w:gridCol w:w="3493"/>
        <w:gridCol w:w="1276"/>
        <w:gridCol w:w="1276"/>
        <w:gridCol w:w="12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采样日期</w:t>
            </w:r>
          </w:p>
        </w:tc>
        <w:tc>
          <w:tcPr>
            <w:tcW w:w="3493"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检测点位</w:t>
            </w:r>
          </w:p>
        </w:tc>
        <w:tc>
          <w:tcPr>
            <w:tcW w:w="3828" w:type="dxa"/>
            <w:gridSpan w:val="3"/>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
                <w:bCs/>
                <w:color w:val="FF0000"/>
                <w:szCs w:val="21"/>
              </w:rPr>
            </w:pPr>
          </w:p>
        </w:tc>
        <w:tc>
          <w:tcPr>
            <w:tcW w:w="3493" w:type="dxa"/>
            <w:vMerge w:val="continue"/>
            <w:vAlign w:val="center"/>
          </w:tcPr>
          <w:p>
            <w:pPr>
              <w:jc w:val="center"/>
              <w:rPr>
                <w:rFonts w:ascii="Times New Roman" w:hAnsi="Times New Roman" w:eastAsia="宋体" w:cs="Times New Roman"/>
                <w:b/>
                <w:bCs/>
                <w:color w:val="FF0000"/>
                <w:szCs w:val="21"/>
              </w:rPr>
            </w:pP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第一次</w:t>
            </w: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第二次</w:t>
            </w: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第三次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restart"/>
            <w:vAlign w:val="center"/>
          </w:tcPr>
          <w:p>
            <w:pPr>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2019.04.09</w:t>
            </w: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厂界上风向西北厂界外</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0.017</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0.016</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厂界下风向南厂界外</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0.025</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0.027</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厂界下风向东南厂界外</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0.024</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0.028</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厂界下风向东厂界外</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0.025</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0.027</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44"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3828" w:type="dxa"/>
            <w:gridSpan w:val="3"/>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0.40</w:t>
            </w:r>
          </w:p>
        </w:tc>
      </w:tr>
    </w:tbl>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表3.3-1</w:t>
      </w:r>
      <w:r>
        <w:rPr>
          <w:rFonts w:hint="eastAsia" w:ascii="Times New Roman" w:hAnsi="Times New Roman" w:eastAsia="黑体" w:cs="Times New Roman"/>
          <w:color w:val="FF0000"/>
          <w:sz w:val="24"/>
          <w:lang w:val="en-US" w:eastAsia="zh-CN"/>
        </w:rPr>
        <w:t>2</w:t>
      </w:r>
      <w:r>
        <w:rPr>
          <w:rFonts w:ascii="Times New Roman" w:hAnsi="Times New Roman" w:eastAsia="黑体" w:cs="Times New Roman"/>
          <w:color w:val="FF0000"/>
          <w:sz w:val="24"/>
        </w:rPr>
        <w:t xml:space="preserve">  无组织废气氮氧化物浓度检测结果表</w:t>
      </w:r>
      <w:r>
        <w:rPr>
          <w:rFonts w:hint="eastAsia" w:ascii="Times New Roman" w:hAnsi="Times New Roman" w:eastAsia="黑体" w:cs="Times New Roman"/>
          <w:color w:val="FF0000"/>
          <w:sz w:val="24"/>
        </w:rPr>
        <w:t>（</w:t>
      </w:r>
      <w:r>
        <w:rPr>
          <w:rFonts w:ascii="Times New Roman" w:hAnsi="Times New Roman" w:eastAsia="黑体" w:cs="Times New Roman"/>
          <w:color w:val="FF0000"/>
          <w:sz w:val="24"/>
        </w:rPr>
        <w:t>单位：</w:t>
      </w:r>
      <w:r>
        <w:rPr>
          <w:rFonts w:hint="eastAsia" w:ascii="Times New Roman" w:hAnsi="Times New Roman" w:eastAsia="黑体" w:cs="Times New Roman"/>
          <w:color w:val="FF0000"/>
          <w:sz w:val="24"/>
          <w:lang w:val="en-US" w:eastAsia="zh-CN"/>
        </w:rPr>
        <w:t>m</w:t>
      </w:r>
      <w:r>
        <w:rPr>
          <w:rFonts w:ascii="Times New Roman" w:hAnsi="Times New Roman" w:eastAsia="黑体" w:cs="Times New Roman"/>
          <w:color w:val="FF0000"/>
          <w:sz w:val="24"/>
        </w:rPr>
        <w:t>g/m</w:t>
      </w:r>
      <w:r>
        <w:rPr>
          <w:rFonts w:ascii="Times New Roman" w:hAnsi="Times New Roman" w:eastAsia="黑体" w:cs="Times New Roman"/>
          <w:color w:val="FF0000"/>
          <w:sz w:val="24"/>
          <w:vertAlign w:val="superscript"/>
        </w:rPr>
        <w:t>3</w:t>
      </w:r>
      <w:r>
        <w:rPr>
          <w:rFonts w:hint="eastAsia"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1"/>
        <w:gridCol w:w="3493"/>
        <w:gridCol w:w="1276"/>
        <w:gridCol w:w="1276"/>
        <w:gridCol w:w="12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采样日期</w:t>
            </w:r>
          </w:p>
        </w:tc>
        <w:tc>
          <w:tcPr>
            <w:tcW w:w="3493"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检测点位</w:t>
            </w:r>
          </w:p>
        </w:tc>
        <w:tc>
          <w:tcPr>
            <w:tcW w:w="3828" w:type="dxa"/>
            <w:gridSpan w:val="3"/>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
                <w:bCs/>
                <w:color w:val="FF0000"/>
                <w:szCs w:val="21"/>
              </w:rPr>
            </w:pPr>
          </w:p>
        </w:tc>
        <w:tc>
          <w:tcPr>
            <w:tcW w:w="3493" w:type="dxa"/>
            <w:vMerge w:val="continue"/>
            <w:vAlign w:val="center"/>
          </w:tcPr>
          <w:p>
            <w:pPr>
              <w:jc w:val="center"/>
              <w:rPr>
                <w:rFonts w:ascii="Times New Roman" w:hAnsi="Times New Roman" w:eastAsia="宋体" w:cs="Times New Roman"/>
                <w:b/>
                <w:bCs/>
                <w:color w:val="FF0000"/>
                <w:szCs w:val="21"/>
              </w:rPr>
            </w:pP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第一次</w:t>
            </w: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第二次</w:t>
            </w: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第三次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restart"/>
            <w:vAlign w:val="center"/>
          </w:tcPr>
          <w:p>
            <w:pPr>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2019.04.09</w:t>
            </w: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厂界上风向西北厂界外</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0.024</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0.029</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厂界下风向南厂界外</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0.026</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0.031</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厂界下风向东南厂界外</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0.029</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0.034</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厂界下风向东厂界外</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0.031</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0.033</w:t>
            </w:r>
          </w:p>
        </w:tc>
        <w:tc>
          <w:tcPr>
            <w:tcW w:w="1276" w:type="dxa"/>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44"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《大气污染物综合排放标准》（GB16297-1996）</w:t>
            </w:r>
          </w:p>
        </w:tc>
        <w:tc>
          <w:tcPr>
            <w:tcW w:w="3828" w:type="dxa"/>
            <w:gridSpan w:val="3"/>
            <w:vAlign w:val="center"/>
          </w:tcPr>
          <w:p>
            <w:pPr>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0.12</w:t>
            </w:r>
          </w:p>
        </w:tc>
      </w:tr>
    </w:tbl>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表3.3-1</w:t>
      </w:r>
      <w:r>
        <w:rPr>
          <w:rFonts w:hint="eastAsia" w:ascii="Times New Roman" w:hAnsi="Times New Roman" w:eastAsia="黑体" w:cs="Times New Roman"/>
          <w:color w:val="FF0000"/>
          <w:sz w:val="24"/>
          <w:lang w:val="en-US" w:eastAsia="zh-CN"/>
        </w:rPr>
        <w:t>3</w:t>
      </w:r>
      <w:r>
        <w:rPr>
          <w:rFonts w:ascii="Times New Roman" w:hAnsi="Times New Roman" w:eastAsia="黑体" w:cs="Times New Roman"/>
          <w:color w:val="FF0000"/>
          <w:sz w:val="24"/>
        </w:rPr>
        <w:t xml:space="preserve">  无组织废气氨浓度检测结果表</w:t>
      </w:r>
      <w:r>
        <w:rPr>
          <w:rFonts w:hint="eastAsia" w:ascii="Times New Roman" w:hAnsi="Times New Roman" w:eastAsia="黑体" w:cs="Times New Roman"/>
          <w:color w:val="FF0000"/>
          <w:sz w:val="24"/>
        </w:rPr>
        <w:t>（</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hint="eastAsia"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1"/>
        <w:gridCol w:w="3493"/>
        <w:gridCol w:w="1276"/>
        <w:gridCol w:w="1276"/>
        <w:gridCol w:w="12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采样日期</w:t>
            </w:r>
          </w:p>
        </w:tc>
        <w:tc>
          <w:tcPr>
            <w:tcW w:w="3493"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检测点位</w:t>
            </w:r>
          </w:p>
        </w:tc>
        <w:tc>
          <w:tcPr>
            <w:tcW w:w="3828" w:type="dxa"/>
            <w:gridSpan w:val="3"/>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
                <w:bCs/>
                <w:color w:val="FF0000"/>
                <w:szCs w:val="21"/>
              </w:rPr>
            </w:pPr>
          </w:p>
        </w:tc>
        <w:tc>
          <w:tcPr>
            <w:tcW w:w="3493" w:type="dxa"/>
            <w:vMerge w:val="continue"/>
            <w:vAlign w:val="center"/>
          </w:tcPr>
          <w:p>
            <w:pPr>
              <w:jc w:val="center"/>
              <w:rPr>
                <w:rFonts w:ascii="Times New Roman" w:hAnsi="Times New Roman" w:eastAsia="宋体" w:cs="Times New Roman"/>
                <w:b/>
                <w:bCs/>
                <w:color w:val="FF0000"/>
                <w:szCs w:val="21"/>
              </w:rPr>
            </w:pP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第一次</w:t>
            </w: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第二次</w:t>
            </w:r>
          </w:p>
        </w:tc>
        <w:tc>
          <w:tcPr>
            <w:tcW w:w="1276"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第三次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restart"/>
            <w:vAlign w:val="center"/>
          </w:tcPr>
          <w:p>
            <w:pPr>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2019.04.09</w:t>
            </w: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厂界上风向西北厂界外</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0.09</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0.07</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厂界下风向南厂界外</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0.10</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0.17</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厂界下风向东南厂界外</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0.15</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0.19</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1" w:type="dxa"/>
            <w:vMerge w:val="continue"/>
            <w:vAlign w:val="center"/>
          </w:tcPr>
          <w:p>
            <w:pPr>
              <w:jc w:val="center"/>
              <w:rPr>
                <w:rFonts w:ascii="Times New Roman" w:hAnsi="Times New Roman" w:eastAsia="宋体" w:cs="Times New Roman"/>
                <w:bCs/>
                <w:color w:val="FF0000"/>
                <w:szCs w:val="21"/>
              </w:rPr>
            </w:pPr>
          </w:p>
        </w:tc>
        <w:tc>
          <w:tcPr>
            <w:tcW w:w="349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厂界下风向东厂界外</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0.16</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0.19</w:t>
            </w:r>
          </w:p>
        </w:tc>
        <w:tc>
          <w:tcPr>
            <w:tcW w:w="1276"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44"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3828" w:type="dxa"/>
            <w:gridSpan w:val="3"/>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0.2</w:t>
            </w:r>
          </w:p>
        </w:tc>
      </w:tr>
    </w:tbl>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表3.3-1</w:t>
      </w:r>
      <w:r>
        <w:rPr>
          <w:rFonts w:hint="eastAsia" w:ascii="Times New Roman" w:hAnsi="Times New Roman" w:eastAsia="黑体" w:cs="Times New Roman"/>
          <w:color w:val="FF0000"/>
          <w:sz w:val="24"/>
          <w:lang w:val="en-US" w:eastAsia="zh-CN"/>
        </w:rPr>
        <w:t>4</w:t>
      </w:r>
      <w:r>
        <w:rPr>
          <w:rFonts w:ascii="Times New Roman" w:hAnsi="Times New Roman" w:eastAsia="黑体" w:cs="Times New Roman"/>
          <w:color w:val="FF0000"/>
          <w:sz w:val="24"/>
        </w:rPr>
        <w:t xml:space="preserve">  无组织废气硫化氢浓度检测结果表</w:t>
      </w:r>
      <w:r>
        <w:rPr>
          <w:rFonts w:hint="eastAsia" w:ascii="Times New Roman" w:hAnsi="Times New Roman" w:eastAsia="黑体" w:cs="Times New Roman"/>
          <w:color w:val="FF0000"/>
          <w:sz w:val="24"/>
        </w:rPr>
        <w:t>（</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hint="eastAsia"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4"/>
        <w:gridCol w:w="3491"/>
        <w:gridCol w:w="1269"/>
        <w:gridCol w:w="1281"/>
        <w:gridCol w:w="12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4"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采样日期</w:t>
            </w:r>
          </w:p>
        </w:tc>
        <w:tc>
          <w:tcPr>
            <w:tcW w:w="3491"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检测点位</w:t>
            </w:r>
          </w:p>
        </w:tc>
        <w:tc>
          <w:tcPr>
            <w:tcW w:w="3827" w:type="dxa"/>
            <w:gridSpan w:val="3"/>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4" w:type="dxa"/>
            <w:vMerge w:val="continue"/>
            <w:vAlign w:val="center"/>
          </w:tcPr>
          <w:p>
            <w:pPr>
              <w:jc w:val="center"/>
              <w:rPr>
                <w:rFonts w:ascii="Times New Roman" w:hAnsi="Times New Roman" w:eastAsia="宋体" w:cs="Times New Roman"/>
                <w:b/>
                <w:bCs/>
                <w:color w:val="FF0000"/>
                <w:szCs w:val="21"/>
              </w:rPr>
            </w:pPr>
          </w:p>
        </w:tc>
        <w:tc>
          <w:tcPr>
            <w:tcW w:w="3491" w:type="dxa"/>
            <w:vMerge w:val="continue"/>
            <w:vAlign w:val="center"/>
          </w:tcPr>
          <w:p>
            <w:pPr>
              <w:jc w:val="center"/>
              <w:rPr>
                <w:rFonts w:ascii="Times New Roman" w:hAnsi="Times New Roman" w:eastAsia="宋体" w:cs="Times New Roman"/>
                <w:b/>
                <w:bCs/>
                <w:color w:val="FF0000"/>
                <w:szCs w:val="21"/>
              </w:rPr>
            </w:pPr>
          </w:p>
        </w:tc>
        <w:tc>
          <w:tcPr>
            <w:tcW w:w="1269"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第一次</w:t>
            </w:r>
          </w:p>
        </w:tc>
        <w:tc>
          <w:tcPr>
            <w:tcW w:w="1281"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第二次</w:t>
            </w:r>
          </w:p>
        </w:tc>
        <w:tc>
          <w:tcPr>
            <w:tcW w:w="1277"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第三次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4" w:type="dxa"/>
            <w:vMerge w:val="restart"/>
            <w:vAlign w:val="center"/>
          </w:tcPr>
          <w:p>
            <w:pPr>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2019.04.09</w:t>
            </w:r>
          </w:p>
        </w:tc>
        <w:tc>
          <w:tcPr>
            <w:tcW w:w="349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厂界上风向西北厂界外</w:t>
            </w:r>
          </w:p>
        </w:tc>
        <w:tc>
          <w:tcPr>
            <w:tcW w:w="1269"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c>
          <w:tcPr>
            <w:tcW w:w="1281"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c>
          <w:tcPr>
            <w:tcW w:w="1277"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4" w:type="dxa"/>
            <w:vMerge w:val="continue"/>
            <w:vAlign w:val="center"/>
          </w:tcPr>
          <w:p>
            <w:pPr>
              <w:jc w:val="center"/>
              <w:rPr>
                <w:rFonts w:ascii="Times New Roman" w:hAnsi="Times New Roman" w:eastAsia="宋体" w:cs="Times New Roman"/>
                <w:bCs/>
                <w:color w:val="FF0000"/>
                <w:szCs w:val="21"/>
              </w:rPr>
            </w:pPr>
          </w:p>
        </w:tc>
        <w:tc>
          <w:tcPr>
            <w:tcW w:w="349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厂界下风向南厂界外</w:t>
            </w:r>
          </w:p>
        </w:tc>
        <w:tc>
          <w:tcPr>
            <w:tcW w:w="1269"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c>
          <w:tcPr>
            <w:tcW w:w="1281"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c>
          <w:tcPr>
            <w:tcW w:w="1277"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4" w:type="dxa"/>
            <w:vMerge w:val="continue"/>
            <w:vAlign w:val="center"/>
          </w:tcPr>
          <w:p>
            <w:pPr>
              <w:jc w:val="center"/>
              <w:rPr>
                <w:rFonts w:ascii="Times New Roman" w:hAnsi="Times New Roman" w:eastAsia="宋体" w:cs="Times New Roman"/>
                <w:bCs/>
                <w:color w:val="FF0000"/>
                <w:szCs w:val="21"/>
              </w:rPr>
            </w:pPr>
          </w:p>
        </w:tc>
        <w:tc>
          <w:tcPr>
            <w:tcW w:w="349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厂界下风向东南厂界外</w:t>
            </w:r>
          </w:p>
        </w:tc>
        <w:tc>
          <w:tcPr>
            <w:tcW w:w="1269"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c>
          <w:tcPr>
            <w:tcW w:w="1281"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c>
          <w:tcPr>
            <w:tcW w:w="1277"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54" w:type="dxa"/>
            <w:vMerge w:val="continue"/>
            <w:vAlign w:val="center"/>
          </w:tcPr>
          <w:p>
            <w:pPr>
              <w:jc w:val="center"/>
              <w:rPr>
                <w:rFonts w:ascii="Times New Roman" w:hAnsi="Times New Roman" w:eastAsia="宋体" w:cs="Times New Roman"/>
                <w:bCs/>
                <w:color w:val="FF0000"/>
                <w:szCs w:val="21"/>
              </w:rPr>
            </w:pPr>
          </w:p>
        </w:tc>
        <w:tc>
          <w:tcPr>
            <w:tcW w:w="3491"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厂界下风向东厂界外</w:t>
            </w:r>
          </w:p>
        </w:tc>
        <w:tc>
          <w:tcPr>
            <w:tcW w:w="1269"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c>
          <w:tcPr>
            <w:tcW w:w="1281"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c>
          <w:tcPr>
            <w:tcW w:w="1277" w:type="dxa"/>
            <w:vAlign w:val="center"/>
          </w:tcPr>
          <w:p>
            <w:pPr>
              <w:jc w:val="center"/>
              <w:rPr>
                <w:rFonts w:ascii="Times New Roman" w:hAnsi="Times New Roman" w:eastAsia="宋体" w:cs="Times New Roman"/>
                <w:color w:val="FF0000"/>
                <w:sz w:val="24"/>
              </w:rPr>
            </w:pPr>
            <w:r>
              <w:rPr>
                <w:rFonts w:ascii="Times New Roman" w:hAnsi="Times New Roman" w:eastAsia="宋体" w:cs="Times New Roman"/>
                <w:color w:val="FF0000"/>
              </w:rPr>
              <w:t>&lt;0.001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45"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3827" w:type="dxa"/>
            <w:gridSpan w:val="3"/>
            <w:vAlign w:val="center"/>
          </w:tcPr>
          <w:p>
            <w:pPr>
              <w:jc w:val="center"/>
              <w:rPr>
                <w:rFonts w:ascii="Times New Roman" w:hAnsi="Times New Roman" w:eastAsia="宋体" w:cs="Times New Roman"/>
                <w:color w:val="FF0000"/>
              </w:rPr>
            </w:pPr>
            <w:r>
              <w:rPr>
                <w:rFonts w:hint="eastAsia" w:ascii="Times New Roman" w:hAnsi="Times New Roman" w:eastAsia="宋体" w:cs="Times New Roman"/>
                <w:color w:val="FF0000"/>
              </w:rPr>
              <w:t>0.01</w:t>
            </w:r>
          </w:p>
        </w:tc>
      </w:tr>
    </w:tbl>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表3.3-1</w:t>
      </w:r>
      <w:r>
        <w:rPr>
          <w:rFonts w:hint="eastAsia" w:ascii="Times New Roman" w:hAnsi="Times New Roman" w:eastAsia="黑体" w:cs="Times New Roman"/>
          <w:color w:val="FF0000"/>
          <w:sz w:val="24"/>
          <w:lang w:val="en-US" w:eastAsia="zh-CN"/>
        </w:rPr>
        <w:t>5</w:t>
      </w:r>
      <w:r>
        <w:rPr>
          <w:rFonts w:ascii="Times New Roman" w:hAnsi="Times New Roman" w:eastAsia="黑体" w:cs="Times New Roman"/>
          <w:color w:val="FF0000"/>
          <w:sz w:val="24"/>
        </w:rPr>
        <w:t xml:space="preserve">  无组织废气苯浓度检测结果表</w:t>
      </w:r>
      <w:r>
        <w:rPr>
          <w:rFonts w:hint="eastAsia" w:ascii="Times New Roman" w:hAnsi="Times New Roman" w:eastAsia="黑体" w:cs="Times New Roman"/>
          <w:color w:val="FF0000"/>
          <w:sz w:val="24"/>
        </w:rPr>
        <w:t>（</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hint="eastAsia"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1"/>
        <w:gridCol w:w="3504"/>
        <w:gridCol w:w="1282"/>
        <w:gridCol w:w="1282"/>
        <w:gridCol w:w="12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741"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采样日期</w:t>
            </w:r>
          </w:p>
        </w:tc>
        <w:tc>
          <w:tcPr>
            <w:tcW w:w="3504"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检测点位</w:t>
            </w:r>
          </w:p>
        </w:tc>
        <w:tc>
          <w:tcPr>
            <w:tcW w:w="3827" w:type="dxa"/>
            <w:gridSpan w:val="3"/>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741" w:type="dxa"/>
            <w:vMerge w:val="continue"/>
            <w:vAlign w:val="center"/>
          </w:tcPr>
          <w:p>
            <w:pPr>
              <w:jc w:val="center"/>
              <w:rPr>
                <w:rFonts w:ascii="Times New Roman" w:hAnsi="Times New Roman" w:eastAsia="宋体" w:cs="Times New Roman"/>
                <w:b/>
                <w:bCs/>
                <w:color w:val="FF0000"/>
                <w:szCs w:val="21"/>
              </w:rPr>
            </w:pPr>
          </w:p>
        </w:tc>
        <w:tc>
          <w:tcPr>
            <w:tcW w:w="3504" w:type="dxa"/>
            <w:vMerge w:val="continue"/>
            <w:vAlign w:val="center"/>
          </w:tcPr>
          <w:p>
            <w:pPr>
              <w:jc w:val="center"/>
              <w:rPr>
                <w:rFonts w:ascii="Times New Roman" w:hAnsi="Times New Roman" w:eastAsia="宋体" w:cs="Times New Roman"/>
                <w:b/>
                <w:bCs/>
                <w:color w:val="FF0000"/>
                <w:szCs w:val="21"/>
              </w:rPr>
            </w:pPr>
          </w:p>
        </w:tc>
        <w:tc>
          <w:tcPr>
            <w:tcW w:w="1282"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第一次</w:t>
            </w:r>
          </w:p>
        </w:tc>
        <w:tc>
          <w:tcPr>
            <w:tcW w:w="1282"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第二次</w:t>
            </w:r>
          </w:p>
        </w:tc>
        <w:tc>
          <w:tcPr>
            <w:tcW w:w="1263"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第三次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741" w:type="dxa"/>
            <w:vMerge w:val="restart"/>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2019.04.09</w:t>
            </w:r>
          </w:p>
        </w:tc>
        <w:tc>
          <w:tcPr>
            <w:tcW w:w="350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厂界上风向西北厂界外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0.0521</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0.0518</w:t>
            </w:r>
          </w:p>
        </w:tc>
        <w:tc>
          <w:tcPr>
            <w:tcW w:w="126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0.0525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8" w:hRule="atLeast"/>
          <w:jc w:val="center"/>
        </w:trPr>
        <w:tc>
          <w:tcPr>
            <w:tcW w:w="1741" w:type="dxa"/>
            <w:vMerge w:val="continue"/>
            <w:vAlign w:val="center"/>
          </w:tcPr>
          <w:p>
            <w:pPr>
              <w:jc w:val="center"/>
              <w:rPr>
                <w:rFonts w:ascii="Times New Roman" w:hAnsi="Times New Roman" w:eastAsia="宋体" w:cs="Times New Roman"/>
                <w:color w:val="FF0000"/>
                <w:szCs w:val="21"/>
              </w:rPr>
            </w:pPr>
          </w:p>
        </w:tc>
        <w:tc>
          <w:tcPr>
            <w:tcW w:w="350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厂界下风向南厂界外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0.0572</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0.0624</w:t>
            </w:r>
          </w:p>
        </w:tc>
        <w:tc>
          <w:tcPr>
            <w:tcW w:w="126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0.0587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41" w:type="dxa"/>
            <w:vMerge w:val="continue"/>
            <w:vAlign w:val="center"/>
          </w:tcPr>
          <w:p>
            <w:pPr>
              <w:jc w:val="center"/>
              <w:rPr>
                <w:rFonts w:ascii="Times New Roman" w:hAnsi="Times New Roman" w:eastAsia="宋体" w:cs="Times New Roman"/>
                <w:color w:val="FF0000"/>
                <w:szCs w:val="21"/>
              </w:rPr>
            </w:pPr>
          </w:p>
        </w:tc>
        <w:tc>
          <w:tcPr>
            <w:tcW w:w="350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厂界下风向东南厂界外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0.0577</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0.0633</w:t>
            </w:r>
          </w:p>
        </w:tc>
        <w:tc>
          <w:tcPr>
            <w:tcW w:w="126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0.0602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41" w:type="dxa"/>
            <w:vMerge w:val="continue"/>
            <w:vAlign w:val="center"/>
          </w:tcPr>
          <w:p>
            <w:pPr>
              <w:jc w:val="center"/>
              <w:rPr>
                <w:rFonts w:ascii="Times New Roman" w:hAnsi="Times New Roman" w:eastAsia="宋体" w:cs="Times New Roman"/>
                <w:color w:val="FF0000"/>
                <w:szCs w:val="21"/>
              </w:rPr>
            </w:pPr>
          </w:p>
        </w:tc>
        <w:tc>
          <w:tcPr>
            <w:tcW w:w="3504"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0.0603</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0.0571</w:t>
            </w:r>
          </w:p>
        </w:tc>
        <w:tc>
          <w:tcPr>
            <w:tcW w:w="126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0.0545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245"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3827" w:type="dxa"/>
            <w:gridSpan w:val="3"/>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0.4</w:t>
            </w:r>
          </w:p>
        </w:tc>
      </w:tr>
    </w:tbl>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表3.3-1</w:t>
      </w:r>
      <w:r>
        <w:rPr>
          <w:rFonts w:hint="eastAsia" w:ascii="Times New Roman" w:hAnsi="Times New Roman" w:eastAsia="黑体" w:cs="Times New Roman"/>
          <w:color w:val="FF0000"/>
          <w:sz w:val="24"/>
          <w:lang w:val="en-US" w:eastAsia="zh-CN"/>
        </w:rPr>
        <w:t>6</w:t>
      </w:r>
      <w:r>
        <w:rPr>
          <w:rFonts w:ascii="Times New Roman" w:hAnsi="Times New Roman" w:eastAsia="黑体" w:cs="Times New Roman"/>
          <w:color w:val="FF0000"/>
          <w:sz w:val="24"/>
        </w:rPr>
        <w:t xml:space="preserve">  无组织废气酚类化合物浓度检测结果表</w:t>
      </w:r>
      <w:r>
        <w:rPr>
          <w:rFonts w:hint="eastAsia" w:ascii="Times New Roman" w:hAnsi="Times New Roman" w:eastAsia="黑体" w:cs="Times New Roman"/>
          <w:color w:val="FF0000"/>
          <w:sz w:val="24"/>
        </w:rPr>
        <w:t>（</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hint="eastAsia"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7"/>
        <w:gridCol w:w="3518"/>
        <w:gridCol w:w="1282"/>
        <w:gridCol w:w="1268"/>
        <w:gridCol w:w="12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727"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采样日期</w:t>
            </w:r>
          </w:p>
        </w:tc>
        <w:tc>
          <w:tcPr>
            <w:tcW w:w="3518"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检测点位</w:t>
            </w:r>
          </w:p>
        </w:tc>
        <w:tc>
          <w:tcPr>
            <w:tcW w:w="3827" w:type="dxa"/>
            <w:gridSpan w:val="3"/>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727" w:type="dxa"/>
            <w:vMerge w:val="continue"/>
            <w:vAlign w:val="center"/>
          </w:tcPr>
          <w:p>
            <w:pPr>
              <w:jc w:val="center"/>
              <w:rPr>
                <w:rFonts w:ascii="Times New Roman" w:hAnsi="Times New Roman" w:eastAsia="宋体" w:cs="Times New Roman"/>
                <w:b/>
                <w:bCs/>
                <w:color w:val="FF0000"/>
                <w:szCs w:val="21"/>
              </w:rPr>
            </w:pPr>
          </w:p>
        </w:tc>
        <w:tc>
          <w:tcPr>
            <w:tcW w:w="3518" w:type="dxa"/>
            <w:vMerge w:val="continue"/>
            <w:vAlign w:val="center"/>
          </w:tcPr>
          <w:p>
            <w:pPr>
              <w:jc w:val="center"/>
              <w:rPr>
                <w:rFonts w:ascii="Times New Roman" w:hAnsi="Times New Roman" w:eastAsia="宋体" w:cs="Times New Roman"/>
                <w:b/>
                <w:bCs/>
                <w:color w:val="FF0000"/>
                <w:szCs w:val="21"/>
              </w:rPr>
            </w:pPr>
          </w:p>
        </w:tc>
        <w:tc>
          <w:tcPr>
            <w:tcW w:w="1282"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第一次</w:t>
            </w:r>
          </w:p>
        </w:tc>
        <w:tc>
          <w:tcPr>
            <w:tcW w:w="1268"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第二次</w:t>
            </w:r>
          </w:p>
        </w:tc>
        <w:tc>
          <w:tcPr>
            <w:tcW w:w="1277"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第三次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27" w:type="dxa"/>
            <w:vMerge w:val="restart"/>
            <w:vAlign w:val="center"/>
          </w:tcPr>
          <w:p>
            <w:pPr>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2019.04.09</w:t>
            </w:r>
          </w:p>
        </w:tc>
        <w:tc>
          <w:tcPr>
            <w:tcW w:w="351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厂界上风向西北厂界外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c>
          <w:tcPr>
            <w:tcW w:w="126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c>
          <w:tcPr>
            <w:tcW w:w="12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27" w:type="dxa"/>
            <w:vMerge w:val="continue"/>
            <w:vAlign w:val="center"/>
          </w:tcPr>
          <w:p>
            <w:pPr>
              <w:jc w:val="center"/>
              <w:rPr>
                <w:rFonts w:ascii="Times New Roman" w:hAnsi="Times New Roman" w:eastAsia="宋体" w:cs="Times New Roman"/>
                <w:bCs/>
                <w:color w:val="FF0000"/>
                <w:szCs w:val="21"/>
              </w:rPr>
            </w:pPr>
          </w:p>
        </w:tc>
        <w:tc>
          <w:tcPr>
            <w:tcW w:w="3518" w:type="dxa"/>
            <w:vAlign w:val="center"/>
          </w:tcPr>
          <w:p>
            <w:pPr>
              <w:spacing w:line="25" w:lineRule="atLeast"/>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厂界下风向南厂界外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c>
          <w:tcPr>
            <w:tcW w:w="126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c>
          <w:tcPr>
            <w:tcW w:w="12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27" w:type="dxa"/>
            <w:vMerge w:val="continue"/>
            <w:vAlign w:val="center"/>
          </w:tcPr>
          <w:p>
            <w:pPr>
              <w:jc w:val="center"/>
              <w:rPr>
                <w:rFonts w:ascii="Times New Roman" w:hAnsi="Times New Roman" w:eastAsia="宋体" w:cs="Times New Roman"/>
                <w:bCs/>
                <w:color w:val="FF0000"/>
                <w:szCs w:val="21"/>
              </w:rPr>
            </w:pPr>
          </w:p>
        </w:tc>
        <w:tc>
          <w:tcPr>
            <w:tcW w:w="3518" w:type="dxa"/>
            <w:vAlign w:val="center"/>
          </w:tcPr>
          <w:p>
            <w:pPr>
              <w:spacing w:line="25" w:lineRule="atLeast"/>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厂界下风向东南厂界外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c>
          <w:tcPr>
            <w:tcW w:w="126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c>
          <w:tcPr>
            <w:tcW w:w="12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27" w:type="dxa"/>
            <w:vMerge w:val="continue"/>
            <w:vAlign w:val="center"/>
          </w:tcPr>
          <w:p>
            <w:pPr>
              <w:jc w:val="center"/>
              <w:rPr>
                <w:rFonts w:ascii="Times New Roman" w:hAnsi="Times New Roman" w:eastAsia="宋体" w:cs="Times New Roman"/>
                <w:bCs/>
                <w:color w:val="FF0000"/>
                <w:szCs w:val="21"/>
              </w:rPr>
            </w:pPr>
          </w:p>
        </w:tc>
        <w:tc>
          <w:tcPr>
            <w:tcW w:w="3518" w:type="dxa"/>
            <w:vAlign w:val="center"/>
          </w:tcPr>
          <w:p>
            <w:pPr>
              <w:spacing w:line="25" w:lineRule="atLeast"/>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c>
          <w:tcPr>
            <w:tcW w:w="126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c>
          <w:tcPr>
            <w:tcW w:w="1277"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245" w:type="dxa"/>
            <w:gridSpan w:val="2"/>
            <w:vAlign w:val="center"/>
          </w:tcPr>
          <w:p>
            <w:pPr>
              <w:spacing w:line="25" w:lineRule="atLeast"/>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3827" w:type="dxa"/>
            <w:gridSpan w:val="3"/>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0.02</w:t>
            </w:r>
          </w:p>
        </w:tc>
      </w:tr>
    </w:tbl>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表3.3-1</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 xml:space="preserve">  无组织废气氰化氢浓度检测结果表</w:t>
      </w:r>
      <w:r>
        <w:rPr>
          <w:rFonts w:hint="eastAsia" w:ascii="Times New Roman" w:hAnsi="Times New Roman" w:eastAsia="黑体" w:cs="Times New Roman"/>
          <w:color w:val="FF0000"/>
          <w:sz w:val="24"/>
        </w:rPr>
        <w:t>（</w:t>
      </w:r>
      <w:r>
        <w:rPr>
          <w:rFonts w:ascii="Times New Roman" w:hAnsi="Times New Roman" w:eastAsia="黑体" w:cs="Times New Roman"/>
          <w:color w:val="FF0000"/>
          <w:sz w:val="24"/>
        </w:rPr>
        <w:t>单位：mg/m</w:t>
      </w:r>
      <w:r>
        <w:rPr>
          <w:rFonts w:ascii="Times New Roman" w:hAnsi="Times New Roman" w:eastAsia="黑体" w:cs="Times New Roman"/>
          <w:color w:val="FF0000"/>
          <w:sz w:val="24"/>
          <w:vertAlign w:val="superscript"/>
        </w:rPr>
        <w:t>3</w:t>
      </w:r>
      <w:r>
        <w:rPr>
          <w:rFonts w:hint="eastAsia" w:ascii="Times New Roman" w:hAnsi="Times New Roman" w:eastAsia="黑体" w:cs="Times New Roman"/>
          <w:color w:val="FF0000"/>
          <w:sz w:val="24"/>
        </w:rPr>
        <w:t>）</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7"/>
        <w:gridCol w:w="3518"/>
        <w:gridCol w:w="1282"/>
        <w:gridCol w:w="1282"/>
        <w:gridCol w:w="12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727"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采样日期</w:t>
            </w:r>
          </w:p>
        </w:tc>
        <w:tc>
          <w:tcPr>
            <w:tcW w:w="3518" w:type="dxa"/>
            <w:vMerge w:val="restart"/>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检测点位</w:t>
            </w:r>
          </w:p>
        </w:tc>
        <w:tc>
          <w:tcPr>
            <w:tcW w:w="3827" w:type="dxa"/>
            <w:gridSpan w:val="3"/>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727" w:type="dxa"/>
            <w:vMerge w:val="continue"/>
            <w:vAlign w:val="center"/>
          </w:tcPr>
          <w:p>
            <w:pPr>
              <w:jc w:val="center"/>
              <w:rPr>
                <w:rFonts w:ascii="Times New Roman" w:hAnsi="Times New Roman" w:eastAsia="宋体" w:cs="Times New Roman"/>
                <w:b/>
                <w:bCs/>
                <w:color w:val="FF0000"/>
                <w:szCs w:val="21"/>
              </w:rPr>
            </w:pPr>
          </w:p>
        </w:tc>
        <w:tc>
          <w:tcPr>
            <w:tcW w:w="3518" w:type="dxa"/>
            <w:vMerge w:val="continue"/>
            <w:vAlign w:val="center"/>
          </w:tcPr>
          <w:p>
            <w:pPr>
              <w:jc w:val="center"/>
              <w:rPr>
                <w:rFonts w:ascii="Times New Roman" w:hAnsi="Times New Roman" w:eastAsia="宋体" w:cs="Times New Roman"/>
                <w:b/>
                <w:bCs/>
                <w:color w:val="FF0000"/>
                <w:szCs w:val="21"/>
              </w:rPr>
            </w:pPr>
          </w:p>
        </w:tc>
        <w:tc>
          <w:tcPr>
            <w:tcW w:w="1282"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第一次</w:t>
            </w:r>
          </w:p>
        </w:tc>
        <w:tc>
          <w:tcPr>
            <w:tcW w:w="1282"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第二次</w:t>
            </w:r>
          </w:p>
        </w:tc>
        <w:tc>
          <w:tcPr>
            <w:tcW w:w="1263" w:type="dxa"/>
            <w:vAlign w:val="center"/>
          </w:tcPr>
          <w:p>
            <w:pPr>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第三次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27" w:type="dxa"/>
            <w:vMerge w:val="restart"/>
            <w:vAlign w:val="center"/>
          </w:tcPr>
          <w:p>
            <w:pPr>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2019.04.09</w:t>
            </w:r>
          </w:p>
        </w:tc>
        <w:tc>
          <w:tcPr>
            <w:tcW w:w="351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厂界上风向西北厂界外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c>
          <w:tcPr>
            <w:tcW w:w="126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27" w:type="dxa"/>
            <w:vMerge w:val="continue"/>
            <w:vAlign w:val="center"/>
          </w:tcPr>
          <w:p>
            <w:pPr>
              <w:jc w:val="center"/>
              <w:rPr>
                <w:rFonts w:ascii="Times New Roman" w:hAnsi="Times New Roman" w:eastAsia="宋体" w:cs="Times New Roman"/>
                <w:bCs/>
                <w:color w:val="FF0000"/>
                <w:szCs w:val="21"/>
              </w:rPr>
            </w:pPr>
          </w:p>
        </w:tc>
        <w:tc>
          <w:tcPr>
            <w:tcW w:w="351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厂界下风向南厂界外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c>
          <w:tcPr>
            <w:tcW w:w="126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27" w:type="dxa"/>
            <w:vMerge w:val="continue"/>
            <w:vAlign w:val="center"/>
          </w:tcPr>
          <w:p>
            <w:pPr>
              <w:jc w:val="center"/>
              <w:rPr>
                <w:rFonts w:ascii="Times New Roman" w:hAnsi="Times New Roman" w:eastAsia="宋体" w:cs="Times New Roman"/>
                <w:bCs/>
                <w:color w:val="FF0000"/>
                <w:szCs w:val="21"/>
              </w:rPr>
            </w:pPr>
          </w:p>
        </w:tc>
        <w:tc>
          <w:tcPr>
            <w:tcW w:w="351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厂界下风向东南厂界外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c>
          <w:tcPr>
            <w:tcW w:w="126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27" w:type="dxa"/>
            <w:vMerge w:val="continue"/>
            <w:vAlign w:val="center"/>
          </w:tcPr>
          <w:p>
            <w:pPr>
              <w:jc w:val="center"/>
              <w:rPr>
                <w:rFonts w:ascii="Times New Roman" w:hAnsi="Times New Roman" w:eastAsia="宋体" w:cs="Times New Roman"/>
                <w:bCs/>
                <w:color w:val="FF0000"/>
                <w:szCs w:val="21"/>
              </w:rPr>
            </w:pPr>
          </w:p>
        </w:tc>
        <w:tc>
          <w:tcPr>
            <w:tcW w:w="3518"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厂界下风向东厂界外</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c>
          <w:tcPr>
            <w:tcW w:w="128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c>
          <w:tcPr>
            <w:tcW w:w="1263"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&lt;2×10</w:t>
            </w:r>
            <w:r>
              <w:rPr>
                <w:rFonts w:ascii="Times New Roman" w:hAnsi="Times New Roman" w:eastAsia="宋体" w:cs="Times New Roman"/>
                <w:color w:val="FF0000"/>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245" w:type="dxa"/>
            <w:gridSpan w:val="2"/>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《炼焦化学工业污染物排放标准》（GB16171-2012）</w:t>
            </w:r>
          </w:p>
        </w:tc>
        <w:tc>
          <w:tcPr>
            <w:tcW w:w="3827" w:type="dxa"/>
            <w:gridSpan w:val="3"/>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0.024</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由监测结果可知，厂界无组织废气浓度可满足《大气污染物综合排放标准》（GB16297-1996）和《炼焦化学工业污染物排放标准》（GB16171-2012）中</w:t>
      </w:r>
      <w:r>
        <w:rPr>
          <w:rFonts w:hint="eastAsia" w:ascii="Times New Roman" w:hAnsi="Times New Roman" w:eastAsia="宋体" w:cs="Times New Roman"/>
          <w:color w:val="FF0000"/>
          <w:sz w:val="24"/>
        </w:rPr>
        <w:t>相关</w:t>
      </w:r>
      <w:r>
        <w:rPr>
          <w:rFonts w:ascii="Times New Roman" w:hAnsi="Times New Roman" w:eastAsia="宋体" w:cs="Times New Roman"/>
          <w:color w:val="FF0000"/>
          <w:sz w:val="24"/>
        </w:rPr>
        <w:t>标准限值要求。</w:t>
      </w:r>
    </w:p>
    <w:p>
      <w:pPr>
        <w:spacing w:line="360" w:lineRule="auto"/>
        <w:outlineLvl w:val="3"/>
        <w:rPr>
          <w:rFonts w:ascii="Times New Roman" w:hAnsi="Times New Roman" w:eastAsia="黑体" w:cs="Times New Roman"/>
          <w:color w:val="FF0000"/>
          <w:sz w:val="24"/>
          <w:szCs w:val="24"/>
        </w:rPr>
      </w:pPr>
      <w:r>
        <w:rPr>
          <w:rFonts w:hint="eastAsia" w:ascii="Times New Roman" w:hAnsi="Times New Roman" w:eastAsia="黑体" w:cs="Times New Roman"/>
          <w:color w:val="FF0000"/>
          <w:sz w:val="24"/>
          <w:szCs w:val="24"/>
        </w:rPr>
        <w:t>3.3.1.4</w:t>
      </w:r>
      <w:r>
        <w:rPr>
          <w:rFonts w:ascii="Times New Roman" w:hAnsi="Times New Roman" w:eastAsia="黑体" w:cs="Times New Roman"/>
          <w:color w:val="FF0000"/>
          <w:sz w:val="24"/>
          <w:szCs w:val="24"/>
        </w:rPr>
        <w:t>废气排放情况汇总</w:t>
      </w:r>
    </w:p>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项目后评价阶段废气排放情况见表3.3-1</w:t>
      </w:r>
      <w:r>
        <w:rPr>
          <w:rFonts w:hint="eastAsia" w:ascii="Times New Roman" w:hAnsi="Times New Roman" w:eastAsia="宋体" w:cs="Times New Roman"/>
          <w:color w:val="FF0000"/>
          <w:sz w:val="24"/>
          <w:lang w:val="en-US" w:eastAsia="zh-CN"/>
        </w:rPr>
        <w:t>8</w:t>
      </w:r>
      <w:r>
        <w:rPr>
          <w:rFonts w:ascii="Times New Roman" w:hAnsi="Times New Roman" w:eastAsia="宋体" w:cs="Times New Roman"/>
          <w:color w:val="FF0000"/>
          <w:sz w:val="24"/>
        </w:rPr>
        <w:t>。</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表3.3-1</w:t>
      </w:r>
      <w:r>
        <w:rPr>
          <w:rFonts w:hint="eastAsia" w:ascii="Times New Roman" w:hAnsi="Times New Roman" w:eastAsia="黑体" w:cs="Times New Roman"/>
          <w:color w:val="FF0000"/>
          <w:sz w:val="24"/>
          <w:lang w:val="en-US" w:eastAsia="zh-CN"/>
        </w:rPr>
        <w:t>8</w:t>
      </w:r>
      <w:r>
        <w:rPr>
          <w:rFonts w:ascii="Times New Roman" w:hAnsi="Times New Roman" w:eastAsia="黑体" w:cs="Times New Roman"/>
          <w:color w:val="FF0000"/>
          <w:sz w:val="24"/>
        </w:rPr>
        <w:t xml:space="preserve">  后评价阶段废气排放情况</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1134"/>
        <w:gridCol w:w="4252"/>
        <w:gridCol w:w="1134"/>
        <w:gridCol w:w="18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s="Times New Roman"/>
                <w:b/>
                <w:color w:val="FF0000"/>
              </w:rPr>
            </w:pPr>
            <w:r>
              <w:rPr>
                <w:rFonts w:ascii="Times New Roman" w:hAnsi="Times New Roman" w:eastAsia="宋体" w:cs="Times New Roman"/>
                <w:b/>
                <w:color w:val="FF0000"/>
              </w:rPr>
              <w:t>序号</w:t>
            </w:r>
          </w:p>
        </w:tc>
        <w:tc>
          <w:tcPr>
            <w:tcW w:w="1134" w:type="dxa"/>
            <w:vAlign w:val="center"/>
          </w:tcPr>
          <w:p>
            <w:pPr>
              <w:pStyle w:val="2"/>
              <w:spacing w:after="0"/>
              <w:jc w:val="center"/>
              <w:rPr>
                <w:rFonts w:ascii="Times New Roman" w:hAnsi="Times New Roman" w:eastAsia="宋体" w:cs="Times New Roman"/>
                <w:b/>
                <w:color w:val="FF0000"/>
              </w:rPr>
            </w:pPr>
            <w:r>
              <w:rPr>
                <w:rFonts w:ascii="Times New Roman" w:hAnsi="Times New Roman" w:eastAsia="宋体" w:cs="Times New Roman"/>
                <w:b/>
                <w:color w:val="FF0000"/>
              </w:rPr>
              <w:t>生产工序</w:t>
            </w:r>
          </w:p>
        </w:tc>
        <w:tc>
          <w:tcPr>
            <w:tcW w:w="4252" w:type="dxa"/>
            <w:vAlign w:val="center"/>
          </w:tcPr>
          <w:p>
            <w:pPr>
              <w:pStyle w:val="2"/>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排口</w:t>
            </w:r>
          </w:p>
        </w:tc>
        <w:tc>
          <w:tcPr>
            <w:tcW w:w="1134" w:type="dxa"/>
            <w:vAlign w:val="center"/>
          </w:tcPr>
          <w:p>
            <w:pPr>
              <w:pStyle w:val="2"/>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污染物</w:t>
            </w:r>
          </w:p>
        </w:tc>
        <w:tc>
          <w:tcPr>
            <w:tcW w:w="1885" w:type="dxa"/>
            <w:vAlign w:val="center"/>
          </w:tcPr>
          <w:p>
            <w:pPr>
              <w:pStyle w:val="2"/>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1</w:t>
            </w:r>
          </w:p>
        </w:tc>
        <w:tc>
          <w:tcPr>
            <w:tcW w:w="1134"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石灰窑工序</w:t>
            </w:r>
          </w:p>
        </w:tc>
        <w:tc>
          <w:tcPr>
            <w:tcW w:w="4252"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szCs w:val="21"/>
              </w:rPr>
              <w:t>4</w:t>
            </w:r>
            <w:r>
              <w:rPr>
                <w:rFonts w:ascii="Times New Roman" w:hAnsi="Times New Roman" w:eastAsia="宋体" w:cs="Times New Roman"/>
                <w:color w:val="FF0000"/>
                <w:szCs w:val="21"/>
              </w:rPr>
              <w:t>2#排气筒（上料转运出口）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粉尘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4.219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41#排气筒（1#窑尾焙烧烟气出口）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24.523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rPr>
            </w:pP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36.053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43</w:t>
            </w:r>
            <w:r>
              <w:rPr>
                <w:rFonts w:ascii="Times New Roman" w:hAnsi="Times New Roman" w:eastAsia="宋体" w:cs="Times New Roman"/>
                <w:color w:val="FF0000"/>
                <w:szCs w:val="21"/>
              </w:rPr>
              <w:t>#</w:t>
            </w:r>
            <w:r>
              <w:rPr>
                <w:rFonts w:hint="eastAsia" w:ascii="Times New Roman" w:hAnsi="Times New Roman" w:eastAsia="宋体" w:cs="Times New Roman"/>
                <w:color w:val="FF0000"/>
                <w:szCs w:val="21"/>
              </w:rPr>
              <w:t>排气筒</w:t>
            </w:r>
            <w:r>
              <w:rPr>
                <w:rFonts w:ascii="Times New Roman" w:hAnsi="Times New Roman" w:eastAsia="宋体" w:cs="Times New Roman"/>
                <w:color w:val="FF0000"/>
                <w:szCs w:val="21"/>
              </w:rPr>
              <w:t>（成品冷却除尘出口）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1.888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szCs w:val="21"/>
              </w:rPr>
              <w:t>44</w:t>
            </w:r>
            <w:r>
              <w:rPr>
                <w:rFonts w:ascii="Times New Roman" w:hAnsi="Times New Roman" w:eastAsia="宋体" w:cs="Times New Roman"/>
                <w:color w:val="FF0000"/>
                <w:szCs w:val="21"/>
              </w:rPr>
              <w:t>#排气筒</w:t>
            </w:r>
            <w:r>
              <w:rPr>
                <w:rFonts w:hint="eastAsia" w:ascii="Times New Roman" w:hAnsi="Times New Roman" w:eastAsia="宋体" w:cs="Times New Roman"/>
                <w:color w:val="FF0000"/>
                <w:szCs w:val="21"/>
              </w:rPr>
              <w:t>（</w:t>
            </w:r>
            <w:r>
              <w:rPr>
                <w:rFonts w:ascii="Times New Roman" w:hAnsi="Times New Roman" w:eastAsia="宋体" w:cs="Times New Roman"/>
                <w:color w:val="FF0000"/>
                <w:szCs w:val="21"/>
              </w:rPr>
              <w:t>成品冷却、卸料、破碎除尘出口</w:t>
            </w:r>
            <w:r>
              <w:rPr>
                <w:rFonts w:hint="eastAsia" w:ascii="Times New Roman" w:hAnsi="Times New Roman" w:eastAsia="宋体" w:cs="Times New Roman"/>
                <w:color w:val="FF0000"/>
                <w:szCs w:val="21"/>
              </w:rPr>
              <w:t>）</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12.309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45</w:t>
            </w:r>
            <w:r>
              <w:rPr>
                <w:rFonts w:ascii="Times New Roman" w:hAnsi="Times New Roman" w:eastAsia="宋体" w:cs="Times New Roman"/>
                <w:color w:val="FF0000"/>
                <w:szCs w:val="21"/>
              </w:rPr>
              <w:t>#排气筒（成品卸料除尘</w:t>
            </w:r>
          </w:p>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16.738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2</w:t>
            </w:r>
          </w:p>
        </w:tc>
        <w:tc>
          <w:tcPr>
            <w:tcW w:w="1134"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铸管工序</w:t>
            </w: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56</w:t>
            </w:r>
            <w:r>
              <w:rPr>
                <w:rFonts w:ascii="Times New Roman" w:hAnsi="Times New Roman" w:eastAsia="宋体" w:cs="Times New Roman"/>
                <w:color w:val="FF0000"/>
                <w:szCs w:val="21"/>
              </w:rPr>
              <w:t>#排气筒（混铁炉除尘装置出口）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36.196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57</w:t>
            </w:r>
            <w:r>
              <w:rPr>
                <w:rFonts w:ascii="Times New Roman" w:hAnsi="Times New Roman" w:eastAsia="宋体" w:cs="Times New Roman"/>
                <w:color w:val="FF0000"/>
                <w:szCs w:val="21"/>
              </w:rPr>
              <w:t>#排气筒（工频炉除尘器出口）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19.836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58</w:t>
            </w:r>
            <w:r>
              <w:rPr>
                <w:rFonts w:ascii="Times New Roman" w:hAnsi="Times New Roman" w:eastAsia="宋体" w:cs="Times New Roman"/>
                <w:color w:val="FF0000"/>
                <w:szCs w:val="21"/>
              </w:rPr>
              <w:t>#排气筒（喂丝球化除尘器出口）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9.656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65</w:t>
            </w:r>
            <w:r>
              <w:rPr>
                <w:rFonts w:ascii="Times New Roman" w:hAnsi="Times New Roman" w:eastAsia="宋体" w:cs="Times New Roman"/>
                <w:color w:val="FF0000"/>
                <w:szCs w:val="21"/>
              </w:rPr>
              <w:t>#排气筒（铸管中小线喷锌除尘器出口）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5.468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64</w:t>
            </w:r>
            <w:r>
              <w:rPr>
                <w:rFonts w:ascii="Times New Roman" w:hAnsi="Times New Roman" w:eastAsia="宋体" w:cs="Times New Roman"/>
                <w:color w:val="FF0000"/>
                <w:szCs w:val="21"/>
              </w:rPr>
              <w:t>#排气筒（铸管大线喷锌除尘器出口）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9.176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63</w:t>
            </w:r>
            <w:r>
              <w:rPr>
                <w:rFonts w:ascii="Times New Roman" w:hAnsi="Times New Roman" w:eastAsia="宋体" w:cs="Times New Roman"/>
                <w:color w:val="FF0000"/>
                <w:szCs w:val="21"/>
              </w:rPr>
              <w:t>#排气筒（铸管热膜喷锌除尘器出口）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3.306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59</w:t>
            </w:r>
            <w:r>
              <w:rPr>
                <w:rFonts w:ascii="Times New Roman" w:hAnsi="Times New Roman" w:eastAsia="宋体" w:cs="Times New Roman"/>
                <w:color w:val="FF0000"/>
                <w:szCs w:val="21"/>
              </w:rPr>
              <w:t>#排气筒（热膜离心浇铸除尘出口）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11.285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66</w:t>
            </w:r>
            <w:r>
              <w:rPr>
                <w:rFonts w:ascii="Times New Roman" w:hAnsi="Times New Roman" w:eastAsia="宋体" w:cs="Times New Roman"/>
                <w:color w:val="FF0000"/>
                <w:szCs w:val="21"/>
              </w:rPr>
              <w:t>#排气筒（热模三磨除尘出口）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19.090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w:t>
            </w:r>
            <w:r>
              <w:rPr>
                <w:rFonts w:ascii="Times New Roman" w:hAnsi="Times New Roman" w:eastAsia="宋体" w:cs="Times New Roman"/>
                <w:color w:val="FF0000"/>
                <w:szCs w:val="21"/>
              </w:rPr>
              <w:t>7#排气筒（</w:t>
            </w:r>
            <w:r>
              <w:rPr>
                <w:rFonts w:hint="eastAsia" w:ascii="Times New Roman" w:hAnsi="Times New Roman" w:eastAsia="宋体" w:cs="Times New Roman"/>
                <w:color w:val="FF0000"/>
                <w:szCs w:val="21"/>
              </w:rPr>
              <w:t>水冷离心机</w:t>
            </w:r>
            <w:r>
              <w:rPr>
                <w:rFonts w:ascii="Times New Roman" w:hAnsi="Times New Roman" w:eastAsia="宋体" w:cs="Times New Roman"/>
                <w:color w:val="FF0000"/>
                <w:szCs w:val="21"/>
              </w:rPr>
              <w:t>除尘排口）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42.437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w:t>
            </w:r>
            <w:r>
              <w:rPr>
                <w:rFonts w:ascii="Times New Roman" w:hAnsi="Times New Roman" w:eastAsia="宋体" w:cs="Times New Roman"/>
                <w:color w:val="FF0000"/>
                <w:szCs w:val="21"/>
              </w:rPr>
              <w:t>8#排气筒（</w:t>
            </w:r>
            <w:r>
              <w:rPr>
                <w:rFonts w:hint="eastAsia" w:ascii="Times New Roman" w:hAnsi="Times New Roman" w:eastAsia="宋体" w:cs="Times New Roman"/>
                <w:color w:val="FF0000"/>
                <w:szCs w:val="21"/>
              </w:rPr>
              <w:t>水冷三磨</w:t>
            </w:r>
            <w:r>
              <w:rPr>
                <w:rFonts w:ascii="Times New Roman" w:hAnsi="Times New Roman" w:eastAsia="宋体" w:cs="Times New Roman"/>
                <w:color w:val="FF0000"/>
                <w:szCs w:val="21"/>
              </w:rPr>
              <w:t>除尘排口）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12.733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69#排气筒（</w:t>
            </w:r>
            <w:r>
              <w:rPr>
                <w:rFonts w:hint="eastAsia" w:ascii="Times New Roman" w:hAnsi="Times New Roman" w:eastAsia="宋体" w:cs="Times New Roman"/>
                <w:color w:val="FF0000"/>
                <w:szCs w:val="21"/>
              </w:rPr>
              <w:t>热膜工频</w:t>
            </w:r>
            <w:r>
              <w:rPr>
                <w:rFonts w:ascii="Times New Roman" w:hAnsi="Times New Roman" w:eastAsia="宋体" w:cs="Times New Roman"/>
                <w:color w:val="FF0000"/>
                <w:szCs w:val="21"/>
              </w:rPr>
              <w:t>电炉除尘</w:t>
            </w:r>
            <w:r>
              <w:rPr>
                <w:rFonts w:hint="eastAsia" w:ascii="Times New Roman" w:hAnsi="Times New Roman" w:eastAsia="宋体" w:cs="Times New Roman"/>
                <w:color w:val="FF0000"/>
                <w:szCs w:val="21"/>
              </w:rPr>
              <w:t>出口</w:t>
            </w:r>
            <w:r>
              <w:rPr>
                <w:rFonts w:ascii="Times New Roman" w:hAnsi="Times New Roman" w:eastAsia="宋体" w:cs="Times New Roman"/>
                <w:color w:val="FF0000"/>
                <w:szCs w:val="21"/>
              </w:rPr>
              <w:t>）</w:t>
            </w:r>
          </w:p>
        </w:tc>
        <w:tc>
          <w:tcPr>
            <w:tcW w:w="1134"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2.322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70</w:t>
            </w:r>
            <w:r>
              <w:rPr>
                <w:rFonts w:ascii="Times New Roman" w:hAnsi="Times New Roman" w:eastAsia="宋体" w:cs="Times New Roman"/>
                <w:color w:val="FF0000"/>
                <w:szCs w:val="21"/>
              </w:rPr>
              <w:t>#排气筒（制芯烘砂除尘出口）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0.857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71</w:t>
            </w:r>
            <w:r>
              <w:rPr>
                <w:rFonts w:ascii="Times New Roman" w:hAnsi="Times New Roman" w:eastAsia="宋体" w:cs="Times New Roman"/>
                <w:color w:val="FF0000"/>
                <w:szCs w:val="21"/>
              </w:rPr>
              <w:t>#排气筒（管模工段除尘出口）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72</w:t>
            </w:r>
            <w:r>
              <w:rPr>
                <w:rFonts w:ascii="Times New Roman" w:hAnsi="Times New Roman" w:eastAsia="宋体" w:cs="Times New Roman"/>
                <w:color w:val="FF0000"/>
                <w:szCs w:val="21"/>
              </w:rPr>
              <w:t>#</w:t>
            </w:r>
            <w:r>
              <w:rPr>
                <w:rFonts w:hint="eastAsia" w:ascii="Times New Roman" w:hAnsi="Times New Roman" w:eastAsia="宋体" w:cs="Times New Roman"/>
                <w:color w:val="FF0000"/>
                <w:szCs w:val="21"/>
              </w:rPr>
              <w:t>排气筒</w:t>
            </w:r>
            <w:r>
              <w:rPr>
                <w:rFonts w:ascii="Times New Roman" w:hAnsi="Times New Roman" w:eastAsia="宋体" w:cs="Times New Roman"/>
                <w:color w:val="FF0000"/>
                <w:szCs w:val="21"/>
              </w:rPr>
              <w:t>（三乙胺工段水冷（热膜）净化器出口）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三乙胺</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60</w:t>
            </w:r>
            <w:r>
              <w:rPr>
                <w:rFonts w:ascii="Times New Roman" w:hAnsi="Times New Roman" w:eastAsia="宋体" w:cs="Times New Roman"/>
                <w:color w:val="FF0000"/>
                <w:szCs w:val="21"/>
              </w:rPr>
              <w:t>#排气筒（热膜退火炉出口）</w:t>
            </w: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1.194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2.165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沥青烟</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0.708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苯</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甲苯</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二甲苯</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w:t>
            </w:r>
            <w:r>
              <w:rPr>
                <w:rFonts w:ascii="Times New Roman" w:hAnsi="Times New Roman" w:eastAsia="宋体" w:cs="Times New Roman"/>
                <w:color w:val="FF0000"/>
                <w:szCs w:val="21"/>
              </w:rPr>
              <w:t>1#</w:t>
            </w:r>
            <w:r>
              <w:rPr>
                <w:rFonts w:hint="eastAsia" w:ascii="Times New Roman" w:hAnsi="Times New Roman" w:eastAsia="宋体" w:cs="Times New Roman"/>
                <w:color w:val="FF0000"/>
                <w:szCs w:val="21"/>
              </w:rPr>
              <w:t>排气筒（</w:t>
            </w:r>
            <w:r>
              <w:rPr>
                <w:rFonts w:ascii="Times New Roman" w:hAnsi="Times New Roman" w:eastAsia="宋体" w:cs="Times New Roman"/>
                <w:color w:val="FF0000"/>
                <w:szCs w:val="21"/>
              </w:rPr>
              <w:t>水冷退火炉出口</w:t>
            </w:r>
            <w:r>
              <w:rPr>
                <w:rFonts w:hint="eastAsia" w:ascii="Times New Roman" w:hAnsi="Times New Roman" w:eastAsia="宋体" w:cs="Times New Roman"/>
                <w:color w:val="FF0000"/>
                <w:szCs w:val="21"/>
              </w:rPr>
              <w:t>1）</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4.057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3.663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4.406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沥青烟</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甲苯</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二甲苯</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6</w:t>
            </w:r>
            <w:r>
              <w:rPr>
                <w:rFonts w:ascii="Times New Roman" w:hAnsi="Times New Roman" w:eastAsia="宋体" w:cs="Times New Roman"/>
                <w:color w:val="FF0000"/>
                <w:szCs w:val="21"/>
              </w:rPr>
              <w:t>1#</w:t>
            </w:r>
            <w:r>
              <w:rPr>
                <w:rFonts w:hint="eastAsia" w:ascii="Times New Roman" w:hAnsi="Times New Roman" w:eastAsia="宋体" w:cs="Times New Roman"/>
                <w:color w:val="FF0000"/>
                <w:szCs w:val="21"/>
              </w:rPr>
              <w:t>排气筒（</w:t>
            </w:r>
            <w:r>
              <w:rPr>
                <w:rFonts w:ascii="Times New Roman" w:hAnsi="Times New Roman" w:eastAsia="宋体" w:cs="Times New Roman"/>
                <w:color w:val="FF0000"/>
                <w:szCs w:val="21"/>
              </w:rPr>
              <w:t>水冷退火炉出口</w:t>
            </w:r>
            <w:r>
              <w:rPr>
                <w:rFonts w:hint="eastAsia" w:ascii="Times New Roman" w:hAnsi="Times New Roman" w:eastAsia="宋体" w:cs="Times New Roman"/>
                <w:color w:val="FF0000"/>
                <w:szCs w:val="21"/>
              </w:rPr>
              <w:t>1）</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4.463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沥青烟</w:t>
            </w:r>
          </w:p>
        </w:tc>
        <w:tc>
          <w:tcPr>
            <w:tcW w:w="1885" w:type="dxa"/>
            <w:vAlign w:val="center"/>
          </w:tcPr>
          <w:p>
            <w:pPr>
              <w:jc w:val="center"/>
              <w:rPr>
                <w:rFonts w:ascii="Times New Roman" w:hAnsi="Times New Roman" w:eastAsia="宋体"/>
                <w:color w:val="FF0000"/>
              </w:rPr>
            </w:pPr>
            <w:r>
              <w:rPr>
                <w:rFonts w:hint="eastAsia" w:ascii="Times New Roman" w:hAnsi="Times New Roman" w:eastAsia="宋体"/>
                <w:color w:val="FF0000"/>
              </w:rPr>
              <w:t>2.233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w:t>
            </w:r>
          </w:p>
        </w:tc>
        <w:tc>
          <w:tcPr>
            <w:tcW w:w="1885" w:type="dxa"/>
            <w:vAlign w:val="center"/>
          </w:tcPr>
          <w:p>
            <w:pPr>
              <w:jc w:val="center"/>
              <w:rPr>
                <w:rFonts w:ascii="Times New Roman" w:hAnsi="Times New Roman" w:eastAsia="宋体"/>
                <w:color w:val="FF0000"/>
              </w:rPr>
            </w:pPr>
            <w:r>
              <w:rPr>
                <w:rFonts w:hint="eastAsia" w:ascii="Times New Roman" w:hAnsi="Times New Roman" w:eastAsia="宋体"/>
                <w:color w:val="FF0000"/>
              </w:rPr>
              <w:t>0.064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甲苯</w:t>
            </w:r>
          </w:p>
        </w:tc>
        <w:tc>
          <w:tcPr>
            <w:tcW w:w="1885" w:type="dxa"/>
            <w:vAlign w:val="center"/>
          </w:tcPr>
          <w:p>
            <w:pPr>
              <w:jc w:val="center"/>
              <w:rPr>
                <w:rFonts w:ascii="Times New Roman" w:hAnsi="Times New Roman" w:eastAsia="宋体"/>
                <w:color w:val="FF0000"/>
              </w:rPr>
            </w:pPr>
            <w:r>
              <w:rPr>
                <w:rFonts w:hint="eastAsia" w:ascii="Times New Roman" w:hAnsi="Times New Roman" w:eastAsia="宋体"/>
                <w:color w:val="FF0000"/>
              </w:rPr>
              <w:t>0.037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二甲苯</w:t>
            </w:r>
          </w:p>
        </w:tc>
        <w:tc>
          <w:tcPr>
            <w:tcW w:w="1885" w:type="dxa"/>
            <w:vAlign w:val="center"/>
          </w:tcPr>
          <w:p>
            <w:pPr>
              <w:jc w:val="center"/>
              <w:rPr>
                <w:rFonts w:ascii="Times New Roman" w:hAnsi="Times New Roman" w:eastAsia="宋体"/>
                <w:color w:val="FF0000"/>
              </w:rPr>
            </w:pPr>
            <w:r>
              <w:rPr>
                <w:rFonts w:hint="eastAsia" w:ascii="Times New Roman" w:hAnsi="Times New Roman" w:eastAsia="宋体"/>
                <w:color w:val="FF0000"/>
              </w:rPr>
              <w:t>0.037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3</w:t>
            </w:r>
          </w:p>
        </w:tc>
        <w:tc>
          <w:tcPr>
            <w:tcW w:w="1134"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炼</w:t>
            </w:r>
            <w:r>
              <w:rPr>
                <w:rFonts w:hint="eastAsia" w:ascii="Times New Roman" w:hAnsi="Times New Roman" w:eastAsia="宋体" w:cs="Times New Roman"/>
                <w:color w:val="FF0000"/>
              </w:rPr>
              <w:t>铁</w:t>
            </w:r>
            <w:r>
              <w:rPr>
                <w:rFonts w:ascii="Times New Roman" w:hAnsi="Times New Roman" w:eastAsia="宋体" w:cs="Times New Roman"/>
                <w:color w:val="FF0000"/>
              </w:rPr>
              <w:t>工序</w:t>
            </w: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27#排气筒（1#高炉出铁场除尘排口）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28.521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34#排气筒（2#高炉出铁场除尘排口）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44.238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28#排气筒（1#高炉供料除尘排口）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15.823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35#排气筒（2#高炉供料除尘排口）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22.845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25#排气筒（1#高炉煤粉制备除尘器出口）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7.239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6.088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12.933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26#排气筒（1#高炉热风炉烟气出口）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101.319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103.276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372.613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32#排气筒（2#高炉煤粉制备除尘器出口）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10.522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12.173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33#排气筒（2#高炉热风炉烟气出口）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93.852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107.344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436.283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21#排气筒（1#转运站除尘器外排口）</w:t>
            </w:r>
          </w:p>
        </w:tc>
        <w:tc>
          <w:tcPr>
            <w:tcW w:w="1134" w:type="dxa"/>
          </w:tcPr>
          <w:p>
            <w:pPr>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10.799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22#排气筒（3#转运站除尘器外排口）</w:t>
            </w:r>
          </w:p>
        </w:tc>
        <w:tc>
          <w:tcPr>
            <w:tcW w:w="1134" w:type="dxa"/>
          </w:tcPr>
          <w:p>
            <w:pPr>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9.319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23#排气筒（4#转运站除尘器外排口）</w:t>
            </w:r>
          </w:p>
        </w:tc>
        <w:tc>
          <w:tcPr>
            <w:tcW w:w="1134" w:type="dxa"/>
          </w:tcPr>
          <w:p>
            <w:pPr>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14#排气筒（7#转运站除尘器外排口）</w:t>
            </w:r>
          </w:p>
        </w:tc>
        <w:tc>
          <w:tcPr>
            <w:tcW w:w="1134" w:type="dxa"/>
          </w:tcPr>
          <w:p>
            <w:pPr>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0.245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15#排气筒（8#转运站除尘器外排口）</w:t>
            </w:r>
          </w:p>
        </w:tc>
        <w:tc>
          <w:tcPr>
            <w:tcW w:w="1134" w:type="dxa"/>
          </w:tcPr>
          <w:p>
            <w:pPr>
              <w:jc w:val="center"/>
              <w:rPr>
                <w:rFonts w:ascii="Times New Roman" w:hAnsi="Times New Roman" w:eastAsia="宋体" w:cs="Times New Roman"/>
                <w:color w:val="FF0000"/>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0.267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24#排气筒（1#高炉炉顶除尘排口）</w:t>
            </w:r>
          </w:p>
        </w:tc>
        <w:tc>
          <w:tcPr>
            <w:tcW w:w="1134" w:type="dxa"/>
          </w:tcPr>
          <w:p>
            <w:pPr>
              <w:jc w:val="center"/>
              <w:rPr>
                <w:rFonts w:ascii="Times New Roman" w:hAnsi="Times New Roman" w:eastAsia="宋体" w:cs="Times New Roman"/>
                <w:color w:val="FF0000"/>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4.629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31#排气筒（2#高炉炉顶除尘排口）</w:t>
            </w:r>
          </w:p>
        </w:tc>
        <w:tc>
          <w:tcPr>
            <w:tcW w:w="1134" w:type="dxa"/>
          </w:tcPr>
          <w:p>
            <w:pPr>
              <w:jc w:val="center"/>
              <w:rPr>
                <w:rFonts w:ascii="Times New Roman" w:hAnsi="Times New Roman" w:eastAsia="宋体" w:cs="Times New Roman"/>
                <w:color w:val="FF0000"/>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7.258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30#排气筒（铸铁机除尘排口）</w:t>
            </w:r>
          </w:p>
        </w:tc>
        <w:tc>
          <w:tcPr>
            <w:tcW w:w="1134"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5.091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29</w:t>
            </w:r>
            <w:r>
              <w:rPr>
                <w:rFonts w:ascii="Times New Roman" w:hAnsi="Times New Roman" w:eastAsia="宋体" w:cs="Times New Roman"/>
                <w:bCs/>
                <w:color w:val="FF0000"/>
                <w:szCs w:val="21"/>
              </w:rPr>
              <w:t>#排气筒（矿渣微粉除尘器排气筒出口）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31.671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30.492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31.863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restart"/>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转炉炼钢工序</w:t>
            </w: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36</w:t>
            </w:r>
            <w:r>
              <w:rPr>
                <w:rFonts w:ascii="Times New Roman" w:hAnsi="Times New Roman" w:eastAsia="宋体" w:cs="Times New Roman"/>
                <w:color w:val="FF0000"/>
                <w:szCs w:val="21"/>
              </w:rPr>
              <w:t>#排气筒（铁水预处理除尘器外排口）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39.887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37#排气筒（</w:t>
            </w:r>
            <w:r>
              <w:rPr>
                <w:rFonts w:hint="eastAsia" w:ascii="Times New Roman" w:hAnsi="Times New Roman" w:eastAsia="宋体" w:cs="Times New Roman"/>
                <w:color w:val="FF0000"/>
                <w:szCs w:val="21"/>
              </w:rPr>
              <w:t>1</w:t>
            </w:r>
            <w:r>
              <w:rPr>
                <w:rFonts w:ascii="Times New Roman" w:hAnsi="Times New Roman" w:eastAsia="宋体" w:cs="Times New Roman"/>
                <w:color w:val="FF0000"/>
                <w:szCs w:val="21"/>
              </w:rPr>
              <w:t>#转炉烟气除尘排口）</w:t>
            </w:r>
          </w:p>
        </w:tc>
        <w:tc>
          <w:tcPr>
            <w:tcW w:w="1134"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3.882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40#排气筒（2#转炉烟气除尘排口）</w:t>
            </w:r>
          </w:p>
        </w:tc>
        <w:tc>
          <w:tcPr>
            <w:tcW w:w="1134"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4.081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38</w:t>
            </w:r>
            <w:r>
              <w:rPr>
                <w:rFonts w:ascii="Times New Roman" w:hAnsi="Times New Roman" w:eastAsia="宋体" w:cs="Times New Roman"/>
                <w:color w:val="FF0000"/>
                <w:szCs w:val="21"/>
              </w:rPr>
              <w:t>#排气筒（转炉二次除尘器外排口）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33.988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39</w:t>
            </w:r>
            <w:r>
              <w:rPr>
                <w:rFonts w:ascii="Times New Roman" w:hAnsi="Times New Roman" w:eastAsia="宋体" w:cs="Times New Roman"/>
                <w:color w:val="FF0000"/>
                <w:szCs w:val="21"/>
              </w:rPr>
              <w:t>#排气筒（转炉三次除尘器外排口）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66.882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38#排气筒（1#转炉二次烟气除尘出口）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49.844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37</w:t>
            </w:r>
            <w:r>
              <w:rPr>
                <w:rFonts w:ascii="Times New Roman" w:hAnsi="Times New Roman" w:eastAsia="宋体" w:cs="Times New Roman"/>
                <w:color w:val="FF0000"/>
                <w:szCs w:val="21"/>
              </w:rPr>
              <w:t>#排气筒（转炉屋顶除尘出口）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39.735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39</w:t>
            </w:r>
            <w:r>
              <w:rPr>
                <w:rFonts w:ascii="Times New Roman" w:hAnsi="Times New Roman" w:eastAsia="宋体" w:cs="Times New Roman"/>
                <w:color w:val="FF0000"/>
                <w:szCs w:val="21"/>
              </w:rPr>
              <w:t>#排气筒（精炼及地下料仓出口）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32.106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9" w:hRule="atLeast"/>
          <w:jc w:val="center"/>
        </w:trPr>
        <w:tc>
          <w:tcPr>
            <w:tcW w:w="667"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4</w:t>
            </w:r>
          </w:p>
        </w:tc>
        <w:tc>
          <w:tcPr>
            <w:tcW w:w="1134"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烧结工序</w:t>
            </w: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17</w:t>
            </w:r>
            <w:r>
              <w:rPr>
                <w:rFonts w:ascii="Times New Roman" w:hAnsi="Times New Roman" w:eastAsia="宋体" w:cs="Times New Roman"/>
                <w:bCs/>
                <w:color w:val="FF0000"/>
                <w:szCs w:val="21"/>
              </w:rPr>
              <w:t>#排气筒（烧结破碎除尘器出口）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25.515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18#排气筒（2#烧结机头外排废气处理设施出口）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235.867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329.571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783.210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氟化物</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3.632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二噁英</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0.000000196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bCs/>
                <w:color w:val="FF0000"/>
                <w:szCs w:val="21"/>
              </w:rPr>
              <w:t>19#排气筒（2#烧结机尾气除尘器出口）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43.514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20#排气筒（</w:t>
            </w:r>
            <w:r>
              <w:rPr>
                <w:rFonts w:hint="eastAsia" w:ascii="Times New Roman" w:hAnsi="Times New Roman" w:eastAsia="宋体" w:cs="Times New Roman"/>
                <w:bCs/>
                <w:color w:val="FF0000"/>
                <w:szCs w:val="21"/>
              </w:rPr>
              <w:t>烧结块矿</w:t>
            </w:r>
            <w:r>
              <w:rPr>
                <w:rFonts w:ascii="Times New Roman" w:hAnsi="Times New Roman" w:eastAsia="宋体" w:cs="Times New Roman"/>
                <w:bCs/>
                <w:color w:val="FF0000"/>
                <w:szCs w:val="21"/>
              </w:rPr>
              <w:t>烘干除尘器排口）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16</w:t>
            </w:r>
            <w:r>
              <w:rPr>
                <w:rFonts w:ascii="Times New Roman" w:hAnsi="Times New Roman" w:eastAsia="宋体" w:cs="Times New Roman"/>
                <w:bCs/>
                <w:color w:val="FF0000"/>
                <w:szCs w:val="21"/>
              </w:rPr>
              <w:t>#</w:t>
            </w:r>
            <w:r>
              <w:rPr>
                <w:rFonts w:hint="eastAsia" w:ascii="Times New Roman" w:hAnsi="Times New Roman" w:eastAsia="宋体" w:cs="Times New Roman"/>
                <w:bCs/>
                <w:color w:val="FF0000"/>
                <w:szCs w:val="21"/>
              </w:rPr>
              <w:t>排气筒</w:t>
            </w:r>
            <w:r>
              <w:rPr>
                <w:rFonts w:ascii="Times New Roman" w:hAnsi="Times New Roman" w:eastAsia="宋体" w:cs="Times New Roman"/>
                <w:bCs/>
                <w:color w:val="FF0000"/>
                <w:szCs w:val="21"/>
              </w:rPr>
              <w:t>（烧结配料除尘器出口）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28.136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5</w:t>
            </w:r>
          </w:p>
        </w:tc>
        <w:tc>
          <w:tcPr>
            <w:tcW w:w="1134"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焦化工序</w:t>
            </w: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6</w:t>
            </w:r>
            <w:r>
              <w:rPr>
                <w:rFonts w:ascii="Times New Roman" w:hAnsi="Times New Roman" w:eastAsia="宋体" w:cs="Times New Roman"/>
                <w:bCs/>
                <w:color w:val="FF0000"/>
                <w:szCs w:val="21"/>
              </w:rPr>
              <w:t>#排气筒（焦化装煤除尘器出口）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5.337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0.069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苯并[a]芘</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0.000000152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9</w:t>
            </w:r>
            <w:r>
              <w:rPr>
                <w:rFonts w:ascii="Times New Roman" w:hAnsi="Times New Roman" w:eastAsia="宋体" w:cs="Times New Roman"/>
                <w:bCs/>
                <w:color w:val="FF0000"/>
                <w:szCs w:val="21"/>
              </w:rPr>
              <w:t>#排气筒（焦化干熄焦除尘器出口）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27.539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50.993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10</w:t>
            </w:r>
            <w:r>
              <w:rPr>
                <w:rFonts w:ascii="Times New Roman" w:hAnsi="Times New Roman" w:eastAsia="宋体" w:cs="Times New Roman"/>
                <w:color w:val="FF0000"/>
                <w:szCs w:val="21"/>
              </w:rPr>
              <w:t>#排气筒（焦化筛焦楼除尘器出口）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49.326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7</w:t>
            </w:r>
            <w:r>
              <w:rPr>
                <w:rFonts w:ascii="Times New Roman" w:hAnsi="Times New Roman" w:eastAsia="宋体" w:cs="Times New Roman"/>
                <w:bCs/>
                <w:color w:val="FF0000"/>
                <w:szCs w:val="21"/>
              </w:rPr>
              <w:t>#排气筒（焦化推焦除尘器出口）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10.458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苯并[a]芘</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0.000000361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8</w:t>
            </w:r>
            <w:r>
              <w:rPr>
                <w:rFonts w:ascii="Times New Roman" w:hAnsi="Times New Roman" w:eastAsia="宋体" w:cs="Times New Roman"/>
                <w:color w:val="FF0000"/>
                <w:szCs w:val="21"/>
              </w:rPr>
              <w:t>#排气筒（焦化散逸烟气回收系统出口）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47.767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90.984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88.791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w:t>
            </w:r>
            <w:r>
              <w:rPr>
                <w:rFonts w:ascii="Times New Roman" w:hAnsi="Times New Roman" w:eastAsia="宋体" w:cs="Times New Roman"/>
                <w:color w:val="FF0000"/>
                <w:szCs w:val="21"/>
              </w:rPr>
              <w:t>#排气筒（焦化备煤粉碎除尘器出口）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粉尘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8.226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13</w:t>
            </w:r>
            <w:r>
              <w:rPr>
                <w:rFonts w:ascii="Times New Roman" w:hAnsi="Times New Roman" w:eastAsia="宋体" w:cs="Times New Roman"/>
                <w:color w:val="FF0000"/>
                <w:szCs w:val="21"/>
              </w:rPr>
              <w:t>#排气筒（焦化粗苯管式炉尾气）</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2.213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2.671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3.433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12</w:t>
            </w:r>
            <w:r>
              <w:rPr>
                <w:rFonts w:ascii="Times New Roman" w:hAnsi="Times New Roman" w:eastAsia="宋体" w:cs="Times New Roman"/>
                <w:bCs/>
                <w:color w:val="FF0000"/>
                <w:szCs w:val="21"/>
              </w:rPr>
              <w:t>#排气筒（焦化硫铵干燥废气处理设施出口）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氨气</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0.409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11#排气筒（焦炉煤气净化尾气回收出口）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hint="eastAsia" w:ascii="Times New Roman" w:hAnsi="Times New Roman" w:eastAsia="宋体" w:cs="宋体"/>
                <w:color w:val="FF0000"/>
                <w:kern w:val="0"/>
              </w:rPr>
            </w:pPr>
            <w:r>
              <w:rPr>
                <w:rFonts w:hint="eastAsia" w:ascii="Times New Roman" w:hAnsi="Times New Roman" w:eastAsia="宋体"/>
                <w:color w:val="FF0000"/>
              </w:rPr>
              <w:t>2.227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氨气</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0.642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硫化氢</w:t>
            </w:r>
          </w:p>
        </w:tc>
        <w:tc>
          <w:tcPr>
            <w:tcW w:w="1885" w:type="dxa"/>
            <w:vAlign w:val="center"/>
          </w:tcPr>
          <w:p>
            <w:pPr>
              <w:pStyle w:val="2"/>
              <w:spacing w:after="0"/>
              <w:jc w:val="center"/>
              <w:rPr>
                <w:rFonts w:ascii="Times New Roman" w:hAnsi="Times New Roman" w:eastAsia="宋体" w:cs="Times New Roman"/>
                <w:color w:val="FF0000"/>
              </w:rPr>
            </w:pPr>
            <w:r>
              <w:rPr>
                <w:rFonts w:hint="eastAsia" w:ascii="Times New Roman" w:hAnsi="Times New Roman" w:eastAsia="宋体" w:cs="Times New Roman"/>
                <w:color w:val="FF0000"/>
              </w:rPr>
              <w:t>0.117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5#排气筒（焦化焦炉烟囱）</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43.705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70.802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454.414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6</w:t>
            </w:r>
          </w:p>
        </w:tc>
        <w:tc>
          <w:tcPr>
            <w:tcW w:w="1134"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轧钢工序</w:t>
            </w: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52</w:t>
            </w:r>
            <w:r>
              <w:rPr>
                <w:rFonts w:ascii="Times New Roman" w:hAnsi="Times New Roman" w:eastAsia="宋体" w:cs="Times New Roman"/>
                <w:bCs/>
                <w:color w:val="FF0000"/>
                <w:szCs w:val="21"/>
              </w:rPr>
              <w:t>#排气筒（普通高线工段加热炉空废外排口）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7.389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15.392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8.665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53</w:t>
            </w:r>
            <w:r>
              <w:rPr>
                <w:rFonts w:ascii="Times New Roman" w:hAnsi="Times New Roman" w:eastAsia="宋体" w:cs="Times New Roman"/>
                <w:color w:val="FF0000"/>
                <w:szCs w:val="21"/>
              </w:rPr>
              <w:t>#排气筒（普通高线加热炉煤废外排口）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15.117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17.702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9.372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w:t>
            </w:r>
            <w:r>
              <w:rPr>
                <w:rFonts w:ascii="Times New Roman" w:hAnsi="Times New Roman" w:eastAsia="宋体" w:cs="Times New Roman"/>
                <w:color w:val="FF0000"/>
                <w:szCs w:val="21"/>
              </w:rPr>
              <w:t>4#排气筒（精品高线加热炉</w:t>
            </w:r>
            <w:r>
              <w:rPr>
                <w:rFonts w:hint="eastAsia" w:ascii="Times New Roman" w:hAnsi="Times New Roman" w:eastAsia="宋体" w:cs="Times New Roman"/>
                <w:color w:val="FF0000"/>
                <w:szCs w:val="21"/>
              </w:rPr>
              <w:t>空废</w:t>
            </w:r>
            <w:r>
              <w:rPr>
                <w:rFonts w:ascii="Times New Roman" w:hAnsi="Times New Roman" w:eastAsia="宋体" w:cs="Times New Roman"/>
                <w:color w:val="FF0000"/>
                <w:szCs w:val="21"/>
              </w:rPr>
              <w:t>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5.171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8.645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8.768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55</w:t>
            </w:r>
            <w:r>
              <w:rPr>
                <w:rFonts w:ascii="Times New Roman" w:hAnsi="Times New Roman" w:eastAsia="宋体" w:cs="Times New Roman"/>
                <w:color w:val="FF0000"/>
                <w:szCs w:val="21"/>
              </w:rPr>
              <w:t>#排气筒（精品高线加热炉煤废外排口）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widowControl/>
              <w:jc w:val="center"/>
              <w:rPr>
                <w:rFonts w:ascii="Times New Roman" w:hAnsi="Times New Roman" w:eastAsia="宋体" w:cs="宋体"/>
                <w:color w:val="FF0000"/>
                <w:kern w:val="0"/>
              </w:rPr>
            </w:pPr>
            <w:r>
              <w:rPr>
                <w:rFonts w:hint="eastAsia" w:ascii="Times New Roman" w:hAnsi="Times New Roman" w:eastAsia="宋体"/>
                <w:color w:val="FF0000"/>
              </w:rPr>
              <w:t>7.403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18.199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18.881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48</w:t>
            </w:r>
            <w:r>
              <w:rPr>
                <w:rFonts w:ascii="Times New Roman" w:hAnsi="Times New Roman" w:eastAsia="宋体" w:cs="Times New Roman"/>
                <w:color w:val="FF0000"/>
                <w:szCs w:val="21"/>
              </w:rPr>
              <w:t>#排气筒（中棒加热炉空废外排口）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6.921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17.585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14.452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49</w:t>
            </w:r>
            <w:r>
              <w:rPr>
                <w:rFonts w:ascii="Times New Roman" w:hAnsi="Times New Roman" w:eastAsia="宋体" w:cs="Times New Roman"/>
                <w:color w:val="FF0000"/>
                <w:szCs w:val="21"/>
              </w:rPr>
              <w:t>#排气筒（中棒加热炉煤废外排口）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11.377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12.418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31.687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50</w:t>
            </w:r>
            <w:r>
              <w:rPr>
                <w:rFonts w:ascii="Times New Roman" w:hAnsi="Times New Roman" w:eastAsia="宋体" w:cs="Times New Roman"/>
                <w:color w:val="FF0000"/>
                <w:szCs w:val="21"/>
              </w:rPr>
              <w:t>#排气筒（大棒加热炉空废外排口）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2.716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4.815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5.795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51</w:t>
            </w:r>
            <w:r>
              <w:rPr>
                <w:rFonts w:ascii="Times New Roman" w:hAnsi="Times New Roman" w:eastAsia="宋体" w:cs="Times New Roman"/>
                <w:color w:val="FF0000"/>
                <w:szCs w:val="21"/>
              </w:rPr>
              <w:t>#排气筒（大棒加热炉空废外排口）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3.929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5.824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16.712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46</w:t>
            </w:r>
            <w:r>
              <w:rPr>
                <w:rFonts w:ascii="Times New Roman" w:hAnsi="Times New Roman" w:eastAsia="宋体" w:cs="Times New Roman"/>
                <w:color w:val="FF0000"/>
                <w:szCs w:val="21"/>
              </w:rPr>
              <w:t>#排气筒（小棒加热炉空废外排口）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10.372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27.949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20.207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47</w:t>
            </w:r>
            <w:r>
              <w:rPr>
                <w:rFonts w:ascii="Times New Roman" w:hAnsi="Times New Roman" w:eastAsia="宋体" w:cs="Times New Roman"/>
                <w:color w:val="FF0000"/>
                <w:szCs w:val="21"/>
              </w:rPr>
              <w:t>#排气筒</w:t>
            </w:r>
            <w:r>
              <w:rPr>
                <w:rFonts w:hint="eastAsia" w:ascii="Times New Roman" w:hAnsi="Times New Roman" w:eastAsia="宋体" w:cs="Times New Roman"/>
                <w:color w:val="FF0000"/>
                <w:szCs w:val="21"/>
              </w:rPr>
              <w:t>（</w:t>
            </w:r>
            <w:r>
              <w:rPr>
                <w:rFonts w:ascii="Times New Roman" w:hAnsi="Times New Roman" w:eastAsia="宋体" w:cs="Times New Roman"/>
                <w:color w:val="FF0000"/>
                <w:szCs w:val="21"/>
              </w:rPr>
              <w:t>小棒加热炉空废外排口</w:t>
            </w:r>
            <w:r>
              <w:rPr>
                <w:rFonts w:hint="eastAsia" w:ascii="Times New Roman" w:hAnsi="Times New Roman" w:eastAsia="宋体" w:cs="Times New Roman"/>
                <w:color w:val="FF0000"/>
                <w:szCs w:val="21"/>
              </w:rPr>
              <w:t>）</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12.514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32.391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36.900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7</w:t>
            </w:r>
          </w:p>
        </w:tc>
        <w:tc>
          <w:tcPr>
            <w:tcW w:w="1134"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发电工序</w:t>
            </w: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bCs/>
                <w:color w:val="FF0000"/>
                <w:szCs w:val="21"/>
              </w:rPr>
              <w:t>1</w:t>
            </w:r>
            <w:r>
              <w:rPr>
                <w:rFonts w:ascii="Times New Roman" w:hAnsi="Times New Roman" w:eastAsia="宋体" w:cs="Times New Roman"/>
                <w:bCs/>
                <w:color w:val="FF0000"/>
                <w:szCs w:val="21"/>
              </w:rPr>
              <w:t>#排气筒（发电车间烟囱外排口）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19.624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84.811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121.644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bCs/>
                <w:color w:val="FF0000"/>
                <w:szCs w:val="21"/>
              </w:rPr>
              <w:t>2#排气筒（</w:t>
            </w:r>
            <w:r>
              <w:rPr>
                <w:rFonts w:hint="eastAsia" w:ascii="Times New Roman" w:hAnsi="Times New Roman" w:eastAsia="宋体" w:cs="Times New Roman"/>
                <w:bCs/>
                <w:color w:val="FF0000"/>
                <w:szCs w:val="21"/>
              </w:rPr>
              <w:t>煤气发电过热炉</w:t>
            </w:r>
            <w:r>
              <w:rPr>
                <w:rFonts w:ascii="Times New Roman" w:hAnsi="Times New Roman" w:eastAsia="宋体" w:cs="Times New Roman"/>
                <w:bCs/>
                <w:color w:val="FF0000"/>
                <w:szCs w:val="21"/>
              </w:rPr>
              <w:t>烟囱出口）</w:t>
            </w: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烟尘</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0.433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二氧化硫</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1.518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s="Times New Roman"/>
                <w:color w:val="FF0000"/>
              </w:rPr>
            </w:pPr>
          </w:p>
        </w:tc>
        <w:tc>
          <w:tcPr>
            <w:tcW w:w="1134" w:type="dxa"/>
            <w:vMerge w:val="continue"/>
            <w:vAlign w:val="center"/>
          </w:tcPr>
          <w:p>
            <w:pPr>
              <w:pStyle w:val="2"/>
              <w:spacing w:after="0"/>
              <w:jc w:val="center"/>
              <w:rPr>
                <w:rFonts w:ascii="Times New Roman" w:hAnsi="Times New Roman" w:eastAsia="宋体" w:cs="Times New Roman"/>
                <w:color w:val="FF0000"/>
              </w:rPr>
            </w:pPr>
          </w:p>
        </w:tc>
        <w:tc>
          <w:tcPr>
            <w:tcW w:w="4252" w:type="dxa"/>
            <w:vMerge w:val="continue"/>
            <w:vAlign w:val="center"/>
          </w:tcPr>
          <w:p>
            <w:pPr>
              <w:pStyle w:val="2"/>
              <w:spacing w:after="0"/>
              <w:jc w:val="center"/>
              <w:rPr>
                <w:rFonts w:ascii="Times New Roman" w:hAnsi="Times New Roman" w:eastAsia="宋体" w:cs="Times New Roman"/>
                <w:color w:val="FF0000"/>
                <w:szCs w:val="21"/>
              </w:rPr>
            </w:pPr>
          </w:p>
        </w:tc>
        <w:tc>
          <w:tcPr>
            <w:tcW w:w="113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氮氧化物</w:t>
            </w:r>
          </w:p>
        </w:tc>
        <w:tc>
          <w:tcPr>
            <w:tcW w:w="1885" w:type="dxa"/>
            <w:vAlign w:val="center"/>
          </w:tcPr>
          <w:p>
            <w:pPr>
              <w:jc w:val="center"/>
              <w:rPr>
                <w:rFonts w:hint="eastAsia" w:ascii="Times New Roman" w:hAnsi="Times New Roman" w:eastAsia="宋体"/>
                <w:color w:val="FF0000"/>
              </w:rPr>
            </w:pPr>
            <w:r>
              <w:rPr>
                <w:rFonts w:hint="eastAsia" w:ascii="Times New Roman" w:hAnsi="Times New Roman" w:eastAsia="宋体"/>
                <w:color w:val="FF0000"/>
              </w:rPr>
              <w:t>0.849</w:t>
            </w:r>
          </w:p>
        </w:tc>
      </w:tr>
    </w:tbl>
    <w:p>
      <w:pPr>
        <w:spacing w:before="156" w:beforeLines="50" w:after="156" w:afterLines="50" w:line="360" w:lineRule="auto"/>
        <w:outlineLvl w:val="2"/>
        <w:rPr>
          <w:rFonts w:ascii="Times New Roman" w:hAnsi="Times New Roman" w:eastAsia="黑体" w:cs="Times New Roman"/>
          <w:color w:val="FF0000"/>
          <w:sz w:val="24"/>
          <w:szCs w:val="24"/>
        </w:rPr>
      </w:pPr>
      <w:r>
        <w:rPr>
          <w:rFonts w:ascii="Times New Roman" w:hAnsi="Times New Roman" w:eastAsia="黑体" w:cs="Times New Roman"/>
          <w:color w:val="FF0000"/>
          <w:sz w:val="24"/>
          <w:szCs w:val="24"/>
        </w:rPr>
        <w:t>3.3.2废水污染源及处理措施分析</w:t>
      </w:r>
    </w:p>
    <w:p>
      <w:pPr>
        <w:spacing w:line="360" w:lineRule="auto"/>
        <w:outlineLvl w:val="3"/>
        <w:rPr>
          <w:rFonts w:ascii="Times New Roman" w:hAnsi="Times New Roman" w:eastAsia="黑体" w:cs="Times New Roman"/>
          <w:color w:val="FF0000"/>
          <w:sz w:val="24"/>
          <w:szCs w:val="24"/>
        </w:rPr>
      </w:pPr>
      <w:r>
        <w:rPr>
          <w:rFonts w:hint="eastAsia" w:ascii="Times New Roman" w:hAnsi="Times New Roman" w:eastAsia="黑体" w:cs="Times New Roman"/>
          <w:color w:val="FF0000"/>
          <w:sz w:val="24"/>
          <w:szCs w:val="24"/>
        </w:rPr>
        <w:t>3.3.2.1废水污染源</w:t>
      </w:r>
    </w:p>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项目后评价阶段用水主要包括生产用水和生活用水</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生产废水</w:t>
      </w:r>
      <w:r>
        <w:rPr>
          <w:rFonts w:hint="eastAsia" w:ascii="Times New Roman" w:hAnsi="Times New Roman" w:eastAsia="宋体" w:cs="Times New Roman"/>
          <w:color w:val="FF0000"/>
          <w:sz w:val="24"/>
        </w:rPr>
        <w:t>和</w:t>
      </w:r>
      <w:r>
        <w:rPr>
          <w:rFonts w:ascii="Times New Roman" w:hAnsi="Times New Roman" w:eastAsia="宋体" w:cs="Times New Roman"/>
          <w:color w:val="FF0000"/>
          <w:sz w:val="24"/>
        </w:rPr>
        <w:t>生活污水送入全厂综合污水处理站进行处理，处理后的水全部回用，不外排。</w:t>
      </w:r>
    </w:p>
    <w:p>
      <w:pPr>
        <w:spacing w:line="360" w:lineRule="auto"/>
        <w:outlineLvl w:val="3"/>
        <w:rPr>
          <w:rFonts w:ascii="Times New Roman" w:hAnsi="Times New Roman" w:eastAsia="黑体" w:cs="Times New Roman"/>
          <w:color w:val="FF0000"/>
          <w:sz w:val="24"/>
          <w:szCs w:val="24"/>
        </w:rPr>
      </w:pPr>
      <w:r>
        <w:rPr>
          <w:rFonts w:hint="eastAsia" w:ascii="Times New Roman" w:hAnsi="Times New Roman" w:eastAsia="黑体" w:cs="Times New Roman"/>
          <w:color w:val="FF0000"/>
          <w:sz w:val="24"/>
          <w:szCs w:val="24"/>
        </w:rPr>
        <w:t>3.3.2.2废水处理设施达标性分析</w:t>
      </w:r>
    </w:p>
    <w:p>
      <w:pPr>
        <w:pStyle w:val="2"/>
        <w:spacing w:after="0" w:line="360" w:lineRule="auto"/>
        <w:ind w:firstLine="480" w:firstLineChars="200"/>
        <w:rPr>
          <w:rFonts w:ascii="Times New Roman" w:hAnsi="Times New Roman" w:eastAsia="宋体" w:cs="Times New Roman"/>
          <w:color w:val="FF0000"/>
          <w:sz w:val="24"/>
        </w:rPr>
      </w:pPr>
      <w:r>
        <w:rPr>
          <w:rFonts w:hint="eastAsia" w:ascii="Times New Roman" w:hAnsi="Times New Roman" w:eastAsia="宋体" w:cs="Times New Roman"/>
          <w:color w:val="FF0000"/>
          <w:sz w:val="24"/>
        </w:rPr>
        <w:t>焦化废水</w:t>
      </w:r>
      <w:r>
        <w:rPr>
          <w:rFonts w:ascii="Times New Roman" w:hAnsi="Times New Roman" w:eastAsia="宋体" w:cs="Times New Roman"/>
          <w:color w:val="FF0000"/>
          <w:sz w:val="24"/>
        </w:rPr>
        <w:t>进入</w:t>
      </w:r>
      <w:r>
        <w:rPr>
          <w:rFonts w:ascii="Times New Roman" w:hAnsi="Times New Roman" w:eastAsia="宋体" w:cs="Times New Roman"/>
          <w:color w:val="FF0000"/>
          <w:sz w:val="24"/>
          <w:szCs w:val="24"/>
        </w:rPr>
        <w:t>独立的酚氰废水处理站</w:t>
      </w:r>
      <w:r>
        <w:rPr>
          <w:rFonts w:hint="eastAsia" w:ascii="Times New Roman" w:hAnsi="Times New Roman" w:eastAsia="宋体" w:cs="Times New Roman"/>
          <w:color w:val="FF0000"/>
          <w:sz w:val="24"/>
          <w:szCs w:val="24"/>
        </w:rPr>
        <w:t>，</w:t>
      </w:r>
      <w:r>
        <w:rPr>
          <w:rFonts w:ascii="Times New Roman" w:hAnsi="Times New Roman" w:eastAsia="宋体" w:cs="Times New Roman"/>
          <w:color w:val="FF0000"/>
          <w:sz w:val="24"/>
          <w:szCs w:val="24"/>
        </w:rPr>
        <w:t>经“预处理+XL-强化预处理系统</w:t>
      </w:r>
      <w:r>
        <w:rPr>
          <w:rFonts w:hint="eastAsia" w:ascii="Times New Roman" w:hAnsi="Times New Roman" w:eastAsia="宋体" w:cs="Times New Roman"/>
          <w:color w:val="FF0000"/>
          <w:sz w:val="24"/>
          <w:szCs w:val="24"/>
        </w:rPr>
        <w:t>+</w:t>
      </w:r>
      <w:r>
        <w:rPr>
          <w:rFonts w:ascii="Times New Roman" w:hAnsi="Times New Roman" w:eastAsia="宋体" w:cs="Times New Roman"/>
          <w:color w:val="FF0000"/>
          <w:sz w:val="24"/>
          <w:szCs w:val="24"/>
        </w:rPr>
        <w:t>废水生化处理+废水深度净化处理”</w:t>
      </w:r>
      <w:r>
        <w:rPr>
          <w:rFonts w:hint="eastAsia" w:ascii="Times New Roman" w:hAnsi="Times New Roman" w:eastAsia="宋体" w:cs="Times New Roman"/>
          <w:color w:val="FF0000"/>
          <w:sz w:val="24"/>
          <w:szCs w:val="24"/>
        </w:rPr>
        <w:t>处理</w:t>
      </w:r>
      <w:r>
        <w:rPr>
          <w:rFonts w:ascii="Times New Roman" w:hAnsi="Times New Roman" w:eastAsia="宋体" w:cs="Times New Roman"/>
          <w:color w:val="FF0000"/>
          <w:sz w:val="24"/>
          <w:szCs w:val="24"/>
        </w:rPr>
        <w:t>工艺处理后</w:t>
      </w:r>
      <w:r>
        <w:rPr>
          <w:rFonts w:hint="eastAsia" w:ascii="Times New Roman" w:hAnsi="Times New Roman" w:eastAsia="宋体" w:cs="Times New Roman"/>
          <w:color w:val="FF0000"/>
          <w:sz w:val="24"/>
          <w:szCs w:val="24"/>
        </w:rPr>
        <w:t>与</w:t>
      </w:r>
      <w:r>
        <w:rPr>
          <w:rFonts w:ascii="Times New Roman" w:hAnsi="Times New Roman" w:eastAsia="宋体" w:cs="Times New Roman"/>
          <w:color w:val="FF0000"/>
          <w:sz w:val="24"/>
          <w:szCs w:val="24"/>
        </w:rPr>
        <w:t>其他生产废水一起进入</w:t>
      </w:r>
      <w:r>
        <w:rPr>
          <w:rFonts w:ascii="Times New Roman" w:hAnsi="Times New Roman" w:eastAsia="宋体" w:cs="Times New Roman"/>
          <w:color w:val="FF0000"/>
          <w:sz w:val="24"/>
        </w:rPr>
        <w:t>全厂综合污水处理站</w:t>
      </w:r>
      <w:r>
        <w:rPr>
          <w:rFonts w:hint="eastAsia" w:ascii="Times New Roman" w:hAnsi="Times New Roman" w:eastAsia="宋体" w:cs="Times New Roman"/>
          <w:color w:val="FF0000"/>
          <w:sz w:val="24"/>
        </w:rPr>
        <w:t>；</w:t>
      </w:r>
      <w:r>
        <w:rPr>
          <w:rFonts w:ascii="Times New Roman" w:hAnsi="Times New Roman" w:eastAsia="宋体" w:cs="Times New Roman"/>
          <w:color w:val="FF0000"/>
          <w:sz w:val="24"/>
        </w:rPr>
        <w:t>各车间生活设施产生的生活污水，经化粪池处理后排入全厂综合污水处理站</w:t>
      </w:r>
      <w:r>
        <w:rPr>
          <w:rFonts w:hint="eastAsia" w:ascii="Times New Roman" w:hAnsi="Times New Roman" w:eastAsia="宋体" w:cs="Times New Roman"/>
          <w:color w:val="FF0000"/>
          <w:sz w:val="24"/>
        </w:rPr>
        <w:t>；进入</w:t>
      </w:r>
      <w:r>
        <w:rPr>
          <w:rFonts w:ascii="Times New Roman" w:hAnsi="Times New Roman" w:eastAsia="宋体" w:cs="Times New Roman"/>
          <w:color w:val="FF0000"/>
          <w:sz w:val="24"/>
        </w:rPr>
        <w:t>全厂综合污水处理站</w:t>
      </w:r>
      <w:r>
        <w:rPr>
          <w:rFonts w:hint="eastAsia" w:ascii="Times New Roman" w:hAnsi="Times New Roman" w:eastAsia="宋体" w:cs="Times New Roman"/>
          <w:color w:val="FF0000"/>
          <w:sz w:val="24"/>
        </w:rPr>
        <w:t>的混合</w:t>
      </w:r>
      <w:r>
        <w:rPr>
          <w:rFonts w:ascii="Times New Roman" w:hAnsi="Times New Roman" w:eastAsia="宋体" w:cs="Times New Roman"/>
          <w:color w:val="FF0000"/>
          <w:sz w:val="24"/>
        </w:rPr>
        <w:t>废水</w:t>
      </w:r>
      <w:r>
        <w:rPr>
          <w:rFonts w:hint="eastAsia" w:ascii="Times New Roman" w:hAnsi="Times New Roman" w:eastAsia="宋体" w:cs="Times New Roman"/>
          <w:color w:val="FF0000"/>
          <w:sz w:val="24"/>
        </w:rPr>
        <w:t>经</w:t>
      </w:r>
      <w:r>
        <w:rPr>
          <w:rFonts w:ascii="Times New Roman" w:hAnsi="Times New Roman" w:eastAsia="宋体" w:cs="Times New Roman"/>
          <w:color w:val="FF0000"/>
          <w:sz w:val="24"/>
          <w:szCs w:val="24"/>
        </w:rPr>
        <w:t>生产废水综合物化处理系统</w:t>
      </w:r>
      <w:r>
        <w:rPr>
          <w:rFonts w:hint="eastAsia" w:ascii="Times New Roman" w:hAnsi="Times New Roman" w:eastAsia="宋体" w:cs="Times New Roman"/>
          <w:color w:val="FF0000"/>
          <w:sz w:val="24"/>
          <w:szCs w:val="24"/>
        </w:rPr>
        <w:t>处理</w:t>
      </w:r>
      <w:r>
        <w:rPr>
          <w:rFonts w:ascii="Times New Roman" w:hAnsi="Times New Roman" w:eastAsia="宋体" w:cs="Times New Roman"/>
          <w:color w:val="FF0000"/>
          <w:sz w:val="24"/>
          <w:szCs w:val="24"/>
        </w:rPr>
        <w:t>后进入深度除盐处理系统及浓水反渗透系统</w:t>
      </w:r>
      <w:r>
        <w:rPr>
          <w:rFonts w:hint="eastAsia" w:ascii="Times New Roman" w:hAnsi="Times New Roman" w:eastAsia="宋体" w:cs="Times New Roman"/>
          <w:color w:val="FF0000"/>
          <w:sz w:val="24"/>
          <w:szCs w:val="24"/>
        </w:rPr>
        <w:t>处理后回用于</w:t>
      </w:r>
      <w:r>
        <w:rPr>
          <w:rFonts w:ascii="Times New Roman" w:hAnsi="Times New Roman" w:eastAsia="宋体" w:cs="Times New Roman"/>
          <w:color w:val="FF0000"/>
          <w:sz w:val="24"/>
          <w:szCs w:val="24"/>
        </w:rPr>
        <w:t>生产</w:t>
      </w:r>
      <w:r>
        <w:rPr>
          <w:rFonts w:hint="eastAsia" w:ascii="Times New Roman" w:hAnsi="Times New Roman" w:eastAsia="宋体" w:cs="Times New Roman"/>
          <w:color w:val="FF0000"/>
          <w:sz w:val="24"/>
          <w:szCs w:val="24"/>
        </w:rPr>
        <w:t>，</w:t>
      </w:r>
      <w:r>
        <w:rPr>
          <w:rFonts w:ascii="Times New Roman" w:hAnsi="Times New Roman" w:eastAsia="宋体" w:cs="Times New Roman"/>
          <w:color w:val="FF0000"/>
          <w:sz w:val="24"/>
          <w:szCs w:val="24"/>
        </w:rPr>
        <w:t>不外排。</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color w:val="FF0000"/>
          <w:sz w:val="24"/>
        </w:rPr>
        <w:t>根据安徽世标检测技术有限公司于2019年4月9日对现有厂区废水处理设施出口的检测报告和企业近期日常检测报告，废水处理设施出口检测结果见表3.3-1</w:t>
      </w:r>
      <w:r>
        <w:rPr>
          <w:rFonts w:hint="eastAsia" w:ascii="Times New Roman" w:hAnsi="Times New Roman" w:eastAsia="宋体" w:cs="Times New Roman"/>
          <w:color w:val="FF0000"/>
          <w:sz w:val="24"/>
          <w:lang w:val="en-US" w:eastAsia="zh-CN"/>
        </w:rPr>
        <w:t>9</w:t>
      </w:r>
      <w:r>
        <w:rPr>
          <w:rFonts w:hint="eastAsia" w:ascii="Times New Roman" w:hAnsi="Times New Roman" w:eastAsia="宋体" w:cs="Times New Roman"/>
          <w:color w:val="FF0000"/>
          <w:sz w:val="24"/>
        </w:rPr>
        <w:t>至</w:t>
      </w:r>
      <w:r>
        <w:rPr>
          <w:rFonts w:ascii="Times New Roman" w:hAnsi="Times New Roman" w:eastAsia="宋体" w:cs="Times New Roman"/>
          <w:color w:val="FF0000"/>
          <w:sz w:val="24"/>
        </w:rPr>
        <w:t>3.3-2</w:t>
      </w:r>
      <w:r>
        <w:rPr>
          <w:rFonts w:hint="eastAsia" w:ascii="Times New Roman" w:hAnsi="Times New Roman" w:eastAsia="宋体" w:cs="Times New Roman"/>
          <w:color w:val="FF0000"/>
          <w:sz w:val="24"/>
          <w:lang w:val="en-US" w:eastAsia="zh-CN"/>
        </w:rPr>
        <w:t>3</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ascii="Times New Roman" w:hAnsi="Times New Roman" w:eastAsia="黑体" w:cs="Times New Roman"/>
          <w:sz w:val="24"/>
        </w:rPr>
      </w:pPr>
      <w:r>
        <w:rPr>
          <w:rFonts w:ascii="Times New Roman" w:hAnsi="Times New Roman" w:eastAsia="黑体" w:cs="Times New Roman"/>
          <w:sz w:val="24"/>
        </w:rPr>
        <w:t>表3.3-1</w:t>
      </w:r>
      <w:r>
        <w:rPr>
          <w:rFonts w:hint="eastAsia" w:ascii="Times New Roman" w:hAnsi="Times New Roman" w:eastAsia="黑体" w:cs="Times New Roman"/>
          <w:sz w:val="24"/>
          <w:lang w:val="en-US" w:eastAsia="zh-CN"/>
        </w:rPr>
        <w:t>9</w:t>
      </w:r>
      <w:r>
        <w:rPr>
          <w:rFonts w:ascii="Times New Roman" w:hAnsi="Times New Roman" w:eastAsia="黑体" w:cs="Times New Roman"/>
          <w:sz w:val="24"/>
        </w:rPr>
        <w:t xml:space="preserve">  焦化污水处理站出口废水检测结果表（单位：mg/L，pH无量纲）</w:t>
      </w:r>
    </w:p>
    <w:tbl>
      <w:tblPr>
        <w:tblStyle w:val="21"/>
        <w:tblW w:w="1417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0"/>
        <w:gridCol w:w="1134"/>
        <w:gridCol w:w="992"/>
        <w:gridCol w:w="1960"/>
        <w:gridCol w:w="715"/>
        <w:gridCol w:w="1000"/>
        <w:gridCol w:w="1100"/>
        <w:gridCol w:w="927"/>
        <w:gridCol w:w="930"/>
        <w:gridCol w:w="927"/>
        <w:gridCol w:w="930"/>
        <w:gridCol w:w="825"/>
        <w:gridCol w:w="825"/>
        <w:gridCol w:w="9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21"/>
              </w:rPr>
            </w:pPr>
            <w:r>
              <w:rPr>
                <w:rFonts w:ascii="Times New Roman" w:hAnsi="Times New Roman" w:eastAsia="宋体" w:cs="Times New Roman"/>
                <w:b/>
                <w:szCs w:val="21"/>
              </w:rPr>
              <w:t>采样日期</w:t>
            </w:r>
          </w:p>
        </w:tc>
        <w:tc>
          <w:tcPr>
            <w:tcW w:w="1134"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21"/>
              </w:rPr>
            </w:pPr>
            <w:r>
              <w:rPr>
                <w:rFonts w:ascii="Times New Roman" w:hAnsi="Times New Roman" w:eastAsia="宋体" w:cs="Times New Roman"/>
                <w:b/>
                <w:szCs w:val="21"/>
              </w:rPr>
              <w:t>检测点位</w:t>
            </w: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检测频次</w:t>
            </w:r>
          </w:p>
        </w:tc>
        <w:tc>
          <w:tcPr>
            <w:tcW w:w="19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样品性状</w:t>
            </w:r>
          </w:p>
        </w:tc>
        <w:tc>
          <w:tcPr>
            <w:tcW w:w="7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pH</w:t>
            </w:r>
          </w:p>
        </w:tc>
        <w:tc>
          <w:tcPr>
            <w:tcW w:w="10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化学</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需氧量</w:t>
            </w:r>
          </w:p>
        </w:tc>
        <w:tc>
          <w:tcPr>
            <w:tcW w:w="11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五日生化</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需氧量</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氨氮</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悬浮物</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szCs w:val="21"/>
              </w:rPr>
              <w:t>总磷</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szCs w:val="21"/>
              </w:rPr>
              <w:t>石油类</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21"/>
              </w:rPr>
            </w:pPr>
            <w:r>
              <w:rPr>
                <w:rFonts w:ascii="Times New Roman" w:hAnsi="Times New Roman" w:eastAsia="宋体" w:cs="Times New Roman"/>
                <w:b/>
                <w:szCs w:val="21"/>
              </w:rPr>
              <w:t>挥发</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szCs w:val="21"/>
              </w:rPr>
              <w:t>酚类</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szCs w:val="21"/>
              </w:rPr>
              <w:t>氰化物</w:t>
            </w:r>
          </w:p>
        </w:tc>
        <w:tc>
          <w:tcPr>
            <w:tcW w:w="9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szCs w:val="21"/>
              </w:rPr>
              <w:t>硫化物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2019.04.08</w:t>
            </w:r>
          </w:p>
        </w:tc>
        <w:tc>
          <w:tcPr>
            <w:tcW w:w="1134" w:type="dxa"/>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焦化污水处理站出口</w:t>
            </w: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第一次</w:t>
            </w:r>
          </w:p>
        </w:tc>
        <w:tc>
          <w:tcPr>
            <w:tcW w:w="19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无色、无味、清澈</w:t>
            </w:r>
          </w:p>
        </w:tc>
        <w:tc>
          <w:tcPr>
            <w:tcW w:w="7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7.2</w:t>
            </w:r>
          </w:p>
        </w:tc>
        <w:tc>
          <w:tcPr>
            <w:tcW w:w="10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27.9 </w:t>
            </w:r>
          </w:p>
        </w:tc>
        <w:tc>
          <w:tcPr>
            <w:tcW w:w="11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6.4</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0.154</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szCs w:val="21"/>
              </w:rPr>
              <w:t>&lt;4</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0.03 </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&lt;0.01</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c>
          <w:tcPr>
            <w:tcW w:w="9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1134"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第二次</w:t>
            </w:r>
          </w:p>
        </w:tc>
        <w:tc>
          <w:tcPr>
            <w:tcW w:w="19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无色、无味、清澈</w:t>
            </w:r>
          </w:p>
        </w:tc>
        <w:tc>
          <w:tcPr>
            <w:tcW w:w="7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7.4</w:t>
            </w:r>
          </w:p>
        </w:tc>
        <w:tc>
          <w:tcPr>
            <w:tcW w:w="10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22.3 </w:t>
            </w:r>
          </w:p>
        </w:tc>
        <w:tc>
          <w:tcPr>
            <w:tcW w:w="11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5.5</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0.151</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szCs w:val="21"/>
              </w:rPr>
              <w:t>&lt;4</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0.03 </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&lt;0.01</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c>
          <w:tcPr>
            <w:tcW w:w="9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1134"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第三次</w:t>
            </w:r>
          </w:p>
        </w:tc>
        <w:tc>
          <w:tcPr>
            <w:tcW w:w="19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无色、无味、清澈</w:t>
            </w:r>
          </w:p>
        </w:tc>
        <w:tc>
          <w:tcPr>
            <w:tcW w:w="7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7.3</w:t>
            </w:r>
          </w:p>
        </w:tc>
        <w:tc>
          <w:tcPr>
            <w:tcW w:w="10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31.1 </w:t>
            </w:r>
          </w:p>
        </w:tc>
        <w:tc>
          <w:tcPr>
            <w:tcW w:w="11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7.1</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0.169</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szCs w:val="21"/>
              </w:rPr>
              <w:t>&lt;4</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0.03 </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&lt;0.01</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c>
          <w:tcPr>
            <w:tcW w:w="9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1134"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第四次</w:t>
            </w:r>
          </w:p>
        </w:tc>
        <w:tc>
          <w:tcPr>
            <w:tcW w:w="19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无色、无味、清澈</w:t>
            </w:r>
          </w:p>
        </w:tc>
        <w:tc>
          <w:tcPr>
            <w:tcW w:w="7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7.2</w:t>
            </w:r>
          </w:p>
        </w:tc>
        <w:tc>
          <w:tcPr>
            <w:tcW w:w="10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25.4 </w:t>
            </w:r>
          </w:p>
        </w:tc>
        <w:tc>
          <w:tcPr>
            <w:tcW w:w="11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6.0</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0.174</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szCs w:val="21"/>
              </w:rPr>
              <w:t>&lt;4</w:t>
            </w:r>
          </w:p>
        </w:tc>
        <w:tc>
          <w:tcPr>
            <w:tcW w:w="92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0.02 </w:t>
            </w:r>
          </w:p>
        </w:tc>
        <w:tc>
          <w:tcPr>
            <w:tcW w:w="9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&lt;0.01</w:t>
            </w:r>
          </w:p>
        </w:tc>
        <w:tc>
          <w:tcPr>
            <w:tcW w:w="82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c>
          <w:tcPr>
            <w:tcW w:w="9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表3.3-</w:t>
      </w:r>
      <w:r>
        <w:rPr>
          <w:rFonts w:hint="eastAsia" w:ascii="Times New Roman" w:hAnsi="Times New Roman" w:eastAsia="黑体" w:cs="Times New Roman"/>
          <w:sz w:val="24"/>
          <w:lang w:val="en-US" w:eastAsia="zh-CN"/>
        </w:rPr>
        <w:t xml:space="preserve">20 </w:t>
      </w:r>
      <w:r>
        <w:rPr>
          <w:rFonts w:ascii="Times New Roman" w:hAnsi="Times New Roman" w:eastAsia="黑体" w:cs="Times New Roman"/>
          <w:sz w:val="24"/>
        </w:rPr>
        <w:t xml:space="preserve"> 全厂总污水处理站出口废水检测结果表（单位：mg/L，pH无量纲）</w:t>
      </w:r>
    </w:p>
    <w:tbl>
      <w:tblPr>
        <w:tblStyle w:val="21"/>
        <w:tblW w:w="1417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0"/>
        <w:gridCol w:w="1276"/>
        <w:gridCol w:w="992"/>
        <w:gridCol w:w="1845"/>
        <w:gridCol w:w="992"/>
        <w:gridCol w:w="1276"/>
        <w:gridCol w:w="1276"/>
        <w:gridCol w:w="1418"/>
        <w:gridCol w:w="1276"/>
        <w:gridCol w:w="1415"/>
        <w:gridCol w:w="14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21"/>
              </w:rPr>
            </w:pPr>
            <w:r>
              <w:rPr>
                <w:rFonts w:ascii="Times New Roman" w:hAnsi="Times New Roman" w:eastAsia="宋体" w:cs="Times New Roman"/>
                <w:b/>
                <w:szCs w:val="21"/>
              </w:rPr>
              <w:t>采样日期</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szCs w:val="21"/>
              </w:rPr>
            </w:pPr>
            <w:r>
              <w:rPr>
                <w:rFonts w:ascii="Times New Roman" w:hAnsi="Times New Roman" w:eastAsia="宋体" w:cs="Times New Roman"/>
                <w:b/>
                <w:szCs w:val="21"/>
              </w:rPr>
              <w:t>检测点位</w:t>
            </w: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检测频次</w:t>
            </w:r>
          </w:p>
        </w:tc>
        <w:tc>
          <w:tcPr>
            <w:tcW w:w="184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样品性状</w:t>
            </w: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pH</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化学</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需氧量</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五日生化</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需氧量</w:t>
            </w:r>
          </w:p>
        </w:tc>
        <w:tc>
          <w:tcPr>
            <w:tcW w:w="1418"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氨氮</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悬浮物</w:t>
            </w:r>
          </w:p>
        </w:tc>
        <w:tc>
          <w:tcPr>
            <w:tcW w:w="14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szCs w:val="21"/>
              </w:rPr>
              <w:t>石油类</w:t>
            </w:r>
          </w:p>
        </w:tc>
        <w:tc>
          <w:tcPr>
            <w:tcW w:w="144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动植物油类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2019.04.08</w:t>
            </w:r>
          </w:p>
        </w:tc>
        <w:tc>
          <w:tcPr>
            <w:tcW w:w="1276" w:type="dxa"/>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全厂总污水处理站出口</w:t>
            </w: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第一次</w:t>
            </w:r>
          </w:p>
        </w:tc>
        <w:tc>
          <w:tcPr>
            <w:tcW w:w="184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无色、无味、清澈</w:t>
            </w: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7.4</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107 </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15.8</w:t>
            </w:r>
          </w:p>
        </w:tc>
        <w:tc>
          <w:tcPr>
            <w:tcW w:w="1418"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16.5</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 xml:space="preserve">6 </w:t>
            </w:r>
          </w:p>
        </w:tc>
        <w:tc>
          <w:tcPr>
            <w:tcW w:w="14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c>
          <w:tcPr>
            <w:tcW w:w="144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1276"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第二次</w:t>
            </w:r>
          </w:p>
        </w:tc>
        <w:tc>
          <w:tcPr>
            <w:tcW w:w="184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无色、无味、清澈</w:t>
            </w: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7.3</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104 </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15.4</w:t>
            </w:r>
          </w:p>
        </w:tc>
        <w:tc>
          <w:tcPr>
            <w:tcW w:w="1418"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17.1</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 xml:space="preserve">5 </w:t>
            </w:r>
          </w:p>
        </w:tc>
        <w:tc>
          <w:tcPr>
            <w:tcW w:w="14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c>
          <w:tcPr>
            <w:tcW w:w="144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1276"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第三次</w:t>
            </w:r>
          </w:p>
        </w:tc>
        <w:tc>
          <w:tcPr>
            <w:tcW w:w="184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无色、无味、清澈</w:t>
            </w: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7.4</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108</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15.8</w:t>
            </w:r>
          </w:p>
        </w:tc>
        <w:tc>
          <w:tcPr>
            <w:tcW w:w="1418"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17.2</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w:t>
            </w:r>
          </w:p>
        </w:tc>
        <w:tc>
          <w:tcPr>
            <w:tcW w:w="14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c>
          <w:tcPr>
            <w:tcW w:w="144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60"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1276"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第四次</w:t>
            </w:r>
          </w:p>
        </w:tc>
        <w:tc>
          <w:tcPr>
            <w:tcW w:w="184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无色、无味、清澈</w:t>
            </w:r>
          </w:p>
        </w:tc>
        <w:tc>
          <w:tcPr>
            <w:tcW w:w="99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7.5</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102</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15.2</w:t>
            </w:r>
          </w:p>
        </w:tc>
        <w:tc>
          <w:tcPr>
            <w:tcW w:w="1418"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16.9</w:t>
            </w:r>
          </w:p>
        </w:tc>
        <w:tc>
          <w:tcPr>
            <w:tcW w:w="127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7</w:t>
            </w:r>
          </w:p>
        </w:tc>
        <w:tc>
          <w:tcPr>
            <w:tcW w:w="141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c>
          <w:tcPr>
            <w:tcW w:w="144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&lt;0.06</w:t>
            </w:r>
          </w:p>
        </w:tc>
      </w:tr>
    </w:tbl>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项目后评价阶段用水主要包括生产用水和生活用水，生产废水和生活污水送入全厂综合污水处理站进行处理，处理后的水全部回用原料场、烧结、炼铁等工序使用，不外排。</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3.3.2.3废水排放情况汇总</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项目后评价阶段用水主要包括生产用水和生活用水，生产废水和生活污水送入全厂综合污水处理站进行处理，处理后的水全部回用原料场、烧结、炼铁等工序使用，不外排。项目后评价阶段废水排放情况见表3.3-2</w:t>
      </w:r>
      <w:r>
        <w:rPr>
          <w:rFonts w:hint="eastAsia" w:ascii="Times New Roman" w:hAnsi="Times New Roman" w:eastAsia="宋体" w:cs="Times New Roman"/>
          <w:sz w:val="24"/>
          <w:lang w:val="en-US" w:eastAsia="zh-CN"/>
        </w:rPr>
        <w:t>1</w:t>
      </w:r>
      <w:r>
        <w:rPr>
          <w:rFonts w:ascii="Times New Roman" w:hAnsi="Times New Roman" w:eastAsia="宋体" w:cs="Times New Roman"/>
          <w:sz w:val="24"/>
        </w:rPr>
        <w:t>。</w:t>
      </w:r>
    </w:p>
    <w:p>
      <w:pPr>
        <w:pStyle w:val="2"/>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ascii="Times New Roman" w:hAnsi="Times New Roman" w:eastAsia="黑体" w:cs="Times New Roman"/>
          <w:sz w:val="24"/>
        </w:rPr>
      </w:pPr>
      <w:r>
        <w:rPr>
          <w:rFonts w:ascii="Times New Roman" w:hAnsi="Times New Roman" w:eastAsia="黑体" w:cs="Times New Roman"/>
          <w:sz w:val="24"/>
        </w:rPr>
        <w:t>表3.3-2</w:t>
      </w:r>
      <w:r>
        <w:rPr>
          <w:rFonts w:hint="eastAsia" w:ascii="Times New Roman" w:hAnsi="Times New Roman" w:eastAsia="黑体" w:cs="Times New Roman"/>
          <w:sz w:val="24"/>
          <w:lang w:val="en-US" w:eastAsia="zh-CN"/>
        </w:rPr>
        <w:t>1</w:t>
      </w:r>
      <w:r>
        <w:rPr>
          <w:rFonts w:ascii="Times New Roman" w:hAnsi="Times New Roman" w:eastAsia="黑体" w:cs="Times New Roman"/>
          <w:sz w:val="24"/>
        </w:rPr>
        <w:t xml:space="preserve">  后评价阶段废水排放情况</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24"/>
        <w:gridCol w:w="3024"/>
        <w:gridCol w:w="30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rPr>
            </w:pPr>
            <w:r>
              <w:rPr>
                <w:rFonts w:ascii="Times New Roman" w:hAnsi="Times New Roman" w:eastAsia="宋体" w:cs="Times New Roman"/>
                <w:b/>
              </w:rPr>
              <w:t>序号</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rPr>
            </w:pPr>
            <w:r>
              <w:rPr>
                <w:rFonts w:ascii="Times New Roman" w:hAnsi="Times New Roman" w:eastAsia="宋体" w:cs="Times New Roman"/>
                <w:b/>
              </w:rPr>
              <w:t>污染物</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b/>
              </w:rPr>
            </w:pPr>
            <w:r>
              <w:rPr>
                <w:rFonts w:ascii="Times New Roman" w:hAnsi="Times New Roman" w:eastAsia="宋体" w:cs="Times New Roman"/>
                <w:b/>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1</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废水量</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2</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COD</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3</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BOD</w:t>
            </w:r>
            <w:r>
              <w:rPr>
                <w:rFonts w:ascii="Times New Roman" w:hAnsi="Times New Roman" w:eastAsia="宋体" w:cs="Times New Roman"/>
                <w:vertAlign w:val="subscript"/>
              </w:rPr>
              <w:t>5</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4</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NH</w:t>
            </w:r>
            <w:r>
              <w:rPr>
                <w:rFonts w:ascii="Times New Roman" w:hAnsi="Times New Roman" w:eastAsia="宋体" w:cs="Times New Roman"/>
                <w:vertAlign w:val="subscript"/>
              </w:rPr>
              <w:t>3</w:t>
            </w:r>
            <w:r>
              <w:rPr>
                <w:rFonts w:ascii="Times New Roman" w:hAnsi="Times New Roman" w:eastAsia="宋体" w:cs="Times New Roman"/>
              </w:rPr>
              <w:t>-N</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5</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SS</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6</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TP</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7</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石油类</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8</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挥发酚类</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9</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氰化物</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10</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硫化物</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11</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动植物油</w:t>
            </w:r>
          </w:p>
        </w:tc>
        <w:tc>
          <w:tcPr>
            <w:tcW w:w="3024" w:type="dxa"/>
            <w:vAlign w:val="center"/>
          </w:tcPr>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s="Times New Roman"/>
              </w:rPr>
            </w:pPr>
            <w:r>
              <w:rPr>
                <w:rFonts w:ascii="Times New Roman" w:hAnsi="Times New Roman" w:eastAsia="宋体" w:cs="Times New Roman"/>
              </w:rPr>
              <w:t>0</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3.3.3噪声污染源及处理措施分析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后评价阶段厂区主要噪声源来自于烧结机、工频电炉、水冷离心机、热模法离心机等设备运行时产生的噪声。</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后评价阶段厂区生产设备均布置在车间内，设置减振基础。本项目主要噪声源及治理措施见表3.3-2</w:t>
      </w:r>
      <w:r>
        <w:rPr>
          <w:rFonts w:hint="eastAsia" w:ascii="Times New Roman" w:hAnsi="Times New Roman" w:eastAsia="宋体" w:cs="Times New Roman"/>
          <w:sz w:val="24"/>
          <w:lang w:val="en-US" w:eastAsia="zh-CN"/>
        </w:rPr>
        <w:t>2</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表3.3-2</w:t>
      </w:r>
      <w:r>
        <w:rPr>
          <w:rFonts w:hint="eastAsia" w:ascii="Times New Roman" w:hAnsi="Times New Roman" w:eastAsia="黑体" w:cs="Times New Roman"/>
          <w:sz w:val="24"/>
          <w:lang w:val="en-US" w:eastAsia="zh-CN"/>
        </w:rPr>
        <w:t>2</w:t>
      </w:r>
      <w:r>
        <w:rPr>
          <w:rFonts w:ascii="Times New Roman" w:hAnsi="Times New Roman" w:eastAsia="黑体" w:cs="Times New Roman"/>
          <w:sz w:val="24"/>
        </w:rPr>
        <w:t xml:space="preserve">  主要噪声源及治理措施</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6"/>
        <w:gridCol w:w="2396"/>
        <w:gridCol w:w="978"/>
        <w:gridCol w:w="982"/>
        <w:gridCol w:w="2619"/>
        <w:gridCol w:w="10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blHeader/>
          <w:jc w:val="center"/>
        </w:trPr>
        <w:tc>
          <w:tcPr>
            <w:tcW w:w="3422" w:type="dxa"/>
            <w:gridSpan w:val="2"/>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rPr>
            </w:pPr>
            <w:r>
              <w:rPr>
                <w:b/>
                <w:color w:val="auto"/>
              </w:rPr>
              <w:t>噪声源</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rPr>
            </w:pPr>
            <w:r>
              <w:rPr>
                <w:b/>
                <w:color w:val="auto"/>
              </w:rPr>
              <w:t>数量</w:t>
            </w:r>
          </w:p>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rPr>
            </w:pPr>
            <w:r>
              <w:rPr>
                <w:b/>
                <w:color w:val="auto"/>
              </w:rPr>
              <w:t>（台</w:t>
            </w:r>
            <w:r>
              <w:rPr>
                <w:rFonts w:hint="eastAsia"/>
                <w:b/>
                <w:color w:val="auto"/>
                <w:lang w:val="en-US" w:eastAsia="zh-CN"/>
              </w:rPr>
              <w:t>/套</w:t>
            </w:r>
            <w:r>
              <w:rPr>
                <w:b/>
                <w:color w:val="auto"/>
              </w:rPr>
              <w:t>）</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rPr>
            </w:pPr>
            <w:r>
              <w:rPr>
                <w:b/>
                <w:color w:val="auto"/>
              </w:rPr>
              <w:t>治理前</w:t>
            </w:r>
          </w:p>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rPr>
            </w:pPr>
            <w:r>
              <w:rPr>
                <w:b/>
                <w:color w:val="auto"/>
              </w:rPr>
              <w:t>dB(A)</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rPr>
            </w:pPr>
            <w:r>
              <w:rPr>
                <w:b/>
                <w:color w:val="auto"/>
              </w:rPr>
              <w:t>治理措施</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b/>
                <w:color w:val="auto"/>
              </w:rPr>
            </w:pPr>
            <w:r>
              <w:rPr>
                <w:b/>
                <w:color w:val="auto"/>
              </w:rPr>
              <w:t>治理效果dB(A)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restart"/>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原料场</w:t>
            </w: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卸车机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4</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~75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堆取料机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4</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~75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restart"/>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烧结</w:t>
            </w: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烧结机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弹性衬垫、厂房隔声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振动筛</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9</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弹性衬垫、厂房隔声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环冷机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~110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混合机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rFonts w:hint="eastAsia" w:eastAsia="宋体"/>
                <w:color w:val="auto"/>
                <w:lang w:eastAsia="zh-CN"/>
              </w:rPr>
            </w:pPr>
            <w:r>
              <w:rPr>
                <w:rFonts w:hint="eastAsia"/>
                <w:color w:val="auto"/>
                <w:lang w:val="en-US" w:eastAsia="zh-CN"/>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圆盘给料</w:t>
            </w:r>
            <w:r>
              <w:rPr>
                <w:rFonts w:hint="eastAsia"/>
                <w:color w:val="auto"/>
              </w:rPr>
              <w:t>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44</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restart"/>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焦化</w:t>
            </w: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冷凝鼓风</w:t>
            </w:r>
            <w:r>
              <w:rPr>
                <w:color w:val="auto"/>
              </w:rPr>
              <w:t>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建筑物隔声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筛焦振动筛</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4</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建筑物隔声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干熄焦系统蒸汽放散</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120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restart"/>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炼铁</w:t>
            </w: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中速磨</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减振、厂房隔声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铸铁机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减振、厂房隔声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堆取</w:t>
            </w:r>
            <w:r>
              <w:rPr>
                <w:color w:val="auto"/>
              </w:rPr>
              <w:t>料</w:t>
            </w:r>
            <w:r>
              <w:rPr>
                <w:rFonts w:hint="eastAsia"/>
                <w:color w:val="auto"/>
              </w:rPr>
              <w:t>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4</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减振、厂房隔声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restart"/>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球墨铸管</w:t>
            </w: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混铁炉</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减震、厂房隔声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工频电炉</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ascii="Times New Roman" w:hAnsi="Times New Roman" w:eastAsia="宋体"/>
                <w:color w:val="auto"/>
                <w:kern w:val="0"/>
                <w:szCs w:val="21"/>
              </w:rPr>
              <w:t>8</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减震、厂房隔声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水冷离心机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ascii="Times New Roman" w:hAnsi="Times New Roman" w:eastAsia="宋体"/>
                <w:color w:val="auto"/>
                <w:kern w:val="0"/>
                <w:szCs w:val="21"/>
              </w:rPr>
              <w:t>7</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减震、厂房隔声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热模法离心机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减震、厂房隔声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水冷涂衬机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热模涂衬机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水冷水压机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热模水压机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水冷喷锌机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热模喷锌机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水冷内磨机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减震、厂房隔声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热模内磨机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减震、厂房隔声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水冷包装线</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热模包装线</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水冷制芯机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5</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热模制芯机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3</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~85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restart"/>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炼钢</w:t>
            </w: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转炉</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~110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密闭罩、厂房隔声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方坯连铸机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圆坯连铸机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特殊钢圆坯连铸机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~95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15~20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rPr>
              <w:t>精炼及地下料仓除尘风机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rPr>
              <w:t>转炉二次除尘风机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rPr>
              <w:t>转炉屋顶除尘风机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rPr>
              <w:t>铁水预处理除尘风机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restart"/>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发电站</w:t>
            </w: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鼓风机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4</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引风机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4</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抽凝机组</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ascii="Times New Roman" w:hAnsi="Times New Roman" w:eastAsia="宋体"/>
                <w:color w:val="auto"/>
                <w:kern w:val="0"/>
                <w:szCs w:val="21"/>
              </w:rPr>
              <w:t>2</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消声器、风机房隔声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循环风机</w:t>
            </w:r>
          </w:p>
        </w:tc>
        <w:tc>
          <w:tcPr>
            <w:tcW w:w="978"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olor w:val="auto"/>
                <w:kern w:val="0"/>
                <w:szCs w:val="21"/>
              </w:rPr>
            </w:pPr>
            <w:r>
              <w:rPr>
                <w:rFonts w:hint="eastAsia" w:ascii="Times New Roman" w:hAnsi="Times New Roman" w:eastAsia="宋体"/>
                <w:color w:val="auto"/>
                <w:kern w:val="0"/>
                <w:szCs w:val="21"/>
              </w:rPr>
              <w:t>1</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消声器、厂房隔声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szCs w:val="21"/>
              </w:rPr>
              <w:t>抽凝式汽轮发电机组</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3</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减震、厂房隔声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restart"/>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制氧站</w:t>
            </w: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空压机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3</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~105</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隔声罩、减振、机房隔声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氧压机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5</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~110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隔声罩、减振、机房隔声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26" w:type="dxa"/>
            <w:vMerge w:val="continue"/>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p>
        </w:tc>
        <w:tc>
          <w:tcPr>
            <w:tcW w:w="2396"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氮压机</w:t>
            </w:r>
          </w:p>
        </w:tc>
        <w:tc>
          <w:tcPr>
            <w:tcW w:w="978"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rFonts w:hint="eastAsia"/>
                <w:color w:val="auto"/>
              </w:rPr>
              <w:t>5</w:t>
            </w:r>
          </w:p>
        </w:tc>
        <w:tc>
          <w:tcPr>
            <w:tcW w:w="982"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~110</w:t>
            </w:r>
          </w:p>
        </w:tc>
        <w:tc>
          <w:tcPr>
            <w:tcW w:w="2619"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隔声罩、减振、机房隔声</w:t>
            </w:r>
          </w:p>
        </w:tc>
        <w:tc>
          <w:tcPr>
            <w:tcW w:w="1070" w:type="dxa"/>
            <w:vAlign w:val="center"/>
          </w:tcPr>
          <w:p>
            <w:pPr>
              <w:pStyle w:val="41"/>
              <w:keepNext w:val="0"/>
              <w:keepLines w:val="0"/>
              <w:pageBreakBefore w:val="0"/>
              <w:kinsoku/>
              <w:wordWrap/>
              <w:overflowPunct/>
              <w:topLinePunct w:val="0"/>
              <w:autoSpaceDE/>
              <w:autoSpaceDN/>
              <w:bidi w:val="0"/>
              <w:adjustRightInd/>
              <w:snapToGrid/>
              <w:spacing w:line="240" w:lineRule="auto"/>
              <w:textAlignment w:val="auto"/>
              <w:rPr>
                <w:color w:val="auto"/>
              </w:rPr>
            </w:pPr>
            <w:r>
              <w:rPr>
                <w:color w:val="auto"/>
              </w:rPr>
              <w:t>~20</w:t>
            </w:r>
          </w:p>
        </w:tc>
      </w:tr>
    </w:tbl>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w:t>
      </w:r>
      <w:r>
        <w:rPr>
          <w:rFonts w:ascii="Times New Roman" w:hAnsi="Times New Roman" w:eastAsia="宋体" w:cs="Times New Roman"/>
          <w:bCs/>
          <w:sz w:val="24"/>
          <w:szCs w:val="24"/>
        </w:rPr>
        <w:t>2018年安徽基越环境监测公司监测报告</w:t>
      </w:r>
      <w:r>
        <w:rPr>
          <w:rFonts w:ascii="Times New Roman" w:hAnsi="Times New Roman" w:eastAsia="宋体" w:cs="Times New Roman"/>
          <w:sz w:val="24"/>
        </w:rPr>
        <w:t>，现有厂区厂界昼夜间噪声监测结果见表3.3-2</w:t>
      </w:r>
      <w:r>
        <w:rPr>
          <w:rFonts w:hint="eastAsia" w:ascii="Times New Roman" w:hAnsi="Times New Roman" w:eastAsia="宋体" w:cs="Times New Roman"/>
          <w:sz w:val="24"/>
          <w:lang w:val="en-US" w:eastAsia="zh-CN"/>
        </w:rPr>
        <w:t>3</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表3.3-2</w:t>
      </w:r>
      <w:r>
        <w:rPr>
          <w:rFonts w:hint="eastAsia" w:ascii="Times New Roman" w:hAnsi="Times New Roman" w:eastAsia="黑体" w:cs="Times New Roman"/>
          <w:sz w:val="24"/>
          <w:lang w:val="en-US" w:eastAsia="zh-CN"/>
        </w:rPr>
        <w:t>3</w:t>
      </w:r>
      <w:r>
        <w:rPr>
          <w:rFonts w:ascii="Times New Roman" w:hAnsi="Times New Roman" w:eastAsia="黑体" w:cs="Times New Roman"/>
          <w:sz w:val="24"/>
        </w:rPr>
        <w:t xml:space="preserve">  厂界噪声监测结果汇总</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1"/>
        <w:gridCol w:w="2273"/>
        <w:gridCol w:w="2619"/>
        <w:gridCol w:w="26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Merge w:val="restar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szCs w:val="21"/>
              </w:rPr>
            </w:pPr>
            <w:r>
              <w:rPr>
                <w:rFonts w:ascii="Times New Roman" w:hAnsi="Times New Roman" w:eastAsia="宋体" w:cs="Times New Roman"/>
                <w:b/>
                <w:szCs w:val="21"/>
              </w:rPr>
              <w:t>点位编号</w:t>
            </w:r>
          </w:p>
        </w:tc>
        <w:tc>
          <w:tcPr>
            <w:tcW w:w="2273" w:type="dxa"/>
            <w:vMerge w:val="restar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szCs w:val="21"/>
              </w:rPr>
            </w:pPr>
            <w:r>
              <w:rPr>
                <w:rFonts w:ascii="Times New Roman" w:hAnsi="Times New Roman" w:eastAsia="宋体" w:cs="Times New Roman"/>
                <w:b/>
                <w:szCs w:val="21"/>
              </w:rPr>
              <w:t>点位名称</w:t>
            </w:r>
          </w:p>
        </w:tc>
        <w:tc>
          <w:tcPr>
            <w:tcW w:w="5238" w:type="dxa"/>
            <w:gridSpan w:val="2"/>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检测结果Leq[dB(A)]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Merge w:val="continue"/>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szCs w:val="21"/>
              </w:rPr>
            </w:pPr>
          </w:p>
        </w:tc>
        <w:tc>
          <w:tcPr>
            <w:tcW w:w="2273" w:type="dxa"/>
            <w:vMerge w:val="continue"/>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szCs w:val="21"/>
              </w:rPr>
            </w:pPr>
          </w:p>
        </w:tc>
        <w:tc>
          <w:tcPr>
            <w:tcW w:w="5238" w:type="dxa"/>
            <w:gridSpan w:val="2"/>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2018.12.12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Merge w:val="continue"/>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color w:val="000000"/>
                <w:szCs w:val="21"/>
              </w:rPr>
            </w:pPr>
          </w:p>
        </w:tc>
        <w:tc>
          <w:tcPr>
            <w:tcW w:w="2273" w:type="dxa"/>
            <w:vMerge w:val="continue"/>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szCs w:val="21"/>
              </w:rPr>
            </w:pPr>
          </w:p>
        </w:tc>
        <w:tc>
          <w:tcPr>
            <w:tcW w:w="2619"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szCs w:val="21"/>
              </w:rPr>
            </w:pPr>
            <w:r>
              <w:rPr>
                <w:rFonts w:ascii="Times New Roman" w:hAnsi="Times New Roman" w:eastAsia="宋体" w:cs="Times New Roman"/>
                <w:b/>
                <w:color w:val="000000"/>
                <w:szCs w:val="21"/>
              </w:rPr>
              <w:t>昼间</w:t>
            </w:r>
          </w:p>
        </w:tc>
        <w:tc>
          <w:tcPr>
            <w:tcW w:w="2619"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b/>
                <w:color w:val="000000"/>
                <w:szCs w:val="21"/>
              </w:rPr>
            </w:pPr>
            <w:r>
              <w:rPr>
                <w:rFonts w:ascii="Times New Roman" w:hAnsi="Times New Roman" w:eastAsia="宋体" w:cs="Times New Roman"/>
                <w:b/>
                <w:color w:val="000000"/>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N1</w:t>
            </w:r>
          </w:p>
        </w:tc>
        <w:tc>
          <w:tcPr>
            <w:tcW w:w="2273"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color w:val="000000"/>
                <w:szCs w:val="21"/>
              </w:rPr>
              <w:t>东厂界外1米</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54.7</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48.2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N2</w:t>
            </w:r>
          </w:p>
        </w:tc>
        <w:tc>
          <w:tcPr>
            <w:tcW w:w="2273"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color w:val="000000"/>
                <w:szCs w:val="21"/>
              </w:rPr>
              <w:t>东厂界外1米</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54.5</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48.8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N3</w:t>
            </w:r>
          </w:p>
        </w:tc>
        <w:tc>
          <w:tcPr>
            <w:tcW w:w="2273"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color w:val="000000"/>
                <w:szCs w:val="21"/>
              </w:rPr>
              <w:t>南厂界外1米</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54.5</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49.3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N4</w:t>
            </w:r>
          </w:p>
        </w:tc>
        <w:tc>
          <w:tcPr>
            <w:tcW w:w="2273"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color w:val="000000"/>
                <w:szCs w:val="21"/>
              </w:rPr>
              <w:t>南厂界外1米</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54.7</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48.6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N5</w:t>
            </w:r>
          </w:p>
        </w:tc>
        <w:tc>
          <w:tcPr>
            <w:tcW w:w="2273" w:type="dxa"/>
            <w:vAlign w:val="center"/>
          </w:tcPr>
          <w:p>
            <w:pPr>
              <w:keepNext w:val="0"/>
              <w:keepLines w:val="0"/>
              <w:pageBreakBefore w:val="0"/>
              <w:widowControl w:val="0"/>
              <w:tabs>
                <w:tab w:val="left" w:pos="560"/>
              </w:tabs>
              <w:kinsoku/>
              <w:wordWrap/>
              <w:overflowPunct/>
              <w:topLinePunct w:val="0"/>
              <w:autoSpaceDE/>
              <w:autoSpaceDN/>
              <w:bidi w:val="0"/>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西厂界外1米</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54.4</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48.8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N6</w:t>
            </w:r>
          </w:p>
        </w:tc>
        <w:tc>
          <w:tcPr>
            <w:tcW w:w="2273" w:type="dxa"/>
            <w:vAlign w:val="center"/>
          </w:tcPr>
          <w:p>
            <w:pPr>
              <w:keepNext w:val="0"/>
              <w:keepLines w:val="0"/>
              <w:pageBreakBefore w:val="0"/>
              <w:widowControl w:val="0"/>
              <w:tabs>
                <w:tab w:val="left" w:pos="560"/>
              </w:tabs>
              <w:kinsoku/>
              <w:wordWrap/>
              <w:overflowPunct/>
              <w:topLinePunct w:val="0"/>
              <w:autoSpaceDE/>
              <w:autoSpaceDN/>
              <w:bidi w:val="0"/>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西厂界外1米</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54.6</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48.9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N7</w:t>
            </w:r>
          </w:p>
        </w:tc>
        <w:tc>
          <w:tcPr>
            <w:tcW w:w="2273"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北厂界外1米</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54.4</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48.0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561" w:type="dxa"/>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N8</w:t>
            </w:r>
          </w:p>
        </w:tc>
        <w:tc>
          <w:tcPr>
            <w:tcW w:w="2273"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color w:val="000000"/>
                <w:szCs w:val="21"/>
              </w:rPr>
            </w:pPr>
            <w:r>
              <w:rPr>
                <w:rFonts w:ascii="Times New Roman" w:hAnsi="Times New Roman" w:eastAsia="宋体" w:cs="Times New Roman"/>
                <w:color w:val="000000"/>
                <w:szCs w:val="21"/>
              </w:rPr>
              <w:t>北厂界外1米</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54.3</w:t>
            </w:r>
          </w:p>
        </w:tc>
        <w:tc>
          <w:tcPr>
            <w:tcW w:w="2619" w:type="dxa"/>
            <w:vAlign w:val="center"/>
          </w:tcPr>
          <w:p>
            <w:pPr>
              <w:keepNext w:val="0"/>
              <w:keepLines w:val="0"/>
              <w:pageBreakBefore w:val="0"/>
              <w:widowControl w:val="0"/>
              <w:kinsoku/>
              <w:wordWrap/>
              <w:overflowPunct/>
              <w:topLinePunct w:val="0"/>
              <w:autoSpaceDE/>
              <w:autoSpaceDN/>
              <w:bidi w:val="0"/>
              <w:snapToGrid/>
              <w:jc w:val="center"/>
              <w:textAlignment w:val="auto"/>
              <w:rPr>
                <w:rFonts w:ascii="Times New Roman" w:hAnsi="Times New Roman" w:eastAsia="宋体" w:cs="Times New Roman"/>
                <w:szCs w:val="21"/>
              </w:rPr>
            </w:pPr>
            <w:r>
              <w:rPr>
                <w:rFonts w:ascii="Times New Roman" w:hAnsi="Times New Roman" w:eastAsia="宋体" w:cs="Times New Roman"/>
                <w:szCs w:val="21"/>
              </w:rPr>
              <w:t>49.6</w:t>
            </w:r>
          </w:p>
        </w:tc>
      </w:tr>
    </w:tbl>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由监测结果可知，现有厂区厂界昼夜间噪声现状满足</w:t>
      </w:r>
      <w:r>
        <w:rPr>
          <w:rFonts w:ascii="Times New Roman" w:hAnsi="Times New Roman" w:eastAsia="宋体" w:cs="Times New Roman"/>
          <w:bCs/>
          <w:sz w:val="24"/>
          <w:szCs w:val="24"/>
        </w:rPr>
        <w:t>《声环境质量标准》（GB3096-2008）中3类标准。</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3.3.4固体废物及处理措施分析</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根据厂区实际运行情况，后评价阶段产生的固体废物主要包括高炉渣（水渣）、氧化铁皮、水处理污泥、钢渣等，具体见表3.3-2</w:t>
      </w:r>
      <w:r>
        <w:rPr>
          <w:rFonts w:hint="eastAsia" w:ascii="Times New Roman" w:hAnsi="Times New Roman" w:eastAsia="宋体" w:cs="Times New Roman"/>
          <w:sz w:val="24"/>
          <w:lang w:val="en-US" w:eastAsia="zh-CN"/>
        </w:rPr>
        <w:t>4</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表3.3-2</w:t>
      </w:r>
      <w:r>
        <w:rPr>
          <w:rFonts w:hint="eastAsia" w:ascii="Times New Roman" w:hAnsi="Times New Roman" w:eastAsia="黑体" w:cs="Times New Roman"/>
          <w:sz w:val="24"/>
          <w:lang w:val="en-US" w:eastAsia="zh-CN"/>
        </w:rPr>
        <w:t>4</w:t>
      </w:r>
      <w:r>
        <w:rPr>
          <w:rFonts w:ascii="Times New Roman" w:hAnsi="Times New Roman" w:eastAsia="黑体" w:cs="Times New Roman"/>
          <w:sz w:val="24"/>
        </w:rPr>
        <w:t xml:space="preserve">  后评价阶段厂区固体废物处置情况一览表</w:t>
      </w:r>
      <w:r>
        <w:rPr>
          <w:rFonts w:hint="eastAsia" w:ascii="Times New Roman" w:hAnsi="Times New Roman" w:eastAsia="黑体" w:cs="Times New Roman"/>
          <w:sz w:val="24"/>
        </w:rPr>
        <w:t>（单位：</w:t>
      </w:r>
      <w:r>
        <w:rPr>
          <w:rFonts w:ascii="Times New Roman" w:hAnsi="Times New Roman" w:eastAsia="黑体" w:cs="Times New Roman"/>
          <w:sz w:val="24"/>
        </w:rPr>
        <w:t>10</w:t>
      </w:r>
      <w:r>
        <w:rPr>
          <w:rFonts w:ascii="Times New Roman" w:hAnsi="Times New Roman" w:eastAsia="黑体" w:cs="Times New Roman"/>
          <w:sz w:val="24"/>
          <w:vertAlign w:val="superscript"/>
        </w:rPr>
        <w:t>4</w:t>
      </w:r>
      <w:r>
        <w:rPr>
          <w:rFonts w:ascii="Times New Roman" w:hAnsi="Times New Roman" w:eastAsia="黑体" w:cs="Times New Roman"/>
          <w:sz w:val="24"/>
        </w:rPr>
        <w:t>t/a</w:t>
      </w:r>
      <w:r>
        <w:rPr>
          <w:rFonts w:hint="eastAsia" w:ascii="Times New Roman" w:hAnsi="Times New Roman" w:eastAsia="黑体" w:cs="Times New Roman"/>
          <w:sz w:val="24"/>
        </w:rPr>
        <w:t>）</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1611"/>
        <w:gridCol w:w="1021"/>
        <w:gridCol w:w="870"/>
        <w:gridCol w:w="1681"/>
        <w:gridCol w:w="30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分类</w:t>
            </w:r>
          </w:p>
        </w:tc>
        <w:tc>
          <w:tcPr>
            <w:tcW w:w="1611"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名称</w:t>
            </w:r>
          </w:p>
        </w:tc>
        <w:tc>
          <w:tcPr>
            <w:tcW w:w="1021"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产生量</w:t>
            </w:r>
          </w:p>
        </w:tc>
        <w:tc>
          <w:tcPr>
            <w:tcW w:w="870"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利用量</w:t>
            </w:r>
          </w:p>
        </w:tc>
        <w:tc>
          <w:tcPr>
            <w:tcW w:w="1681"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处置利用率(%)</w:t>
            </w:r>
          </w:p>
        </w:tc>
        <w:tc>
          <w:tcPr>
            <w:tcW w:w="3019"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restart"/>
            <w:shd w:val="clear" w:color="auto" w:fill="auto"/>
            <w:vAlign w:val="center"/>
          </w:tcPr>
          <w:p>
            <w:pPr>
              <w:pStyle w:val="88"/>
              <w:keepNext w:val="0"/>
              <w:keepLines w:val="0"/>
              <w:pageBreakBefore w:val="0"/>
              <w:widowControl w:val="0"/>
              <w:kinsoku/>
              <w:wordWrap/>
              <w:overflowPunct/>
              <w:topLinePunct w:val="0"/>
              <w:autoSpaceDE/>
              <w:autoSpaceDN/>
              <w:bidi w:val="0"/>
              <w:adjustRightInd/>
              <w:snapToGrid/>
              <w:textAlignment w:val="auto"/>
              <w:rPr>
                <w:rFonts w:cs="Times New Roman"/>
                <w:color w:val="auto"/>
              </w:rPr>
            </w:pPr>
            <w:r>
              <w:rPr>
                <w:rFonts w:cs="Times New Roman"/>
                <w:color w:val="auto"/>
              </w:rPr>
              <w:t>一般工业固体废物</w:t>
            </w:r>
          </w:p>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(I类)</w:t>
            </w: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高炉渣(水渣)</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66.37</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66.37</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送矿渣微粉生产线加工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除尘灰、瓦斯灰</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8.74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8.74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氧化铁皮</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4.25</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4.25</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水处理污泥</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切头尾等轧废</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3.77</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3.77</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返炼钢冶炼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球化渣</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0.11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0.11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返工频炉重熔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废轧辊</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外售铜陵市大成轧辊有限责任公司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水泥砂浆</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3.6</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3.6</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外售作为建筑用砂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溜槽铁</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返工频炉重熔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不含树脂废砂芯</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hint="default" w:eastAsia="宋体" w:cs="Times New Roman"/>
                <w:color w:val="auto"/>
                <w:lang w:val="en-US" w:eastAsia="zh-CN"/>
              </w:rPr>
            </w:pPr>
            <w:r>
              <w:rPr>
                <w:rFonts w:hint="eastAsia" w:cs="Times New Roman"/>
                <w:color w:val="auto"/>
                <w:lang w:val="en-US" w:eastAsia="zh-CN"/>
              </w:rPr>
              <w:t>3.4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hint="default" w:eastAsia="宋体" w:cs="Times New Roman"/>
                <w:color w:val="auto"/>
                <w:lang w:val="en-US" w:eastAsia="zh-CN"/>
              </w:rPr>
            </w:pPr>
            <w:r>
              <w:rPr>
                <w:rFonts w:hint="eastAsia" w:cs="Times New Roman"/>
                <w:color w:val="auto"/>
                <w:lang w:val="en-US" w:eastAsia="zh-CN"/>
              </w:rPr>
              <w:t>3.4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hint="default" w:eastAsia="宋体" w:cs="Times New Roman"/>
                <w:color w:val="auto"/>
                <w:lang w:val="en-US" w:eastAsia="zh-CN"/>
              </w:rPr>
            </w:pPr>
            <w:r>
              <w:rPr>
                <w:rFonts w:hint="eastAsia" w:cs="Times New Roman"/>
                <w:color w:val="auto"/>
                <w:lang w:val="en-US" w:eastAsia="zh-CN"/>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hint="eastAsia" w:eastAsia="宋体" w:cs="Times New Roman"/>
                <w:color w:val="auto"/>
                <w:lang w:eastAsia="zh-CN"/>
              </w:rPr>
            </w:pPr>
            <w:r>
              <w:rPr>
                <w:rFonts w:hint="eastAsia"/>
                <w:lang w:eastAsia="zh-CN"/>
              </w:rPr>
              <w:t>做建筑材料外售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焦粉和煤尘</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2.5</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2.5</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煤尘送备煤系统回用，焦粉收集后送烧结作配料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废耐火材料等工业垃圾</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回收可利用部分，其余送耐火材料厂作为骨料或用于填坑铺路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restart"/>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一般工业固体废物(</w:t>
            </w:r>
            <w:r>
              <w:rPr>
                <w:rFonts w:hint="eastAsia" w:ascii="宋体" w:hAnsi="宋体" w:cs="宋体"/>
                <w:color w:val="auto"/>
              </w:rPr>
              <w:t>Ⅱ</w:t>
            </w:r>
            <w:r>
              <w:rPr>
                <w:rFonts w:cs="Times New Roman"/>
                <w:color w:val="auto"/>
              </w:rPr>
              <w:t>类)</w:t>
            </w: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钢渣</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15.82</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15.82</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经破碎，筛分、磁选处理后废钢返生产系统，尾渣作为建筑材料外销润江新型环保建材有限公司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烧结脱硫渣</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3.36</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3.36</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作为水泥原料外销芜湖市晟世成商贸有限公司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restart"/>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危险废物</w:t>
            </w:r>
          </w:p>
        </w:tc>
        <w:tc>
          <w:tcPr>
            <w:tcW w:w="1611" w:type="dxa"/>
            <w:shd w:val="clear" w:color="auto" w:fill="auto"/>
            <w:vAlign w:val="center"/>
          </w:tcPr>
          <w:p>
            <w:pPr>
              <w:pStyle w:val="88"/>
              <w:rPr>
                <w:rFonts w:cs="Times New Roman"/>
                <w:color w:val="FF0000"/>
              </w:rPr>
            </w:pPr>
            <w:r>
              <w:rPr>
                <w:rFonts w:cs="Times New Roman"/>
                <w:color w:val="FF0000"/>
              </w:rPr>
              <w:t>焦油渣</w:t>
            </w:r>
          </w:p>
          <w:p>
            <w:pPr>
              <w:pStyle w:val="88"/>
              <w:rPr>
                <w:rFonts w:cs="Times New Roman"/>
                <w:color w:val="FF0000"/>
              </w:rPr>
            </w:pPr>
            <w:r>
              <w:rPr>
                <w:rFonts w:cs="Times New Roman"/>
                <w:color w:val="FF0000"/>
              </w:rPr>
              <w:t>(HW11</w:t>
            </w:r>
          </w:p>
          <w:p>
            <w:pPr>
              <w:pStyle w:val="88"/>
              <w:rPr>
                <w:rFonts w:cs="Times New Roman"/>
                <w:color w:val="auto"/>
              </w:rPr>
            </w:pPr>
            <w:r>
              <w:rPr>
                <w:rFonts w:cs="Times New Roman"/>
                <w:color w:val="FF0000"/>
                <w:kern w:val="0"/>
                <w:szCs w:val="18"/>
              </w:rPr>
              <w:t>252-001-11</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返回炼焦备煤系统，掺入炼焦煤炼焦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再生器残渣(HW11</w:t>
            </w:r>
          </w:p>
          <w:p>
            <w:pPr>
              <w:pStyle w:val="88"/>
              <w:rPr>
                <w:rFonts w:cs="Times New Roman"/>
                <w:color w:val="auto"/>
              </w:rPr>
            </w:pPr>
            <w:r>
              <w:rPr>
                <w:rFonts w:cs="Times New Roman"/>
                <w:color w:val="FF0000"/>
                <w:kern w:val="0"/>
                <w:szCs w:val="18"/>
              </w:rPr>
              <w:t>252-003-11</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0.02</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0.02</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送油库焦油槽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沥青渣</w:t>
            </w:r>
          </w:p>
          <w:p>
            <w:pPr>
              <w:pStyle w:val="88"/>
              <w:rPr>
                <w:rFonts w:cs="Times New Roman"/>
                <w:color w:val="FF0000"/>
              </w:rPr>
            </w:pPr>
            <w:r>
              <w:rPr>
                <w:rFonts w:cs="Times New Roman"/>
                <w:color w:val="FF0000"/>
              </w:rPr>
              <w:t>(HW11</w:t>
            </w:r>
          </w:p>
          <w:p>
            <w:pPr>
              <w:pStyle w:val="88"/>
              <w:rPr>
                <w:rFonts w:cs="Times New Roman"/>
                <w:color w:val="auto"/>
              </w:rPr>
            </w:pPr>
            <w:r>
              <w:rPr>
                <w:rFonts w:cs="Times New Roman"/>
                <w:color w:val="FF0000"/>
                <w:kern w:val="0"/>
                <w:szCs w:val="18"/>
              </w:rPr>
              <w:t>252-001-11</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0.00005</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0.00005</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返回炼焦备煤系统，掺入炼焦煤炼焦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生化污泥(HW38</w:t>
            </w:r>
          </w:p>
          <w:p>
            <w:pPr>
              <w:pStyle w:val="88"/>
              <w:rPr>
                <w:rFonts w:cs="Times New Roman"/>
                <w:color w:val="auto"/>
              </w:rPr>
            </w:pPr>
            <w:r>
              <w:rPr>
                <w:rFonts w:cs="Times New Roman"/>
                <w:color w:val="FF0000"/>
                <w:kern w:val="0"/>
                <w:szCs w:val="18"/>
              </w:rPr>
              <w:t>261-069-38</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0.0072</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0.0072</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脱水后掺入炼焦煤炼焦，掺入炼焦煤炼焦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废油</w:t>
            </w:r>
          </w:p>
          <w:p>
            <w:pPr>
              <w:pStyle w:val="88"/>
              <w:rPr>
                <w:rFonts w:cs="Times New Roman"/>
                <w:color w:val="FF0000"/>
              </w:rPr>
            </w:pPr>
            <w:r>
              <w:rPr>
                <w:rFonts w:cs="Times New Roman"/>
                <w:color w:val="FF0000"/>
              </w:rPr>
              <w:t>(HW08</w:t>
            </w:r>
          </w:p>
          <w:p>
            <w:pPr>
              <w:pStyle w:val="88"/>
              <w:rPr>
                <w:rFonts w:cs="Times New Roman"/>
                <w:color w:val="auto"/>
              </w:rPr>
            </w:pPr>
            <w:r>
              <w:rPr>
                <w:rFonts w:cs="Times New Roman"/>
                <w:color w:val="FF0000"/>
                <w:kern w:val="0"/>
                <w:szCs w:val="18"/>
              </w:rPr>
              <w:t>900-201-08</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color w:val="auto"/>
              </w:rPr>
            </w:pPr>
            <w:r>
              <w:rPr>
                <w:rFonts w:hint="eastAsia"/>
                <w:color w:val="auto"/>
              </w:rPr>
              <w:t>交马鞍山市关东润滑油有限责任公司处置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废活性炭(HW49</w:t>
            </w:r>
          </w:p>
          <w:p>
            <w:pPr>
              <w:pStyle w:val="88"/>
              <w:rPr>
                <w:rFonts w:cs="Times New Roman"/>
                <w:color w:val="auto"/>
              </w:rPr>
            </w:pPr>
            <w:r>
              <w:rPr>
                <w:rFonts w:cs="Times New Roman"/>
                <w:color w:val="FF0000"/>
                <w:kern w:val="0"/>
                <w:szCs w:val="18"/>
              </w:rPr>
              <w:t>900-041-49</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0.007</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0.007</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返回炼焦备煤系统，掺入炼焦煤中炼焦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废催化剂(HW50</w:t>
            </w:r>
          </w:p>
          <w:p>
            <w:pPr>
              <w:pStyle w:val="88"/>
              <w:rPr>
                <w:rFonts w:cs="Times New Roman"/>
                <w:color w:val="auto"/>
              </w:rPr>
            </w:pPr>
            <w:r>
              <w:rPr>
                <w:rFonts w:cs="Times New Roman"/>
                <w:color w:val="FF0000"/>
                <w:kern w:val="0"/>
                <w:szCs w:val="18"/>
              </w:rPr>
              <w:t>772-007-50</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0.0044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0.0044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由厂家回收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锌粉/泥</w:t>
            </w:r>
          </w:p>
          <w:p>
            <w:pPr>
              <w:pStyle w:val="88"/>
              <w:rPr>
                <w:rFonts w:cs="Times New Roman"/>
                <w:color w:val="FF0000"/>
              </w:rPr>
            </w:pPr>
            <w:r>
              <w:rPr>
                <w:rFonts w:cs="Times New Roman"/>
                <w:color w:val="FF0000"/>
              </w:rPr>
              <w:t>(HW23</w:t>
            </w:r>
          </w:p>
          <w:p>
            <w:pPr>
              <w:pStyle w:val="88"/>
              <w:rPr>
                <w:rFonts w:cs="Times New Roman"/>
                <w:color w:val="auto"/>
              </w:rPr>
            </w:pPr>
            <w:r>
              <w:rPr>
                <w:rFonts w:cs="Times New Roman"/>
                <w:color w:val="FF0000"/>
                <w:kern w:val="0"/>
                <w:szCs w:val="18"/>
              </w:rPr>
              <w:t>336-103-23</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0.019</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0.019</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olor w:val="auto"/>
              </w:rPr>
              <w:t>送芜湖市易晖金属有限公司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含树脂废砂芯(HW13</w:t>
            </w:r>
          </w:p>
          <w:p>
            <w:pPr>
              <w:pStyle w:val="88"/>
              <w:rPr>
                <w:rFonts w:cs="Times New Roman"/>
                <w:color w:val="auto"/>
              </w:rPr>
            </w:pPr>
            <w:r>
              <w:rPr>
                <w:rFonts w:cs="Times New Roman"/>
                <w:color w:val="FF0000"/>
                <w:kern w:val="0"/>
                <w:szCs w:val="18"/>
              </w:rPr>
              <w:t>900-015-13</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0.003</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0.003</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olor w:val="auto"/>
              </w:rPr>
              <w:t>送芜湖海创环保科技有限责任公司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81" w:type="dxa"/>
            <w:gridSpan w:val="2"/>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合计</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hint="default" w:eastAsia="宋体" w:cs="Times New Roman"/>
                <w:color w:val="auto"/>
                <w:lang w:val="en-US" w:eastAsia="zh-CN"/>
              </w:rPr>
            </w:pPr>
            <w:r>
              <w:rPr>
                <w:rFonts w:hint="eastAsia" w:cs="Times New Roman"/>
                <w:color w:val="auto"/>
                <w:lang w:val="en-US" w:eastAsia="zh-CN"/>
              </w:rPr>
              <w:t>113.17</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hint="default" w:eastAsia="宋体" w:cs="Times New Roman"/>
                <w:color w:val="auto"/>
                <w:lang w:val="en-US" w:eastAsia="zh-CN"/>
              </w:rPr>
            </w:pPr>
            <w:r>
              <w:rPr>
                <w:rFonts w:hint="eastAsia" w:cs="Times New Roman"/>
                <w:color w:val="auto"/>
                <w:lang w:val="en-US" w:eastAsia="zh-CN"/>
              </w:rPr>
              <w:t>113.17</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3.3.5后评价阶段全厂污染物排放情况汇总</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根据上述分析及污染物排放量核算，后评价阶段污染物排放情况汇总见表3.3-2</w:t>
      </w:r>
      <w:r>
        <w:rPr>
          <w:rFonts w:hint="eastAsia" w:ascii="Times New Roman" w:hAnsi="Times New Roman" w:eastAsia="宋体" w:cs="Times New Roman"/>
          <w:sz w:val="24"/>
          <w:lang w:val="en-US" w:eastAsia="zh-CN"/>
        </w:rPr>
        <w:t>5</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表3.3-2</w:t>
      </w:r>
      <w:r>
        <w:rPr>
          <w:rFonts w:hint="eastAsia" w:ascii="Times New Roman" w:hAnsi="Times New Roman" w:eastAsia="黑体" w:cs="Times New Roman"/>
          <w:sz w:val="24"/>
          <w:lang w:val="en-US" w:eastAsia="zh-CN"/>
        </w:rPr>
        <w:t xml:space="preserve">5 </w:t>
      </w:r>
      <w:r>
        <w:rPr>
          <w:rFonts w:ascii="Times New Roman" w:hAnsi="Times New Roman" w:eastAsia="黑体" w:cs="Times New Roman"/>
          <w:sz w:val="24"/>
        </w:rPr>
        <w:t xml:space="preserve"> 后评价阶段全厂污染物排放情况汇总一览表</w:t>
      </w:r>
    </w:p>
    <w:tbl>
      <w:tblPr>
        <w:tblStyle w:val="22"/>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24"/>
        <w:gridCol w:w="3024"/>
        <w:gridCol w:w="30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Align w:val="center"/>
          </w:tcPr>
          <w:p>
            <w:pPr>
              <w:pStyle w:val="2"/>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污染类别</w:t>
            </w:r>
          </w:p>
        </w:tc>
        <w:tc>
          <w:tcPr>
            <w:tcW w:w="3024" w:type="dxa"/>
            <w:vAlign w:val="center"/>
          </w:tcPr>
          <w:p>
            <w:pPr>
              <w:pStyle w:val="2"/>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污染物</w:t>
            </w:r>
          </w:p>
        </w:tc>
        <w:tc>
          <w:tcPr>
            <w:tcW w:w="3024" w:type="dxa"/>
            <w:vAlign w:val="center"/>
          </w:tcPr>
          <w:p>
            <w:pPr>
              <w:pStyle w:val="2"/>
              <w:spacing w:after="0"/>
              <w:jc w:val="center"/>
              <w:rPr>
                <w:rFonts w:ascii="Times New Roman" w:hAnsi="Times New Roman" w:eastAsia="宋体" w:cs="Times New Roman"/>
                <w:b/>
                <w:color w:val="FF0000"/>
              </w:rPr>
            </w:pPr>
            <w:r>
              <w:rPr>
                <w:rFonts w:ascii="Times New Roman" w:hAnsi="Times New Roman" w:eastAsia="宋体" w:cs="Times New Roman"/>
                <w:b/>
                <w:color w:val="FF0000"/>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废气</w:t>
            </w:r>
            <w:r>
              <w:rPr>
                <w:rFonts w:hint="eastAsia" w:ascii="Times New Roman" w:hAnsi="Times New Roman" w:eastAsia="宋体" w:cs="Times New Roman"/>
                <w:color w:val="FF0000"/>
                <w:vertAlign w:val="superscript"/>
              </w:rPr>
              <w:t>*</w:t>
            </w: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烟/粉尘</w:t>
            </w:r>
          </w:p>
        </w:tc>
        <w:tc>
          <w:tcPr>
            <w:tcW w:w="3024" w:type="dxa"/>
            <w:vAlign w:val="center"/>
          </w:tcPr>
          <w:p>
            <w:pPr>
              <w:widowControl/>
              <w:jc w:val="center"/>
              <w:rPr>
                <w:rFonts w:ascii="Times New Roman" w:hAnsi="Times New Roman" w:eastAsia="宋体" w:cs="宋体"/>
                <w:color w:val="FF0000"/>
                <w:kern w:val="0"/>
                <w:szCs w:val="21"/>
              </w:rPr>
            </w:pPr>
            <w:r>
              <w:rPr>
                <w:rFonts w:hint="eastAsia" w:ascii="Times New Roman" w:hAnsi="Times New Roman" w:eastAsia="宋体"/>
                <w:color w:val="FF0000"/>
                <w:szCs w:val="21"/>
              </w:rPr>
              <w:t>1560.382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SO</w:t>
            </w:r>
            <w:r>
              <w:rPr>
                <w:rFonts w:ascii="Times New Roman" w:hAnsi="Times New Roman" w:eastAsia="宋体" w:cs="Times New Roman"/>
                <w:color w:val="FF0000"/>
                <w:vertAlign w:val="subscript"/>
              </w:rPr>
              <w:t>2</w:t>
            </w:r>
          </w:p>
        </w:tc>
        <w:tc>
          <w:tcPr>
            <w:tcW w:w="3024" w:type="dxa"/>
            <w:vAlign w:val="center"/>
          </w:tcPr>
          <w:p>
            <w:pPr>
              <w:jc w:val="center"/>
              <w:rPr>
                <w:rFonts w:hint="eastAsia" w:ascii="Times New Roman" w:hAnsi="Times New Roman" w:eastAsia="宋体"/>
                <w:color w:val="FF0000"/>
                <w:szCs w:val="21"/>
              </w:rPr>
            </w:pPr>
            <w:r>
              <w:rPr>
                <w:rFonts w:hint="eastAsia" w:ascii="Times New Roman" w:hAnsi="Times New Roman" w:eastAsia="宋体"/>
                <w:color w:val="FF0000"/>
                <w:szCs w:val="21"/>
              </w:rPr>
              <w:t>1065.371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NO</w:t>
            </w:r>
            <w:r>
              <w:rPr>
                <w:rFonts w:ascii="Times New Roman" w:hAnsi="Times New Roman" w:eastAsia="宋体" w:cs="Times New Roman"/>
                <w:color w:val="FF0000"/>
                <w:vertAlign w:val="subscript"/>
              </w:rPr>
              <w:t>x</w:t>
            </w:r>
          </w:p>
        </w:tc>
        <w:tc>
          <w:tcPr>
            <w:tcW w:w="3024" w:type="dxa"/>
            <w:vAlign w:val="center"/>
          </w:tcPr>
          <w:p>
            <w:pPr>
              <w:jc w:val="center"/>
              <w:rPr>
                <w:rFonts w:hint="eastAsia" w:ascii="Times New Roman" w:hAnsi="Times New Roman" w:eastAsia="宋体"/>
                <w:color w:val="FF0000"/>
                <w:szCs w:val="21"/>
              </w:rPr>
            </w:pPr>
            <w:r>
              <w:rPr>
                <w:rFonts w:hint="eastAsia" w:ascii="Times New Roman" w:hAnsi="Times New Roman" w:eastAsia="宋体"/>
                <w:color w:val="FF0000"/>
                <w:szCs w:val="21"/>
              </w:rPr>
              <w:t>2537.315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氨气</w:t>
            </w:r>
          </w:p>
        </w:tc>
        <w:tc>
          <w:tcPr>
            <w:tcW w:w="3024"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1.051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苯</w:t>
            </w:r>
          </w:p>
        </w:tc>
        <w:tc>
          <w:tcPr>
            <w:tcW w:w="302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szCs w:val="21"/>
              </w:rPr>
              <w:t>苯并[a]芘</w:t>
            </w:r>
          </w:p>
        </w:tc>
        <w:tc>
          <w:tcPr>
            <w:tcW w:w="3024"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0.00000051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二噁英</w:t>
            </w:r>
          </w:p>
        </w:tc>
        <w:tc>
          <w:tcPr>
            <w:tcW w:w="3024"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0.000000</w:t>
            </w:r>
            <w:r>
              <w:rPr>
                <w:rFonts w:ascii="Times New Roman" w:hAnsi="Times New Roman" w:eastAsia="宋体" w:cs="Times New Roman"/>
                <w:color w:val="FF0000"/>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二甲苯</w:t>
            </w:r>
          </w:p>
        </w:tc>
        <w:tc>
          <w:tcPr>
            <w:tcW w:w="302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0.00176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氟化物</w:t>
            </w:r>
          </w:p>
        </w:tc>
        <w:tc>
          <w:tcPr>
            <w:tcW w:w="3024"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3.759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甲苯</w:t>
            </w:r>
          </w:p>
        </w:tc>
        <w:tc>
          <w:tcPr>
            <w:tcW w:w="3024"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0.652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沥青烟</w:t>
            </w:r>
          </w:p>
        </w:tc>
        <w:tc>
          <w:tcPr>
            <w:tcW w:w="302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硫化氢</w:t>
            </w:r>
          </w:p>
        </w:tc>
        <w:tc>
          <w:tcPr>
            <w:tcW w:w="3024"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0.0028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三乙胺</w:t>
            </w:r>
          </w:p>
        </w:tc>
        <w:tc>
          <w:tcPr>
            <w:tcW w:w="3024"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0.298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restart"/>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废水</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废水量</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COD</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BOD</w:t>
            </w:r>
            <w:r>
              <w:rPr>
                <w:rFonts w:ascii="Times New Roman" w:hAnsi="Times New Roman" w:eastAsia="宋体" w:cs="Times New Roman"/>
                <w:color w:val="FF0000"/>
                <w:vertAlign w:val="subscript"/>
              </w:rPr>
              <w:t>5</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NH</w:t>
            </w:r>
            <w:r>
              <w:rPr>
                <w:rFonts w:ascii="Times New Roman" w:hAnsi="Times New Roman" w:eastAsia="宋体" w:cs="Times New Roman"/>
                <w:color w:val="FF0000"/>
                <w:vertAlign w:val="subscript"/>
              </w:rPr>
              <w:t>3</w:t>
            </w:r>
            <w:r>
              <w:rPr>
                <w:rFonts w:ascii="Times New Roman" w:hAnsi="Times New Roman" w:eastAsia="宋体" w:cs="Times New Roman"/>
                <w:color w:val="FF0000"/>
              </w:rPr>
              <w:t>-N</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SS</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TP</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石油类</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挥发酚类</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氰化物</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硫化物</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动植物油</w:t>
            </w:r>
          </w:p>
        </w:tc>
        <w:tc>
          <w:tcPr>
            <w:tcW w:w="3024" w:type="dxa"/>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restart"/>
            <w:vAlign w:val="center"/>
          </w:tcPr>
          <w:p>
            <w:pPr>
              <w:pStyle w:val="88"/>
              <w:widowControl w:val="0"/>
              <w:rPr>
                <w:rFonts w:cs="Times New Roman"/>
                <w:color w:val="FF0000"/>
              </w:rPr>
            </w:pPr>
            <w:r>
              <w:rPr>
                <w:rFonts w:cs="Times New Roman"/>
                <w:color w:val="FF0000"/>
              </w:rPr>
              <w:t>固体废物</w:t>
            </w:r>
          </w:p>
        </w:tc>
        <w:tc>
          <w:tcPr>
            <w:tcW w:w="3024" w:type="dxa"/>
            <w:vAlign w:val="center"/>
          </w:tcPr>
          <w:p>
            <w:pPr>
              <w:pStyle w:val="88"/>
              <w:widowControl w:val="0"/>
              <w:rPr>
                <w:rFonts w:cs="Times New Roman"/>
                <w:color w:val="FF0000"/>
              </w:rPr>
            </w:pPr>
            <w:r>
              <w:rPr>
                <w:rFonts w:cs="Times New Roman"/>
                <w:color w:val="FF0000"/>
              </w:rPr>
              <w:t>一般工业固体废物(I类)</w:t>
            </w: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一般工业固体废物(Ⅱ类)</w:t>
            </w: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危险废物</w:t>
            </w: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4" w:type="dxa"/>
            <w:vMerge w:val="continue"/>
            <w:vAlign w:val="center"/>
          </w:tcPr>
          <w:p>
            <w:pPr>
              <w:pStyle w:val="2"/>
              <w:spacing w:after="0"/>
              <w:jc w:val="center"/>
              <w:rPr>
                <w:rFonts w:ascii="Times New Roman" w:hAnsi="Times New Roman" w:eastAsia="宋体" w:cs="Times New Roman"/>
                <w:color w:val="FF0000"/>
              </w:rPr>
            </w:pP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生活垃圾</w:t>
            </w:r>
          </w:p>
        </w:tc>
        <w:tc>
          <w:tcPr>
            <w:tcW w:w="3024" w:type="dxa"/>
            <w:vAlign w:val="center"/>
          </w:tcPr>
          <w:p>
            <w:pPr>
              <w:pStyle w:val="2"/>
              <w:spacing w:after="0"/>
              <w:jc w:val="center"/>
              <w:rPr>
                <w:rFonts w:ascii="Times New Roman" w:hAnsi="Times New Roman" w:eastAsia="宋体" w:cs="Times New Roman"/>
                <w:color w:val="FF0000"/>
              </w:rPr>
            </w:pPr>
            <w:r>
              <w:rPr>
                <w:rFonts w:ascii="Times New Roman" w:hAnsi="Times New Roman" w:eastAsia="宋体" w:cs="Times New Roman"/>
                <w:color w:val="FF0000"/>
              </w:rPr>
              <w:t>0</w:t>
            </w:r>
          </w:p>
        </w:tc>
      </w:tr>
    </w:tbl>
    <w:p>
      <w:pPr>
        <w:pStyle w:val="27"/>
        <w:keepNext w:val="0"/>
        <w:keepLines w:val="0"/>
        <w:pageBreakBefore w:val="0"/>
        <w:widowControl w:val="0"/>
        <w:kinsoku/>
        <w:wordWrap/>
        <w:overflowPunct/>
        <w:topLinePunct w:val="0"/>
        <w:autoSpaceDE/>
        <w:autoSpaceDN/>
        <w:bidi w:val="0"/>
        <w:adjustRightInd/>
        <w:snapToGrid/>
        <w:spacing w:beforeLines="0" w:afterLines="0" w:line="240" w:lineRule="auto"/>
        <w:textAlignment w:val="auto"/>
        <w:outlineLvl w:val="9"/>
        <w:rPr>
          <w:rFonts w:ascii="Times New Roman" w:eastAsia="宋体"/>
          <w:b w:val="0"/>
          <w:color w:val="FF0000"/>
          <w:sz w:val="18"/>
          <w:szCs w:val="18"/>
        </w:rPr>
      </w:pPr>
      <w:r>
        <w:rPr>
          <w:rFonts w:hint="eastAsia" w:ascii="Times New Roman" w:eastAsia="宋体"/>
          <w:b w:val="0"/>
          <w:color w:val="FF0000"/>
          <w:sz w:val="18"/>
          <w:szCs w:val="18"/>
        </w:rPr>
        <w:t>注</w:t>
      </w:r>
      <w:r>
        <w:rPr>
          <w:rFonts w:ascii="Times New Roman" w:eastAsia="宋体"/>
          <w:b w:val="0"/>
          <w:color w:val="FF0000"/>
          <w:sz w:val="18"/>
          <w:szCs w:val="18"/>
        </w:rPr>
        <w:t>：</w:t>
      </w:r>
      <w:r>
        <w:rPr>
          <w:rFonts w:hint="eastAsia" w:ascii="Times New Roman" w:eastAsia="宋体"/>
          <w:b w:val="0"/>
          <w:color w:val="FF0000"/>
          <w:sz w:val="18"/>
          <w:szCs w:val="18"/>
        </w:rPr>
        <w:t>*为根据安徽世标检测技术有限公司于</w:t>
      </w:r>
      <w:r>
        <w:rPr>
          <w:rFonts w:ascii="Times New Roman" w:eastAsia="宋体"/>
          <w:b w:val="0"/>
          <w:color w:val="FF0000"/>
          <w:sz w:val="18"/>
          <w:szCs w:val="18"/>
        </w:rPr>
        <w:t>2019年4月8日~10日对现有厂区废气的检测报告</w:t>
      </w:r>
      <w:r>
        <w:rPr>
          <w:rFonts w:hint="eastAsia" w:ascii="Times New Roman" w:eastAsia="宋体"/>
          <w:b w:val="0"/>
          <w:color w:val="FF0000"/>
          <w:sz w:val="18"/>
          <w:szCs w:val="18"/>
        </w:rPr>
        <w:t>及</w:t>
      </w:r>
      <w:r>
        <w:rPr>
          <w:rFonts w:ascii="Times New Roman" w:eastAsia="宋体"/>
          <w:b w:val="0"/>
          <w:color w:val="FF0000"/>
          <w:sz w:val="18"/>
          <w:szCs w:val="18"/>
        </w:rPr>
        <w:t>2018年安徽基越环境监测公司对厂区例行检测报告</w:t>
      </w:r>
      <w:r>
        <w:rPr>
          <w:rFonts w:hint="eastAsia" w:ascii="Times New Roman" w:eastAsia="宋体"/>
          <w:b w:val="0"/>
          <w:color w:val="FF0000"/>
          <w:sz w:val="18"/>
          <w:szCs w:val="18"/>
        </w:rPr>
        <w:t>计算</w:t>
      </w:r>
      <w:r>
        <w:rPr>
          <w:rFonts w:ascii="Times New Roman" w:eastAsia="宋体"/>
          <w:b w:val="0"/>
          <w:color w:val="FF0000"/>
          <w:sz w:val="18"/>
          <w:szCs w:val="18"/>
        </w:rPr>
        <w:t>的有组织废气排放量</w:t>
      </w:r>
      <w:r>
        <w:rPr>
          <w:rFonts w:hint="eastAsia" w:ascii="Times New Roman" w:eastAsia="宋体"/>
          <w:b w:val="0"/>
          <w:color w:val="FF0000"/>
          <w:sz w:val="18"/>
          <w:szCs w:val="18"/>
        </w:rPr>
        <w:t>。</w:t>
      </w:r>
    </w:p>
    <w:p>
      <w:pPr>
        <w:pStyle w:val="27"/>
        <w:spacing w:before="156" w:after="156" w:line="360" w:lineRule="auto"/>
        <w:rPr>
          <w:rFonts w:ascii="Times New Roman"/>
          <w:b w:val="0"/>
          <w:color w:val="FF0000"/>
        </w:rPr>
      </w:pPr>
      <w:r>
        <w:rPr>
          <w:rFonts w:ascii="Times New Roman"/>
          <w:b w:val="0"/>
          <w:color w:val="FF0000"/>
        </w:rPr>
        <w:t>3.4项目主要变化情况汇总分析</w:t>
      </w:r>
    </w:p>
    <w:p>
      <w:pPr>
        <w:pStyle w:val="2"/>
        <w:spacing w:after="0" w:line="360" w:lineRule="auto"/>
        <w:ind w:firstLine="480" w:firstLineChars="200"/>
        <w:rPr>
          <w:rFonts w:hint="eastAsia" w:ascii="Times New Roman" w:hAnsi="Times New Roman" w:eastAsia="宋体" w:cs="Times New Roman"/>
          <w:color w:val="FF0000"/>
          <w:sz w:val="24"/>
          <w:lang w:eastAsia="zh-CN"/>
        </w:rPr>
      </w:pPr>
      <w:r>
        <w:rPr>
          <w:rFonts w:hint="eastAsia" w:ascii="Times New Roman" w:hAnsi="Times New Roman" w:eastAsia="宋体" w:cs="Times New Roman"/>
          <w:color w:val="FF0000"/>
          <w:sz w:val="24"/>
          <w:lang w:eastAsia="zh-CN"/>
        </w:rPr>
        <w:t>本章节通过对比搬迁技术改造项目（现状评价）与搬迁技术改造项目（后评价）内容，分析自现状评价至后评价期间厂区产品规模、原辅材料、生产设备、污染防治措施等变化情况。</w:t>
      </w:r>
    </w:p>
    <w:p>
      <w:pPr>
        <w:spacing w:before="156" w:beforeLines="50" w:after="156" w:afterLines="50" w:line="360" w:lineRule="auto"/>
        <w:outlineLvl w:val="2"/>
        <w:rPr>
          <w:rFonts w:ascii="Times New Roman" w:hAnsi="Times New Roman" w:eastAsia="黑体" w:cs="Times New Roman"/>
          <w:color w:val="FF0000"/>
          <w:sz w:val="24"/>
          <w:szCs w:val="24"/>
        </w:rPr>
      </w:pPr>
      <w:r>
        <w:rPr>
          <w:rFonts w:ascii="Times New Roman" w:hAnsi="Times New Roman" w:eastAsia="黑体" w:cs="Times New Roman"/>
          <w:color w:val="FF0000"/>
          <w:sz w:val="24"/>
          <w:szCs w:val="24"/>
        </w:rPr>
        <w:t>3.4.1产品方案及生产规模变化</w:t>
      </w:r>
    </w:p>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芜湖新兴铸管三山厂区产品主要为球墨铸铁管、优质棒材、线材等，具有198万t铁水、80万t球墨铸铁管、150万t钢水、80万t线材及90万t棒材的生产能力。后评价阶段与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改造项目环境影响现状评价</w:t>
      </w:r>
      <w:r>
        <w:rPr>
          <w:rFonts w:hint="eastAsia" w:ascii="Times New Roman" w:hAnsi="Times New Roman" w:eastAsia="宋体" w:cs="Times New Roman"/>
          <w:color w:val="FF0000"/>
          <w:sz w:val="24"/>
        </w:rPr>
        <w:t>阶段</w:t>
      </w:r>
      <w:r>
        <w:rPr>
          <w:rFonts w:ascii="Times New Roman" w:hAnsi="Times New Roman" w:eastAsia="宋体" w:cs="Times New Roman"/>
          <w:color w:val="FF0000"/>
          <w:sz w:val="24"/>
        </w:rPr>
        <w:t>相比，项目产品方案及生产规模变化情况见表3.4-1。</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表3.4-1  项目产品变化情况表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
      <w:tblGrid>
        <w:gridCol w:w="358"/>
        <w:gridCol w:w="587"/>
        <w:gridCol w:w="740"/>
        <w:gridCol w:w="966"/>
        <w:gridCol w:w="1418"/>
        <w:gridCol w:w="1984"/>
        <w:gridCol w:w="993"/>
        <w:gridCol w:w="1061"/>
        <w:gridCol w:w="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90" w:hRule="atLeast"/>
          <w:tblHeader/>
          <w:jc w:val="center"/>
        </w:trPr>
        <w:tc>
          <w:tcPr>
            <w:tcW w:w="358" w:type="dxa"/>
            <w:vAlign w:val="center"/>
          </w:tcPr>
          <w:p>
            <w:pPr>
              <w:pStyle w:val="41"/>
              <w:spacing w:line="240" w:lineRule="auto"/>
              <w:rPr>
                <w:b/>
                <w:color w:val="FF0000"/>
                <w:sz w:val="18"/>
                <w:szCs w:val="18"/>
              </w:rPr>
            </w:pPr>
            <w:r>
              <w:rPr>
                <w:b/>
                <w:color w:val="FF0000"/>
                <w:sz w:val="18"/>
                <w:szCs w:val="18"/>
              </w:rPr>
              <w:t>序号</w:t>
            </w:r>
          </w:p>
        </w:tc>
        <w:tc>
          <w:tcPr>
            <w:tcW w:w="587" w:type="dxa"/>
            <w:vAlign w:val="center"/>
          </w:tcPr>
          <w:p>
            <w:pPr>
              <w:pStyle w:val="41"/>
              <w:spacing w:line="240" w:lineRule="auto"/>
              <w:rPr>
                <w:b/>
                <w:color w:val="FF0000"/>
                <w:sz w:val="18"/>
                <w:szCs w:val="18"/>
              </w:rPr>
            </w:pPr>
            <w:r>
              <w:rPr>
                <w:b/>
                <w:color w:val="FF0000"/>
                <w:sz w:val="18"/>
                <w:szCs w:val="18"/>
              </w:rPr>
              <w:t>产品品种</w:t>
            </w:r>
          </w:p>
        </w:tc>
        <w:tc>
          <w:tcPr>
            <w:tcW w:w="740" w:type="dxa"/>
            <w:vAlign w:val="center"/>
          </w:tcPr>
          <w:p>
            <w:pPr>
              <w:pStyle w:val="41"/>
              <w:spacing w:line="240" w:lineRule="auto"/>
              <w:rPr>
                <w:b/>
                <w:color w:val="FF0000"/>
                <w:sz w:val="18"/>
                <w:szCs w:val="18"/>
              </w:rPr>
            </w:pPr>
            <w:r>
              <w:rPr>
                <w:b/>
                <w:color w:val="FF0000"/>
                <w:sz w:val="18"/>
                <w:szCs w:val="18"/>
              </w:rPr>
              <w:t>产品名称</w:t>
            </w:r>
          </w:p>
        </w:tc>
        <w:tc>
          <w:tcPr>
            <w:tcW w:w="966" w:type="dxa"/>
            <w:vAlign w:val="center"/>
          </w:tcPr>
          <w:p>
            <w:pPr>
              <w:pStyle w:val="41"/>
              <w:spacing w:line="240" w:lineRule="auto"/>
              <w:rPr>
                <w:b/>
                <w:color w:val="FF0000"/>
                <w:sz w:val="18"/>
                <w:szCs w:val="18"/>
              </w:rPr>
            </w:pPr>
            <w:r>
              <w:rPr>
                <w:b/>
                <w:color w:val="FF0000"/>
                <w:sz w:val="18"/>
                <w:szCs w:val="18"/>
              </w:rPr>
              <w:t>规格(mm)</w:t>
            </w:r>
          </w:p>
        </w:tc>
        <w:tc>
          <w:tcPr>
            <w:tcW w:w="1418" w:type="dxa"/>
            <w:vAlign w:val="center"/>
          </w:tcPr>
          <w:p>
            <w:pPr>
              <w:pStyle w:val="41"/>
              <w:spacing w:line="240" w:lineRule="auto"/>
              <w:rPr>
                <w:b/>
                <w:color w:val="FF0000"/>
                <w:sz w:val="18"/>
                <w:szCs w:val="18"/>
              </w:rPr>
            </w:pPr>
            <w:r>
              <w:rPr>
                <w:b/>
                <w:color w:val="FF0000"/>
                <w:sz w:val="18"/>
                <w:szCs w:val="18"/>
              </w:rPr>
              <w:t>钢种</w:t>
            </w:r>
          </w:p>
        </w:tc>
        <w:tc>
          <w:tcPr>
            <w:tcW w:w="1984" w:type="dxa"/>
            <w:vAlign w:val="center"/>
          </w:tcPr>
          <w:p>
            <w:pPr>
              <w:pStyle w:val="41"/>
              <w:spacing w:line="240" w:lineRule="auto"/>
              <w:rPr>
                <w:b/>
                <w:color w:val="FF0000"/>
                <w:sz w:val="18"/>
                <w:szCs w:val="18"/>
              </w:rPr>
            </w:pPr>
            <w:r>
              <w:rPr>
                <w:b/>
                <w:color w:val="FF0000"/>
                <w:sz w:val="18"/>
                <w:szCs w:val="18"/>
              </w:rPr>
              <w:t>代表钢号</w:t>
            </w:r>
          </w:p>
        </w:tc>
        <w:tc>
          <w:tcPr>
            <w:tcW w:w="993" w:type="dxa"/>
            <w:vAlign w:val="center"/>
          </w:tcPr>
          <w:p>
            <w:pPr>
              <w:pStyle w:val="41"/>
              <w:spacing w:line="240" w:lineRule="auto"/>
              <w:rPr>
                <w:b/>
                <w:color w:val="FF0000"/>
                <w:sz w:val="18"/>
                <w:szCs w:val="18"/>
              </w:rPr>
            </w:pPr>
            <w:r>
              <w:rPr>
                <w:rFonts w:hint="eastAsia"/>
                <w:b/>
                <w:color w:val="FF0000"/>
                <w:sz w:val="18"/>
                <w:szCs w:val="18"/>
              </w:rPr>
              <w:t>现状评价</w:t>
            </w:r>
            <w:r>
              <w:rPr>
                <w:b/>
                <w:color w:val="FF0000"/>
                <w:sz w:val="18"/>
                <w:szCs w:val="18"/>
              </w:rPr>
              <w:t>阶段产量</w:t>
            </w:r>
          </w:p>
          <w:p>
            <w:pPr>
              <w:pStyle w:val="41"/>
              <w:spacing w:line="240" w:lineRule="auto"/>
              <w:rPr>
                <w:b/>
                <w:color w:val="FF0000"/>
                <w:sz w:val="18"/>
                <w:szCs w:val="18"/>
              </w:rPr>
            </w:pPr>
            <w:r>
              <w:rPr>
                <w:b/>
                <w:color w:val="FF0000"/>
                <w:sz w:val="18"/>
                <w:szCs w:val="18"/>
              </w:rPr>
              <w:t>(万t/a)</w:t>
            </w:r>
          </w:p>
        </w:tc>
        <w:tc>
          <w:tcPr>
            <w:tcW w:w="1061" w:type="dxa"/>
            <w:vAlign w:val="center"/>
          </w:tcPr>
          <w:p>
            <w:pPr>
              <w:pStyle w:val="41"/>
              <w:spacing w:line="240" w:lineRule="auto"/>
              <w:rPr>
                <w:b/>
                <w:color w:val="FF0000"/>
                <w:sz w:val="18"/>
                <w:szCs w:val="18"/>
              </w:rPr>
            </w:pPr>
            <w:r>
              <w:rPr>
                <w:b/>
                <w:color w:val="FF0000"/>
                <w:sz w:val="18"/>
                <w:szCs w:val="18"/>
              </w:rPr>
              <w:t>后评价阶段产量</w:t>
            </w:r>
          </w:p>
          <w:p>
            <w:pPr>
              <w:pStyle w:val="41"/>
              <w:spacing w:line="240" w:lineRule="auto"/>
              <w:rPr>
                <w:b/>
                <w:color w:val="FF0000"/>
                <w:sz w:val="18"/>
                <w:szCs w:val="18"/>
              </w:rPr>
            </w:pPr>
            <w:r>
              <w:rPr>
                <w:b/>
                <w:color w:val="FF0000"/>
                <w:sz w:val="18"/>
                <w:szCs w:val="18"/>
              </w:rPr>
              <w:t>(万t/a)</w:t>
            </w:r>
          </w:p>
        </w:tc>
        <w:tc>
          <w:tcPr>
            <w:tcW w:w="965" w:type="dxa"/>
            <w:vAlign w:val="center"/>
          </w:tcPr>
          <w:p>
            <w:pPr>
              <w:pStyle w:val="41"/>
              <w:spacing w:line="240" w:lineRule="auto"/>
              <w:rPr>
                <w:b/>
                <w:color w:val="FF0000"/>
                <w:sz w:val="18"/>
                <w:szCs w:val="18"/>
              </w:rPr>
            </w:pPr>
            <w:r>
              <w:rPr>
                <w:b/>
                <w:color w:val="FF0000"/>
                <w:sz w:val="18"/>
                <w:szCs w:val="18"/>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158" w:hRule="atLeast"/>
          <w:jc w:val="center"/>
        </w:trPr>
        <w:tc>
          <w:tcPr>
            <w:tcW w:w="358" w:type="dxa"/>
            <w:vMerge w:val="restart"/>
            <w:vAlign w:val="center"/>
          </w:tcPr>
          <w:p>
            <w:pPr>
              <w:pStyle w:val="41"/>
              <w:spacing w:line="240" w:lineRule="auto"/>
              <w:rPr>
                <w:color w:val="FF0000"/>
                <w:sz w:val="18"/>
                <w:szCs w:val="18"/>
              </w:rPr>
            </w:pPr>
            <w:r>
              <w:rPr>
                <w:color w:val="FF0000"/>
                <w:sz w:val="18"/>
                <w:szCs w:val="18"/>
              </w:rPr>
              <w:t>1</w:t>
            </w:r>
          </w:p>
        </w:tc>
        <w:tc>
          <w:tcPr>
            <w:tcW w:w="587" w:type="dxa"/>
            <w:vMerge w:val="restart"/>
            <w:vAlign w:val="center"/>
          </w:tcPr>
          <w:p>
            <w:pPr>
              <w:pStyle w:val="41"/>
              <w:spacing w:line="240" w:lineRule="auto"/>
              <w:rPr>
                <w:color w:val="FF0000"/>
                <w:sz w:val="18"/>
                <w:szCs w:val="18"/>
              </w:rPr>
            </w:pPr>
            <w:r>
              <w:rPr>
                <w:color w:val="FF0000"/>
                <w:sz w:val="18"/>
                <w:szCs w:val="18"/>
              </w:rPr>
              <w:t>小棒材</w:t>
            </w:r>
          </w:p>
        </w:tc>
        <w:tc>
          <w:tcPr>
            <w:tcW w:w="740" w:type="dxa"/>
            <w:vAlign w:val="center"/>
          </w:tcPr>
          <w:p>
            <w:pPr>
              <w:pStyle w:val="41"/>
              <w:spacing w:line="240" w:lineRule="auto"/>
              <w:rPr>
                <w:color w:val="FF0000"/>
                <w:sz w:val="18"/>
                <w:szCs w:val="18"/>
              </w:rPr>
            </w:pPr>
            <w:r>
              <w:rPr>
                <w:color w:val="FF0000"/>
                <w:sz w:val="18"/>
                <w:szCs w:val="18"/>
              </w:rPr>
              <w:t>带肋钢筋</w:t>
            </w:r>
          </w:p>
        </w:tc>
        <w:tc>
          <w:tcPr>
            <w:tcW w:w="966" w:type="dxa"/>
            <w:vAlign w:val="center"/>
          </w:tcPr>
          <w:p>
            <w:pPr>
              <w:pStyle w:val="41"/>
              <w:spacing w:line="240" w:lineRule="auto"/>
              <w:rPr>
                <w:color w:val="FF0000"/>
                <w:sz w:val="18"/>
                <w:szCs w:val="18"/>
              </w:rPr>
            </w:pPr>
            <w:r>
              <w:rPr>
                <w:color w:val="FF0000"/>
                <w:sz w:val="18"/>
                <w:szCs w:val="18"/>
              </w:rPr>
              <w:sym w:font="Symbol" w:char="F0C6"/>
            </w:r>
            <w:r>
              <w:rPr>
                <w:color w:val="FF0000"/>
                <w:sz w:val="18"/>
                <w:szCs w:val="18"/>
              </w:rPr>
              <w:t>14~40</w:t>
            </w:r>
          </w:p>
        </w:tc>
        <w:tc>
          <w:tcPr>
            <w:tcW w:w="1418" w:type="dxa"/>
            <w:vAlign w:val="center"/>
          </w:tcPr>
          <w:p>
            <w:pPr>
              <w:pStyle w:val="41"/>
              <w:spacing w:line="240" w:lineRule="auto"/>
              <w:rPr>
                <w:color w:val="FF0000"/>
                <w:sz w:val="18"/>
                <w:szCs w:val="18"/>
              </w:rPr>
            </w:pPr>
            <w:r>
              <w:rPr>
                <w:color w:val="FF0000"/>
                <w:sz w:val="18"/>
                <w:szCs w:val="18"/>
              </w:rPr>
              <w:t>低合金钢</w:t>
            </w:r>
          </w:p>
        </w:tc>
        <w:tc>
          <w:tcPr>
            <w:tcW w:w="1984" w:type="dxa"/>
            <w:vAlign w:val="center"/>
          </w:tcPr>
          <w:p>
            <w:pPr>
              <w:pStyle w:val="41"/>
              <w:spacing w:line="240" w:lineRule="auto"/>
              <w:rPr>
                <w:color w:val="FF0000"/>
                <w:sz w:val="18"/>
                <w:szCs w:val="18"/>
              </w:rPr>
            </w:pPr>
            <w:r>
              <w:rPr>
                <w:color w:val="FF0000"/>
                <w:sz w:val="18"/>
                <w:szCs w:val="18"/>
              </w:rPr>
              <w:t>HRB400、HRB500</w:t>
            </w:r>
          </w:p>
        </w:tc>
        <w:tc>
          <w:tcPr>
            <w:tcW w:w="993" w:type="dxa"/>
            <w:vMerge w:val="restart"/>
            <w:vAlign w:val="center"/>
          </w:tcPr>
          <w:p>
            <w:pPr>
              <w:pStyle w:val="41"/>
              <w:spacing w:line="240" w:lineRule="auto"/>
              <w:rPr>
                <w:color w:val="FF0000"/>
                <w:sz w:val="18"/>
                <w:szCs w:val="18"/>
              </w:rPr>
            </w:pPr>
            <w:r>
              <w:rPr>
                <w:color w:val="FF0000"/>
                <w:sz w:val="18"/>
                <w:szCs w:val="18"/>
              </w:rPr>
              <w:t>29.75</w:t>
            </w:r>
          </w:p>
        </w:tc>
        <w:tc>
          <w:tcPr>
            <w:tcW w:w="1061" w:type="dxa"/>
            <w:vMerge w:val="restart"/>
            <w:vAlign w:val="center"/>
          </w:tcPr>
          <w:p>
            <w:pPr>
              <w:pStyle w:val="41"/>
              <w:spacing w:line="240" w:lineRule="auto"/>
              <w:rPr>
                <w:color w:val="FF0000"/>
                <w:sz w:val="18"/>
                <w:szCs w:val="18"/>
              </w:rPr>
            </w:pPr>
            <w:r>
              <w:rPr>
                <w:color w:val="FF0000"/>
                <w:sz w:val="18"/>
                <w:szCs w:val="18"/>
              </w:rPr>
              <w:t>35.08</w:t>
            </w:r>
          </w:p>
        </w:tc>
        <w:tc>
          <w:tcPr>
            <w:tcW w:w="965" w:type="dxa"/>
            <w:vMerge w:val="restart"/>
            <w:vAlign w:val="center"/>
          </w:tcPr>
          <w:p>
            <w:pPr>
              <w:pStyle w:val="41"/>
              <w:spacing w:line="240" w:lineRule="auto"/>
              <w:rPr>
                <w:color w:val="FF0000"/>
                <w:sz w:val="18"/>
                <w:szCs w:val="18"/>
              </w:rPr>
            </w:pPr>
            <w:r>
              <w:rPr>
                <w:color w:val="FF0000"/>
                <w:sz w:val="18"/>
                <w:szCs w:val="18"/>
              </w:rPr>
              <w:t>后评价阶段产量增大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Merge w:val="continue"/>
            <w:vAlign w:val="center"/>
          </w:tcPr>
          <w:p>
            <w:pPr>
              <w:pStyle w:val="41"/>
              <w:spacing w:line="240" w:lineRule="auto"/>
              <w:rPr>
                <w:color w:val="FF0000"/>
                <w:sz w:val="18"/>
                <w:szCs w:val="18"/>
              </w:rPr>
            </w:pPr>
          </w:p>
        </w:tc>
        <w:tc>
          <w:tcPr>
            <w:tcW w:w="587" w:type="dxa"/>
            <w:vMerge w:val="continue"/>
            <w:vAlign w:val="center"/>
          </w:tcPr>
          <w:p>
            <w:pPr>
              <w:pStyle w:val="41"/>
              <w:spacing w:line="240" w:lineRule="auto"/>
              <w:rPr>
                <w:color w:val="FF0000"/>
                <w:sz w:val="18"/>
                <w:szCs w:val="18"/>
              </w:rPr>
            </w:pPr>
          </w:p>
        </w:tc>
        <w:tc>
          <w:tcPr>
            <w:tcW w:w="740" w:type="dxa"/>
            <w:vAlign w:val="center"/>
          </w:tcPr>
          <w:p>
            <w:pPr>
              <w:pStyle w:val="41"/>
              <w:spacing w:line="240" w:lineRule="auto"/>
              <w:rPr>
                <w:color w:val="FF0000"/>
                <w:sz w:val="18"/>
                <w:szCs w:val="18"/>
              </w:rPr>
            </w:pPr>
            <w:r>
              <w:rPr>
                <w:color w:val="FF0000"/>
                <w:sz w:val="18"/>
                <w:szCs w:val="18"/>
              </w:rPr>
              <w:t>光面圆钢</w:t>
            </w:r>
          </w:p>
        </w:tc>
        <w:tc>
          <w:tcPr>
            <w:tcW w:w="966" w:type="dxa"/>
            <w:vAlign w:val="center"/>
          </w:tcPr>
          <w:p>
            <w:pPr>
              <w:pStyle w:val="41"/>
              <w:spacing w:line="240" w:lineRule="auto"/>
              <w:rPr>
                <w:color w:val="FF0000"/>
                <w:sz w:val="18"/>
                <w:szCs w:val="18"/>
              </w:rPr>
            </w:pPr>
            <w:r>
              <w:rPr>
                <w:color w:val="FF0000"/>
                <w:sz w:val="18"/>
                <w:szCs w:val="18"/>
              </w:rPr>
              <w:sym w:font="Symbol" w:char="F0C6"/>
            </w:r>
            <w:r>
              <w:rPr>
                <w:color w:val="FF0000"/>
                <w:sz w:val="18"/>
                <w:szCs w:val="18"/>
              </w:rPr>
              <w:t>14~60</w:t>
            </w:r>
          </w:p>
        </w:tc>
        <w:tc>
          <w:tcPr>
            <w:tcW w:w="1418" w:type="dxa"/>
            <w:vAlign w:val="center"/>
          </w:tcPr>
          <w:p>
            <w:pPr>
              <w:pStyle w:val="41"/>
              <w:spacing w:line="240" w:lineRule="auto"/>
              <w:rPr>
                <w:color w:val="FF0000"/>
                <w:sz w:val="18"/>
                <w:szCs w:val="18"/>
              </w:rPr>
            </w:pPr>
            <w:r>
              <w:rPr>
                <w:color w:val="FF0000"/>
                <w:sz w:val="18"/>
                <w:szCs w:val="18"/>
              </w:rPr>
              <w:t>碳素结构钢、优质碳结钢、合金结构钢、弹簧钢、轴承钢、冷镦钢</w:t>
            </w:r>
          </w:p>
        </w:tc>
        <w:tc>
          <w:tcPr>
            <w:tcW w:w="1984" w:type="dxa"/>
            <w:vAlign w:val="center"/>
          </w:tcPr>
          <w:p>
            <w:pPr>
              <w:pStyle w:val="41"/>
              <w:spacing w:line="240" w:lineRule="auto"/>
              <w:rPr>
                <w:color w:val="FF0000"/>
                <w:sz w:val="18"/>
                <w:szCs w:val="18"/>
              </w:rPr>
            </w:pPr>
            <w:r>
              <w:rPr>
                <w:color w:val="FF0000"/>
                <w:sz w:val="18"/>
                <w:szCs w:val="18"/>
              </w:rPr>
              <w:t>Q215~Q235、20、45、40Cr、20CrMnTi、60Si2Mn，60Si2CrA、GCr15、ML08~ML20</w:t>
            </w:r>
          </w:p>
        </w:tc>
        <w:tc>
          <w:tcPr>
            <w:tcW w:w="993" w:type="dxa"/>
            <w:vMerge w:val="continue"/>
            <w:vAlign w:val="center"/>
          </w:tcPr>
          <w:p>
            <w:pPr>
              <w:pStyle w:val="41"/>
              <w:spacing w:line="240" w:lineRule="auto"/>
              <w:rPr>
                <w:color w:val="FF0000"/>
                <w:sz w:val="18"/>
                <w:szCs w:val="18"/>
              </w:rPr>
            </w:pPr>
          </w:p>
        </w:tc>
        <w:tc>
          <w:tcPr>
            <w:tcW w:w="1061" w:type="dxa"/>
            <w:vMerge w:val="continue"/>
            <w:vAlign w:val="center"/>
          </w:tcPr>
          <w:p>
            <w:pPr>
              <w:pStyle w:val="41"/>
              <w:spacing w:line="240" w:lineRule="auto"/>
              <w:rPr>
                <w:color w:val="FF0000"/>
                <w:sz w:val="18"/>
                <w:szCs w:val="18"/>
              </w:rPr>
            </w:pPr>
          </w:p>
        </w:tc>
        <w:tc>
          <w:tcPr>
            <w:tcW w:w="965" w:type="dxa"/>
            <w:vMerge w:val="continue"/>
            <w:vAlign w:val="center"/>
          </w:tcPr>
          <w:p>
            <w:pPr>
              <w:pStyle w:val="41"/>
              <w:spacing w:line="240" w:lineRule="auto"/>
              <w:rPr>
                <w:color w:val="FF000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Align w:val="center"/>
          </w:tcPr>
          <w:p>
            <w:pPr>
              <w:pStyle w:val="41"/>
              <w:spacing w:line="240" w:lineRule="auto"/>
              <w:rPr>
                <w:color w:val="FF0000"/>
                <w:sz w:val="18"/>
                <w:szCs w:val="18"/>
              </w:rPr>
            </w:pPr>
            <w:r>
              <w:rPr>
                <w:color w:val="FF0000"/>
                <w:sz w:val="18"/>
                <w:szCs w:val="18"/>
              </w:rPr>
              <w:t>2</w:t>
            </w:r>
          </w:p>
        </w:tc>
        <w:tc>
          <w:tcPr>
            <w:tcW w:w="587" w:type="dxa"/>
            <w:vAlign w:val="center"/>
          </w:tcPr>
          <w:p>
            <w:pPr>
              <w:pStyle w:val="41"/>
              <w:spacing w:line="240" w:lineRule="auto"/>
              <w:rPr>
                <w:color w:val="FF0000"/>
                <w:sz w:val="18"/>
                <w:szCs w:val="18"/>
              </w:rPr>
            </w:pPr>
            <w:r>
              <w:rPr>
                <w:color w:val="FF0000"/>
                <w:sz w:val="18"/>
                <w:szCs w:val="18"/>
              </w:rPr>
              <w:t>大棒材</w:t>
            </w:r>
          </w:p>
        </w:tc>
        <w:tc>
          <w:tcPr>
            <w:tcW w:w="740" w:type="dxa"/>
            <w:vAlign w:val="center"/>
          </w:tcPr>
          <w:p>
            <w:pPr>
              <w:pStyle w:val="41"/>
              <w:spacing w:line="240" w:lineRule="auto"/>
              <w:rPr>
                <w:color w:val="FF0000"/>
                <w:sz w:val="18"/>
                <w:szCs w:val="18"/>
              </w:rPr>
            </w:pPr>
            <w:r>
              <w:rPr>
                <w:color w:val="FF0000"/>
                <w:sz w:val="18"/>
                <w:szCs w:val="18"/>
              </w:rPr>
              <w:t>圆棒材</w:t>
            </w:r>
          </w:p>
        </w:tc>
        <w:tc>
          <w:tcPr>
            <w:tcW w:w="966" w:type="dxa"/>
            <w:vAlign w:val="center"/>
          </w:tcPr>
          <w:p>
            <w:pPr>
              <w:pStyle w:val="41"/>
              <w:spacing w:line="240" w:lineRule="auto"/>
              <w:rPr>
                <w:color w:val="FF0000"/>
                <w:sz w:val="18"/>
                <w:szCs w:val="18"/>
              </w:rPr>
            </w:pPr>
            <w:r>
              <w:rPr>
                <w:color w:val="FF0000"/>
                <w:sz w:val="18"/>
                <w:szCs w:val="18"/>
              </w:rPr>
              <w:sym w:font="Symbol" w:char="F0C6"/>
            </w:r>
            <w:r>
              <w:rPr>
                <w:color w:val="FF0000"/>
                <w:sz w:val="18"/>
                <w:szCs w:val="18"/>
              </w:rPr>
              <w:t>90~270</w:t>
            </w:r>
          </w:p>
        </w:tc>
        <w:tc>
          <w:tcPr>
            <w:tcW w:w="1418" w:type="dxa"/>
            <w:vAlign w:val="center"/>
          </w:tcPr>
          <w:p>
            <w:pPr>
              <w:pStyle w:val="41"/>
              <w:spacing w:line="240" w:lineRule="auto"/>
              <w:rPr>
                <w:color w:val="FF0000"/>
                <w:sz w:val="18"/>
                <w:szCs w:val="18"/>
              </w:rPr>
            </w:pPr>
            <w:r>
              <w:rPr>
                <w:color w:val="FF0000"/>
                <w:sz w:val="18"/>
                <w:szCs w:val="18"/>
              </w:rPr>
              <w:t>优质碳结钢、合金结构钢、冷镦钢、弹簧钢、轴承钢、管坯钢</w:t>
            </w:r>
          </w:p>
        </w:tc>
        <w:tc>
          <w:tcPr>
            <w:tcW w:w="1984" w:type="dxa"/>
            <w:vAlign w:val="center"/>
          </w:tcPr>
          <w:p>
            <w:pPr>
              <w:pStyle w:val="41"/>
              <w:spacing w:line="240" w:lineRule="auto"/>
              <w:rPr>
                <w:color w:val="FF0000"/>
                <w:sz w:val="18"/>
                <w:szCs w:val="18"/>
              </w:rPr>
            </w:pPr>
            <w:r>
              <w:rPr>
                <w:color w:val="FF0000"/>
                <w:sz w:val="18"/>
                <w:szCs w:val="18"/>
              </w:rPr>
              <w:t>45、20CrMnTi、40Cr、ML10~45、60Si2Mn、GCr15、DZ55、20G、J55、40Cr</w:t>
            </w:r>
          </w:p>
        </w:tc>
        <w:tc>
          <w:tcPr>
            <w:tcW w:w="993" w:type="dxa"/>
            <w:vAlign w:val="center"/>
          </w:tcPr>
          <w:p>
            <w:pPr>
              <w:pStyle w:val="41"/>
              <w:spacing w:line="240" w:lineRule="auto"/>
              <w:rPr>
                <w:color w:val="FF0000"/>
                <w:sz w:val="18"/>
                <w:szCs w:val="18"/>
              </w:rPr>
            </w:pPr>
            <w:r>
              <w:rPr>
                <w:color w:val="FF0000"/>
                <w:sz w:val="18"/>
                <w:szCs w:val="18"/>
              </w:rPr>
              <w:t>29.00</w:t>
            </w:r>
          </w:p>
        </w:tc>
        <w:tc>
          <w:tcPr>
            <w:tcW w:w="1061" w:type="dxa"/>
            <w:vAlign w:val="center"/>
          </w:tcPr>
          <w:p>
            <w:pPr>
              <w:pStyle w:val="41"/>
              <w:spacing w:line="240" w:lineRule="auto"/>
              <w:rPr>
                <w:color w:val="FF0000"/>
                <w:sz w:val="18"/>
                <w:szCs w:val="18"/>
              </w:rPr>
            </w:pPr>
            <w:r>
              <w:rPr>
                <w:color w:val="FF0000"/>
                <w:sz w:val="18"/>
                <w:szCs w:val="18"/>
              </w:rPr>
              <w:t>0</w:t>
            </w:r>
          </w:p>
        </w:tc>
        <w:tc>
          <w:tcPr>
            <w:tcW w:w="965" w:type="dxa"/>
            <w:vAlign w:val="center"/>
          </w:tcPr>
          <w:p>
            <w:pPr>
              <w:pStyle w:val="41"/>
              <w:spacing w:line="240" w:lineRule="auto"/>
              <w:rPr>
                <w:color w:val="FF0000"/>
                <w:sz w:val="18"/>
                <w:szCs w:val="18"/>
              </w:rPr>
            </w:pPr>
            <w:r>
              <w:rPr>
                <w:color w:val="FF0000"/>
                <w:sz w:val="18"/>
                <w:szCs w:val="18"/>
              </w:rPr>
              <w:t>后评价阶段未生产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Align w:val="center"/>
          </w:tcPr>
          <w:p>
            <w:pPr>
              <w:pStyle w:val="41"/>
              <w:spacing w:line="240" w:lineRule="auto"/>
              <w:rPr>
                <w:color w:val="FF0000"/>
                <w:sz w:val="18"/>
                <w:szCs w:val="18"/>
              </w:rPr>
            </w:pPr>
            <w:r>
              <w:rPr>
                <w:color w:val="FF0000"/>
                <w:sz w:val="18"/>
                <w:szCs w:val="18"/>
              </w:rPr>
              <w:t>3</w:t>
            </w:r>
          </w:p>
        </w:tc>
        <w:tc>
          <w:tcPr>
            <w:tcW w:w="587" w:type="dxa"/>
            <w:vAlign w:val="center"/>
          </w:tcPr>
          <w:p>
            <w:pPr>
              <w:pStyle w:val="41"/>
              <w:spacing w:line="240" w:lineRule="auto"/>
              <w:rPr>
                <w:color w:val="FF0000"/>
                <w:sz w:val="18"/>
                <w:szCs w:val="18"/>
              </w:rPr>
            </w:pPr>
            <w:r>
              <w:rPr>
                <w:color w:val="FF0000"/>
                <w:sz w:val="18"/>
                <w:szCs w:val="18"/>
              </w:rPr>
              <w:t>中棒材</w:t>
            </w:r>
          </w:p>
        </w:tc>
        <w:tc>
          <w:tcPr>
            <w:tcW w:w="740" w:type="dxa"/>
            <w:vAlign w:val="center"/>
          </w:tcPr>
          <w:p>
            <w:pPr>
              <w:pStyle w:val="41"/>
              <w:spacing w:line="240" w:lineRule="auto"/>
              <w:rPr>
                <w:color w:val="FF0000"/>
                <w:sz w:val="18"/>
                <w:szCs w:val="18"/>
              </w:rPr>
            </w:pPr>
            <w:r>
              <w:rPr>
                <w:color w:val="FF0000"/>
                <w:sz w:val="18"/>
                <w:szCs w:val="18"/>
              </w:rPr>
              <w:t>圆棒材</w:t>
            </w:r>
          </w:p>
        </w:tc>
        <w:tc>
          <w:tcPr>
            <w:tcW w:w="966" w:type="dxa"/>
            <w:vAlign w:val="center"/>
          </w:tcPr>
          <w:p>
            <w:pPr>
              <w:pStyle w:val="41"/>
              <w:spacing w:line="240" w:lineRule="auto"/>
              <w:rPr>
                <w:color w:val="FF0000"/>
                <w:sz w:val="18"/>
                <w:szCs w:val="18"/>
              </w:rPr>
            </w:pPr>
            <w:r>
              <w:rPr>
                <w:bCs/>
                <w:color w:val="FF0000"/>
                <w:sz w:val="18"/>
                <w:szCs w:val="18"/>
              </w:rPr>
              <w:t>Φ40-120</w:t>
            </w:r>
          </w:p>
        </w:tc>
        <w:tc>
          <w:tcPr>
            <w:tcW w:w="1418" w:type="dxa"/>
            <w:vAlign w:val="center"/>
          </w:tcPr>
          <w:p>
            <w:pPr>
              <w:pStyle w:val="41"/>
              <w:spacing w:line="240" w:lineRule="auto"/>
              <w:rPr>
                <w:color w:val="FF0000"/>
                <w:sz w:val="18"/>
                <w:szCs w:val="18"/>
              </w:rPr>
            </w:pPr>
            <w:r>
              <w:rPr>
                <w:color w:val="FF0000"/>
                <w:sz w:val="18"/>
                <w:szCs w:val="18"/>
              </w:rPr>
              <w:t>优质碳结钢、合金结构钢、齿轮钢、弹簧钢、轴承钢</w:t>
            </w:r>
          </w:p>
        </w:tc>
        <w:tc>
          <w:tcPr>
            <w:tcW w:w="1984" w:type="dxa"/>
            <w:vAlign w:val="center"/>
          </w:tcPr>
          <w:p>
            <w:pPr>
              <w:pStyle w:val="41"/>
              <w:spacing w:line="240" w:lineRule="auto"/>
              <w:rPr>
                <w:color w:val="FF0000"/>
                <w:sz w:val="18"/>
                <w:szCs w:val="18"/>
              </w:rPr>
            </w:pPr>
            <w:r>
              <w:rPr>
                <w:color w:val="FF0000"/>
                <w:sz w:val="18"/>
                <w:szCs w:val="18"/>
              </w:rPr>
              <w:t>10-45#、20Cr Mn2、30Cr Mo、42Cr Mo、40Cr、20Cr MnTi、20Cr MntiH、65Mn、50CrVA、55CrSiA、60Si2MnA、GCr15、GCr15SiMn、GCr15-YC</w:t>
            </w:r>
          </w:p>
        </w:tc>
        <w:tc>
          <w:tcPr>
            <w:tcW w:w="993" w:type="dxa"/>
            <w:vAlign w:val="center"/>
          </w:tcPr>
          <w:p>
            <w:pPr>
              <w:pStyle w:val="41"/>
              <w:spacing w:line="240" w:lineRule="auto"/>
              <w:rPr>
                <w:color w:val="FF0000"/>
                <w:sz w:val="18"/>
                <w:szCs w:val="18"/>
              </w:rPr>
            </w:pPr>
            <w:r>
              <w:rPr>
                <w:color w:val="FF0000"/>
                <w:sz w:val="18"/>
                <w:szCs w:val="18"/>
              </w:rPr>
              <w:t>0</w:t>
            </w:r>
          </w:p>
        </w:tc>
        <w:tc>
          <w:tcPr>
            <w:tcW w:w="1061" w:type="dxa"/>
            <w:vAlign w:val="center"/>
          </w:tcPr>
          <w:p>
            <w:pPr>
              <w:pStyle w:val="41"/>
              <w:spacing w:line="240" w:lineRule="auto"/>
              <w:rPr>
                <w:color w:val="FF0000"/>
                <w:sz w:val="18"/>
                <w:szCs w:val="18"/>
              </w:rPr>
            </w:pPr>
            <w:r>
              <w:rPr>
                <w:color w:val="FF0000"/>
                <w:sz w:val="18"/>
                <w:szCs w:val="18"/>
              </w:rPr>
              <w:t>35</w:t>
            </w:r>
          </w:p>
        </w:tc>
        <w:tc>
          <w:tcPr>
            <w:tcW w:w="965" w:type="dxa"/>
            <w:vAlign w:val="center"/>
          </w:tcPr>
          <w:p>
            <w:pPr>
              <w:pStyle w:val="41"/>
              <w:spacing w:line="240" w:lineRule="auto"/>
              <w:rPr>
                <w:color w:val="FF0000"/>
                <w:sz w:val="18"/>
                <w:szCs w:val="18"/>
              </w:rPr>
            </w:pPr>
            <w:r>
              <w:rPr>
                <w:color w:val="FF0000"/>
                <w:sz w:val="18"/>
                <w:szCs w:val="18"/>
              </w:rPr>
              <w:t>后评价阶段增加品类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Merge w:val="restart"/>
            <w:vAlign w:val="center"/>
          </w:tcPr>
          <w:p>
            <w:pPr>
              <w:pStyle w:val="41"/>
              <w:spacing w:line="240" w:lineRule="auto"/>
              <w:rPr>
                <w:color w:val="FF0000"/>
                <w:sz w:val="18"/>
                <w:szCs w:val="18"/>
              </w:rPr>
            </w:pPr>
            <w:r>
              <w:rPr>
                <w:color w:val="FF0000"/>
                <w:sz w:val="18"/>
                <w:szCs w:val="18"/>
              </w:rPr>
              <w:t>4</w:t>
            </w:r>
          </w:p>
        </w:tc>
        <w:tc>
          <w:tcPr>
            <w:tcW w:w="587" w:type="dxa"/>
            <w:vMerge w:val="restart"/>
            <w:vAlign w:val="center"/>
          </w:tcPr>
          <w:p>
            <w:pPr>
              <w:pStyle w:val="41"/>
              <w:spacing w:line="240" w:lineRule="auto"/>
              <w:rPr>
                <w:color w:val="FF0000"/>
                <w:sz w:val="18"/>
                <w:szCs w:val="18"/>
              </w:rPr>
            </w:pPr>
            <w:r>
              <w:rPr>
                <w:color w:val="FF0000"/>
                <w:sz w:val="18"/>
                <w:szCs w:val="18"/>
              </w:rPr>
              <w:t>铸锻件</w:t>
            </w:r>
          </w:p>
        </w:tc>
        <w:tc>
          <w:tcPr>
            <w:tcW w:w="740" w:type="dxa"/>
            <w:vAlign w:val="center"/>
          </w:tcPr>
          <w:p>
            <w:pPr>
              <w:pStyle w:val="41"/>
              <w:spacing w:line="240" w:lineRule="auto"/>
              <w:rPr>
                <w:color w:val="FF0000"/>
                <w:sz w:val="18"/>
                <w:szCs w:val="18"/>
              </w:rPr>
            </w:pPr>
            <w:r>
              <w:rPr>
                <w:color w:val="FF0000"/>
                <w:sz w:val="18"/>
                <w:szCs w:val="18"/>
              </w:rPr>
              <w:t>铸钢件</w:t>
            </w:r>
          </w:p>
        </w:tc>
        <w:tc>
          <w:tcPr>
            <w:tcW w:w="966" w:type="dxa"/>
            <w:vAlign w:val="center"/>
          </w:tcPr>
          <w:p>
            <w:pPr>
              <w:pStyle w:val="41"/>
              <w:spacing w:line="240" w:lineRule="auto"/>
              <w:rPr>
                <w:color w:val="FF0000"/>
                <w:sz w:val="18"/>
                <w:szCs w:val="18"/>
              </w:rPr>
            </w:pPr>
            <w:r>
              <w:rPr>
                <w:color w:val="FF0000"/>
                <w:sz w:val="18"/>
                <w:szCs w:val="18"/>
              </w:rPr>
              <w:t>/</w:t>
            </w:r>
          </w:p>
        </w:tc>
        <w:tc>
          <w:tcPr>
            <w:tcW w:w="1418" w:type="dxa"/>
            <w:vAlign w:val="center"/>
          </w:tcPr>
          <w:p>
            <w:pPr>
              <w:pStyle w:val="41"/>
              <w:spacing w:line="240" w:lineRule="auto"/>
              <w:rPr>
                <w:color w:val="FF0000"/>
                <w:sz w:val="18"/>
                <w:szCs w:val="18"/>
              </w:rPr>
            </w:pPr>
            <w:r>
              <w:rPr>
                <w:color w:val="FF0000"/>
                <w:sz w:val="18"/>
                <w:szCs w:val="18"/>
              </w:rPr>
              <w:t>/</w:t>
            </w:r>
          </w:p>
        </w:tc>
        <w:tc>
          <w:tcPr>
            <w:tcW w:w="1984" w:type="dxa"/>
            <w:vAlign w:val="center"/>
          </w:tcPr>
          <w:p>
            <w:pPr>
              <w:pStyle w:val="41"/>
              <w:spacing w:line="240" w:lineRule="auto"/>
              <w:rPr>
                <w:snapToGrid w:val="0"/>
                <w:color w:val="FF0000"/>
                <w:sz w:val="18"/>
                <w:szCs w:val="18"/>
              </w:rPr>
            </w:pPr>
            <w:r>
              <w:rPr>
                <w:snapToGrid w:val="0"/>
                <w:color w:val="FF0000"/>
                <w:sz w:val="18"/>
                <w:szCs w:val="18"/>
              </w:rPr>
              <w:t>ZG200-400</w:t>
            </w:r>
          </w:p>
          <w:p>
            <w:pPr>
              <w:pStyle w:val="41"/>
              <w:spacing w:line="240" w:lineRule="auto"/>
              <w:rPr>
                <w:snapToGrid w:val="0"/>
                <w:color w:val="FF0000"/>
                <w:sz w:val="18"/>
                <w:szCs w:val="18"/>
              </w:rPr>
            </w:pPr>
            <w:r>
              <w:rPr>
                <w:snapToGrid w:val="0"/>
                <w:color w:val="FF0000"/>
                <w:sz w:val="18"/>
                <w:szCs w:val="18"/>
              </w:rPr>
              <w:t>ZG230-450</w:t>
            </w:r>
          </w:p>
          <w:p>
            <w:pPr>
              <w:pStyle w:val="41"/>
              <w:spacing w:line="240" w:lineRule="auto"/>
              <w:rPr>
                <w:snapToGrid w:val="0"/>
                <w:color w:val="FF0000"/>
                <w:sz w:val="18"/>
                <w:szCs w:val="18"/>
              </w:rPr>
            </w:pPr>
            <w:r>
              <w:rPr>
                <w:snapToGrid w:val="0"/>
                <w:color w:val="FF0000"/>
                <w:sz w:val="18"/>
                <w:szCs w:val="18"/>
              </w:rPr>
              <w:t>ZG270-500</w:t>
            </w:r>
          </w:p>
          <w:p>
            <w:pPr>
              <w:pStyle w:val="41"/>
              <w:spacing w:line="240" w:lineRule="auto"/>
              <w:rPr>
                <w:color w:val="FF0000"/>
                <w:sz w:val="18"/>
                <w:szCs w:val="18"/>
              </w:rPr>
            </w:pPr>
            <w:r>
              <w:rPr>
                <w:color w:val="FF0000"/>
                <w:sz w:val="18"/>
                <w:szCs w:val="18"/>
              </w:rPr>
              <w:t>ZG42CrMo</w:t>
            </w:r>
          </w:p>
        </w:tc>
        <w:tc>
          <w:tcPr>
            <w:tcW w:w="993" w:type="dxa"/>
            <w:vAlign w:val="center"/>
          </w:tcPr>
          <w:p>
            <w:pPr>
              <w:pStyle w:val="41"/>
              <w:spacing w:line="240" w:lineRule="auto"/>
              <w:rPr>
                <w:color w:val="FF0000"/>
                <w:sz w:val="18"/>
                <w:szCs w:val="18"/>
              </w:rPr>
            </w:pPr>
            <w:r>
              <w:rPr>
                <w:color w:val="FF0000"/>
                <w:sz w:val="18"/>
                <w:szCs w:val="18"/>
              </w:rPr>
              <w:t>0</w:t>
            </w:r>
          </w:p>
        </w:tc>
        <w:tc>
          <w:tcPr>
            <w:tcW w:w="1061" w:type="dxa"/>
            <w:vAlign w:val="center"/>
          </w:tcPr>
          <w:p>
            <w:pPr>
              <w:pStyle w:val="41"/>
              <w:spacing w:line="240" w:lineRule="auto"/>
              <w:rPr>
                <w:color w:val="FF0000"/>
                <w:sz w:val="18"/>
                <w:szCs w:val="18"/>
              </w:rPr>
            </w:pPr>
            <w:r>
              <w:rPr>
                <w:color w:val="FF0000"/>
                <w:sz w:val="18"/>
                <w:szCs w:val="18"/>
              </w:rPr>
              <w:t>0</w:t>
            </w:r>
          </w:p>
        </w:tc>
        <w:tc>
          <w:tcPr>
            <w:tcW w:w="965" w:type="dxa"/>
            <w:vAlign w:val="center"/>
          </w:tcPr>
          <w:p>
            <w:pPr>
              <w:pStyle w:val="41"/>
              <w:spacing w:line="240" w:lineRule="auto"/>
              <w:rPr>
                <w:color w:val="FF0000"/>
                <w:sz w:val="18"/>
                <w:szCs w:val="18"/>
              </w:rPr>
            </w:pPr>
            <w:r>
              <w:rPr>
                <w:color w:val="FF0000"/>
                <w:sz w:val="18"/>
                <w:szCs w:val="18"/>
              </w:rPr>
              <w:t>后评价阶段未生产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Merge w:val="continue"/>
            <w:vAlign w:val="center"/>
          </w:tcPr>
          <w:p>
            <w:pPr>
              <w:pStyle w:val="41"/>
              <w:spacing w:line="240" w:lineRule="auto"/>
              <w:rPr>
                <w:color w:val="FF0000"/>
                <w:sz w:val="18"/>
                <w:szCs w:val="18"/>
              </w:rPr>
            </w:pPr>
          </w:p>
        </w:tc>
        <w:tc>
          <w:tcPr>
            <w:tcW w:w="587" w:type="dxa"/>
            <w:vMerge w:val="continue"/>
            <w:vAlign w:val="center"/>
          </w:tcPr>
          <w:p>
            <w:pPr>
              <w:pStyle w:val="41"/>
              <w:spacing w:line="240" w:lineRule="auto"/>
              <w:rPr>
                <w:color w:val="FF0000"/>
                <w:sz w:val="18"/>
                <w:szCs w:val="18"/>
              </w:rPr>
            </w:pPr>
          </w:p>
        </w:tc>
        <w:tc>
          <w:tcPr>
            <w:tcW w:w="740" w:type="dxa"/>
            <w:vAlign w:val="center"/>
          </w:tcPr>
          <w:p>
            <w:pPr>
              <w:pStyle w:val="41"/>
              <w:spacing w:line="240" w:lineRule="auto"/>
              <w:rPr>
                <w:color w:val="FF0000"/>
                <w:sz w:val="18"/>
                <w:szCs w:val="18"/>
              </w:rPr>
            </w:pPr>
            <w:r>
              <w:rPr>
                <w:color w:val="FF0000"/>
                <w:sz w:val="18"/>
                <w:szCs w:val="18"/>
              </w:rPr>
              <w:t>大型锻材</w:t>
            </w:r>
          </w:p>
        </w:tc>
        <w:tc>
          <w:tcPr>
            <w:tcW w:w="966" w:type="dxa"/>
            <w:vAlign w:val="center"/>
          </w:tcPr>
          <w:p>
            <w:pPr>
              <w:pStyle w:val="41"/>
              <w:spacing w:line="240" w:lineRule="auto"/>
              <w:rPr>
                <w:color w:val="FF0000"/>
                <w:sz w:val="18"/>
                <w:szCs w:val="18"/>
              </w:rPr>
            </w:pPr>
          </w:p>
        </w:tc>
        <w:tc>
          <w:tcPr>
            <w:tcW w:w="1418" w:type="dxa"/>
            <w:vAlign w:val="center"/>
          </w:tcPr>
          <w:p>
            <w:pPr>
              <w:pStyle w:val="41"/>
              <w:spacing w:line="240" w:lineRule="auto"/>
              <w:rPr>
                <w:color w:val="FF0000"/>
                <w:sz w:val="18"/>
                <w:szCs w:val="18"/>
              </w:rPr>
            </w:pPr>
            <w:r>
              <w:rPr>
                <w:color w:val="FF0000"/>
                <w:sz w:val="18"/>
                <w:szCs w:val="18"/>
              </w:rPr>
              <w:t>模具、合结</w:t>
            </w:r>
          </w:p>
        </w:tc>
        <w:tc>
          <w:tcPr>
            <w:tcW w:w="1984" w:type="dxa"/>
            <w:vAlign w:val="center"/>
          </w:tcPr>
          <w:p>
            <w:pPr>
              <w:pStyle w:val="41"/>
              <w:spacing w:line="240" w:lineRule="auto"/>
              <w:rPr>
                <w:color w:val="FF0000"/>
                <w:sz w:val="18"/>
                <w:szCs w:val="18"/>
              </w:rPr>
            </w:pPr>
            <w:r>
              <w:rPr>
                <w:color w:val="FF0000"/>
                <w:sz w:val="18"/>
                <w:szCs w:val="18"/>
              </w:rPr>
              <w:t>5CrNiMo、20-45#、16-30Mn、30-40CrMo、40CrNiMo、42CrMo4、817M40、0-4Cr13</w:t>
            </w:r>
          </w:p>
        </w:tc>
        <w:tc>
          <w:tcPr>
            <w:tcW w:w="993" w:type="dxa"/>
            <w:vAlign w:val="center"/>
          </w:tcPr>
          <w:p>
            <w:pPr>
              <w:pStyle w:val="41"/>
              <w:spacing w:line="240" w:lineRule="auto"/>
              <w:rPr>
                <w:color w:val="FF0000"/>
                <w:sz w:val="18"/>
                <w:szCs w:val="18"/>
              </w:rPr>
            </w:pPr>
            <w:r>
              <w:rPr>
                <w:color w:val="FF0000"/>
                <w:sz w:val="18"/>
                <w:szCs w:val="18"/>
              </w:rPr>
              <w:t>0</w:t>
            </w:r>
          </w:p>
        </w:tc>
        <w:tc>
          <w:tcPr>
            <w:tcW w:w="1061" w:type="dxa"/>
            <w:vAlign w:val="center"/>
          </w:tcPr>
          <w:p>
            <w:pPr>
              <w:pStyle w:val="41"/>
              <w:spacing w:line="240" w:lineRule="auto"/>
              <w:rPr>
                <w:color w:val="FF0000"/>
                <w:sz w:val="18"/>
                <w:szCs w:val="18"/>
              </w:rPr>
            </w:pPr>
            <w:r>
              <w:rPr>
                <w:color w:val="FF0000"/>
                <w:sz w:val="18"/>
                <w:szCs w:val="18"/>
              </w:rPr>
              <w:t>0</w:t>
            </w:r>
          </w:p>
        </w:tc>
        <w:tc>
          <w:tcPr>
            <w:tcW w:w="965" w:type="dxa"/>
            <w:vAlign w:val="center"/>
          </w:tcPr>
          <w:p>
            <w:pPr>
              <w:pStyle w:val="41"/>
              <w:spacing w:line="240" w:lineRule="auto"/>
              <w:rPr>
                <w:color w:val="FF0000"/>
                <w:sz w:val="18"/>
                <w:szCs w:val="18"/>
              </w:rPr>
            </w:pPr>
            <w:r>
              <w:rPr>
                <w:color w:val="FF0000"/>
                <w:sz w:val="18"/>
                <w:szCs w:val="18"/>
              </w:rPr>
              <w:t>后评价阶段未生产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Merge w:val="continue"/>
            <w:vAlign w:val="center"/>
          </w:tcPr>
          <w:p>
            <w:pPr>
              <w:pStyle w:val="41"/>
              <w:spacing w:line="240" w:lineRule="auto"/>
              <w:rPr>
                <w:color w:val="FF0000"/>
                <w:sz w:val="18"/>
                <w:szCs w:val="18"/>
              </w:rPr>
            </w:pPr>
          </w:p>
        </w:tc>
        <w:tc>
          <w:tcPr>
            <w:tcW w:w="587" w:type="dxa"/>
            <w:vMerge w:val="continue"/>
            <w:vAlign w:val="center"/>
          </w:tcPr>
          <w:p>
            <w:pPr>
              <w:pStyle w:val="41"/>
              <w:spacing w:line="240" w:lineRule="auto"/>
              <w:rPr>
                <w:color w:val="FF0000"/>
                <w:sz w:val="18"/>
                <w:szCs w:val="18"/>
              </w:rPr>
            </w:pPr>
          </w:p>
        </w:tc>
        <w:tc>
          <w:tcPr>
            <w:tcW w:w="740" w:type="dxa"/>
            <w:vAlign w:val="center"/>
          </w:tcPr>
          <w:p>
            <w:pPr>
              <w:pStyle w:val="41"/>
              <w:spacing w:line="240" w:lineRule="auto"/>
              <w:rPr>
                <w:color w:val="FF0000"/>
                <w:sz w:val="18"/>
                <w:szCs w:val="18"/>
              </w:rPr>
            </w:pPr>
            <w:r>
              <w:rPr>
                <w:color w:val="FF0000"/>
                <w:sz w:val="18"/>
                <w:szCs w:val="18"/>
              </w:rPr>
              <w:t>径向锻件</w:t>
            </w:r>
          </w:p>
        </w:tc>
        <w:tc>
          <w:tcPr>
            <w:tcW w:w="966" w:type="dxa"/>
            <w:vAlign w:val="center"/>
          </w:tcPr>
          <w:p>
            <w:pPr>
              <w:pStyle w:val="41"/>
              <w:spacing w:line="240" w:lineRule="auto"/>
              <w:rPr>
                <w:color w:val="FF0000"/>
                <w:sz w:val="18"/>
                <w:szCs w:val="18"/>
              </w:rPr>
            </w:pPr>
            <w:r>
              <w:rPr>
                <w:color w:val="FF0000"/>
                <w:sz w:val="18"/>
                <w:szCs w:val="18"/>
              </w:rPr>
              <w:sym w:font="Symbol" w:char="F0C6"/>
            </w:r>
            <w:r>
              <w:rPr>
                <w:color w:val="FF0000"/>
                <w:sz w:val="18"/>
                <w:szCs w:val="18"/>
              </w:rPr>
              <w:t>80~450</w:t>
            </w:r>
          </w:p>
        </w:tc>
        <w:tc>
          <w:tcPr>
            <w:tcW w:w="1418" w:type="dxa"/>
            <w:vAlign w:val="center"/>
          </w:tcPr>
          <w:p>
            <w:pPr>
              <w:pStyle w:val="41"/>
              <w:spacing w:line="240" w:lineRule="auto"/>
              <w:rPr>
                <w:color w:val="FF0000"/>
                <w:sz w:val="18"/>
                <w:szCs w:val="18"/>
              </w:rPr>
            </w:pPr>
            <w:r>
              <w:rPr>
                <w:color w:val="FF0000"/>
                <w:sz w:val="18"/>
                <w:szCs w:val="18"/>
              </w:rPr>
              <w:t>合金结构钢、优质碳素钢、合金钢、厚壁管、铸管管模、轴类件、石油钻杆钻挺等</w:t>
            </w:r>
          </w:p>
        </w:tc>
        <w:tc>
          <w:tcPr>
            <w:tcW w:w="1984" w:type="dxa"/>
            <w:vAlign w:val="center"/>
          </w:tcPr>
          <w:p>
            <w:pPr>
              <w:pStyle w:val="41"/>
              <w:spacing w:line="240" w:lineRule="auto"/>
              <w:rPr>
                <w:color w:val="FF0000"/>
                <w:sz w:val="18"/>
                <w:szCs w:val="18"/>
              </w:rPr>
            </w:pPr>
            <w:r>
              <w:rPr>
                <w:color w:val="FF0000"/>
                <w:sz w:val="18"/>
                <w:szCs w:val="18"/>
              </w:rPr>
              <w:t>/</w:t>
            </w:r>
          </w:p>
        </w:tc>
        <w:tc>
          <w:tcPr>
            <w:tcW w:w="993" w:type="dxa"/>
            <w:vAlign w:val="center"/>
          </w:tcPr>
          <w:p>
            <w:pPr>
              <w:pStyle w:val="41"/>
              <w:spacing w:line="240" w:lineRule="auto"/>
              <w:rPr>
                <w:color w:val="FF0000"/>
                <w:sz w:val="18"/>
                <w:szCs w:val="18"/>
              </w:rPr>
            </w:pPr>
            <w:r>
              <w:rPr>
                <w:color w:val="FF0000"/>
                <w:sz w:val="18"/>
                <w:szCs w:val="18"/>
              </w:rPr>
              <w:t>0</w:t>
            </w:r>
          </w:p>
        </w:tc>
        <w:tc>
          <w:tcPr>
            <w:tcW w:w="1061" w:type="dxa"/>
            <w:vAlign w:val="center"/>
          </w:tcPr>
          <w:p>
            <w:pPr>
              <w:pStyle w:val="41"/>
              <w:spacing w:line="240" w:lineRule="auto"/>
              <w:rPr>
                <w:color w:val="FF0000"/>
                <w:sz w:val="18"/>
                <w:szCs w:val="18"/>
              </w:rPr>
            </w:pPr>
            <w:r>
              <w:rPr>
                <w:color w:val="FF0000"/>
                <w:sz w:val="18"/>
                <w:szCs w:val="18"/>
              </w:rPr>
              <w:t>0</w:t>
            </w:r>
          </w:p>
        </w:tc>
        <w:tc>
          <w:tcPr>
            <w:tcW w:w="965" w:type="dxa"/>
            <w:vAlign w:val="center"/>
          </w:tcPr>
          <w:p>
            <w:pPr>
              <w:pStyle w:val="41"/>
              <w:spacing w:line="240" w:lineRule="auto"/>
              <w:rPr>
                <w:color w:val="FF0000"/>
                <w:sz w:val="18"/>
                <w:szCs w:val="18"/>
              </w:rPr>
            </w:pPr>
            <w:r>
              <w:rPr>
                <w:color w:val="FF0000"/>
                <w:sz w:val="18"/>
                <w:szCs w:val="18"/>
              </w:rPr>
              <w:t>后评价阶段未生产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Merge w:val="continue"/>
            <w:vAlign w:val="center"/>
          </w:tcPr>
          <w:p>
            <w:pPr>
              <w:pStyle w:val="41"/>
              <w:spacing w:line="240" w:lineRule="auto"/>
              <w:rPr>
                <w:color w:val="FF0000"/>
                <w:sz w:val="18"/>
                <w:szCs w:val="18"/>
              </w:rPr>
            </w:pPr>
          </w:p>
        </w:tc>
        <w:tc>
          <w:tcPr>
            <w:tcW w:w="587" w:type="dxa"/>
            <w:vMerge w:val="continue"/>
            <w:vAlign w:val="center"/>
          </w:tcPr>
          <w:p>
            <w:pPr>
              <w:pStyle w:val="41"/>
              <w:spacing w:line="240" w:lineRule="auto"/>
              <w:rPr>
                <w:color w:val="FF0000"/>
                <w:sz w:val="18"/>
                <w:szCs w:val="18"/>
              </w:rPr>
            </w:pPr>
          </w:p>
        </w:tc>
        <w:tc>
          <w:tcPr>
            <w:tcW w:w="740" w:type="dxa"/>
            <w:vAlign w:val="center"/>
          </w:tcPr>
          <w:p>
            <w:pPr>
              <w:pStyle w:val="41"/>
              <w:spacing w:line="240" w:lineRule="auto"/>
              <w:rPr>
                <w:color w:val="FF0000"/>
                <w:sz w:val="18"/>
                <w:szCs w:val="18"/>
              </w:rPr>
            </w:pPr>
            <w:r>
              <w:rPr>
                <w:color w:val="FF0000"/>
                <w:sz w:val="18"/>
                <w:szCs w:val="18"/>
              </w:rPr>
              <w:t>汽车工程机械锻件</w:t>
            </w:r>
          </w:p>
        </w:tc>
        <w:tc>
          <w:tcPr>
            <w:tcW w:w="966" w:type="dxa"/>
            <w:vAlign w:val="center"/>
          </w:tcPr>
          <w:p>
            <w:pPr>
              <w:pStyle w:val="41"/>
              <w:spacing w:line="240" w:lineRule="auto"/>
              <w:rPr>
                <w:color w:val="FF0000"/>
                <w:sz w:val="18"/>
                <w:szCs w:val="18"/>
              </w:rPr>
            </w:pPr>
            <w:r>
              <w:rPr>
                <w:color w:val="FF0000"/>
                <w:sz w:val="18"/>
                <w:szCs w:val="18"/>
              </w:rPr>
              <w:t>/</w:t>
            </w:r>
          </w:p>
        </w:tc>
        <w:tc>
          <w:tcPr>
            <w:tcW w:w="1418" w:type="dxa"/>
            <w:vAlign w:val="center"/>
          </w:tcPr>
          <w:p>
            <w:pPr>
              <w:pStyle w:val="41"/>
              <w:spacing w:line="240" w:lineRule="auto"/>
              <w:rPr>
                <w:color w:val="FF0000"/>
                <w:sz w:val="18"/>
                <w:szCs w:val="18"/>
              </w:rPr>
            </w:pPr>
            <w:r>
              <w:rPr>
                <w:color w:val="FF0000"/>
                <w:sz w:val="18"/>
                <w:szCs w:val="18"/>
              </w:rPr>
              <w:t>合金结构钢、优质碳素钢</w:t>
            </w:r>
          </w:p>
        </w:tc>
        <w:tc>
          <w:tcPr>
            <w:tcW w:w="1984" w:type="dxa"/>
            <w:vAlign w:val="center"/>
          </w:tcPr>
          <w:p>
            <w:pPr>
              <w:pStyle w:val="41"/>
              <w:spacing w:line="240" w:lineRule="auto"/>
              <w:rPr>
                <w:color w:val="FF0000"/>
                <w:sz w:val="18"/>
                <w:szCs w:val="18"/>
              </w:rPr>
            </w:pPr>
            <w:r>
              <w:rPr>
                <w:color w:val="FF0000"/>
                <w:sz w:val="18"/>
                <w:szCs w:val="18"/>
              </w:rPr>
              <w:t>/</w:t>
            </w:r>
          </w:p>
        </w:tc>
        <w:tc>
          <w:tcPr>
            <w:tcW w:w="993" w:type="dxa"/>
            <w:vAlign w:val="center"/>
          </w:tcPr>
          <w:p>
            <w:pPr>
              <w:pStyle w:val="41"/>
              <w:spacing w:line="240" w:lineRule="auto"/>
              <w:rPr>
                <w:color w:val="FF0000"/>
                <w:sz w:val="18"/>
                <w:szCs w:val="18"/>
              </w:rPr>
            </w:pPr>
            <w:r>
              <w:rPr>
                <w:color w:val="FF0000"/>
                <w:sz w:val="18"/>
                <w:szCs w:val="18"/>
              </w:rPr>
              <w:t>0</w:t>
            </w:r>
          </w:p>
        </w:tc>
        <w:tc>
          <w:tcPr>
            <w:tcW w:w="1061" w:type="dxa"/>
            <w:vAlign w:val="center"/>
          </w:tcPr>
          <w:p>
            <w:pPr>
              <w:pStyle w:val="41"/>
              <w:spacing w:line="240" w:lineRule="auto"/>
              <w:rPr>
                <w:color w:val="FF0000"/>
                <w:sz w:val="18"/>
                <w:szCs w:val="18"/>
              </w:rPr>
            </w:pPr>
            <w:r>
              <w:rPr>
                <w:color w:val="FF0000"/>
                <w:sz w:val="18"/>
                <w:szCs w:val="18"/>
              </w:rPr>
              <w:t>0</w:t>
            </w:r>
          </w:p>
        </w:tc>
        <w:tc>
          <w:tcPr>
            <w:tcW w:w="965" w:type="dxa"/>
            <w:vAlign w:val="center"/>
          </w:tcPr>
          <w:p>
            <w:pPr>
              <w:pStyle w:val="41"/>
              <w:spacing w:line="240" w:lineRule="auto"/>
              <w:rPr>
                <w:color w:val="FF0000"/>
                <w:sz w:val="18"/>
                <w:szCs w:val="18"/>
              </w:rPr>
            </w:pPr>
            <w:r>
              <w:rPr>
                <w:color w:val="FF0000"/>
                <w:sz w:val="18"/>
                <w:szCs w:val="18"/>
              </w:rPr>
              <w:t>后评价阶段未生产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Align w:val="center"/>
          </w:tcPr>
          <w:p>
            <w:pPr>
              <w:pStyle w:val="41"/>
              <w:spacing w:line="240" w:lineRule="auto"/>
              <w:rPr>
                <w:color w:val="FF0000"/>
                <w:sz w:val="18"/>
                <w:szCs w:val="18"/>
              </w:rPr>
            </w:pPr>
            <w:r>
              <w:rPr>
                <w:color w:val="FF0000"/>
                <w:sz w:val="18"/>
                <w:szCs w:val="18"/>
              </w:rPr>
              <w:t>5</w:t>
            </w:r>
          </w:p>
        </w:tc>
        <w:tc>
          <w:tcPr>
            <w:tcW w:w="587" w:type="dxa"/>
            <w:vAlign w:val="center"/>
          </w:tcPr>
          <w:p>
            <w:pPr>
              <w:pStyle w:val="41"/>
              <w:spacing w:line="240" w:lineRule="auto"/>
              <w:rPr>
                <w:color w:val="FF0000"/>
                <w:sz w:val="18"/>
                <w:szCs w:val="18"/>
              </w:rPr>
            </w:pPr>
            <w:r>
              <w:rPr>
                <w:color w:val="FF0000"/>
                <w:sz w:val="18"/>
                <w:szCs w:val="18"/>
              </w:rPr>
              <w:t>银亮材</w:t>
            </w:r>
          </w:p>
        </w:tc>
        <w:tc>
          <w:tcPr>
            <w:tcW w:w="740" w:type="dxa"/>
            <w:vAlign w:val="center"/>
          </w:tcPr>
          <w:p>
            <w:pPr>
              <w:pStyle w:val="41"/>
              <w:spacing w:line="240" w:lineRule="auto"/>
              <w:rPr>
                <w:color w:val="FF0000"/>
                <w:sz w:val="18"/>
                <w:szCs w:val="18"/>
              </w:rPr>
            </w:pPr>
            <w:r>
              <w:rPr>
                <w:color w:val="FF0000"/>
                <w:sz w:val="18"/>
                <w:szCs w:val="18"/>
              </w:rPr>
              <w:t>高精度、高质量棒材银亮材</w:t>
            </w:r>
          </w:p>
        </w:tc>
        <w:tc>
          <w:tcPr>
            <w:tcW w:w="966" w:type="dxa"/>
            <w:vAlign w:val="center"/>
          </w:tcPr>
          <w:p>
            <w:pPr>
              <w:pStyle w:val="41"/>
              <w:spacing w:line="240" w:lineRule="auto"/>
              <w:rPr>
                <w:color w:val="FF0000"/>
                <w:sz w:val="18"/>
                <w:szCs w:val="18"/>
              </w:rPr>
            </w:pPr>
            <w:r>
              <w:rPr>
                <w:color w:val="FF0000"/>
                <w:sz w:val="18"/>
                <w:szCs w:val="18"/>
              </w:rPr>
              <w:sym w:font="Symbol" w:char="F0C6"/>
            </w:r>
            <w:r>
              <w:rPr>
                <w:color w:val="FF0000"/>
                <w:sz w:val="18"/>
                <w:szCs w:val="18"/>
              </w:rPr>
              <w:t>5~180</w:t>
            </w:r>
          </w:p>
        </w:tc>
        <w:tc>
          <w:tcPr>
            <w:tcW w:w="1418" w:type="dxa"/>
            <w:vAlign w:val="center"/>
          </w:tcPr>
          <w:p>
            <w:pPr>
              <w:pStyle w:val="41"/>
              <w:spacing w:line="240" w:lineRule="auto"/>
              <w:rPr>
                <w:color w:val="FF0000"/>
                <w:sz w:val="18"/>
                <w:szCs w:val="18"/>
              </w:rPr>
            </w:pPr>
            <w:r>
              <w:rPr>
                <w:color w:val="FF0000"/>
                <w:sz w:val="18"/>
                <w:szCs w:val="18"/>
              </w:rPr>
              <w:t>碳素结构钢、合金结构钢、轴承钢、弹簧钢</w:t>
            </w:r>
          </w:p>
        </w:tc>
        <w:tc>
          <w:tcPr>
            <w:tcW w:w="1984" w:type="dxa"/>
            <w:vAlign w:val="center"/>
          </w:tcPr>
          <w:p>
            <w:pPr>
              <w:pStyle w:val="41"/>
              <w:spacing w:line="240" w:lineRule="auto"/>
              <w:rPr>
                <w:color w:val="FF0000"/>
                <w:sz w:val="18"/>
                <w:szCs w:val="18"/>
              </w:rPr>
            </w:pPr>
            <w:r>
              <w:rPr>
                <w:color w:val="FF0000"/>
                <w:sz w:val="18"/>
                <w:szCs w:val="18"/>
              </w:rPr>
              <w:t>Y40Mn、30Mn2SiV、35CrMo、42CrMo、 YF40MnV、D410、9SMn28</w:t>
            </w:r>
          </w:p>
        </w:tc>
        <w:tc>
          <w:tcPr>
            <w:tcW w:w="993" w:type="dxa"/>
            <w:vAlign w:val="center"/>
          </w:tcPr>
          <w:p>
            <w:pPr>
              <w:pStyle w:val="41"/>
              <w:spacing w:line="240" w:lineRule="auto"/>
              <w:rPr>
                <w:color w:val="FF0000"/>
                <w:sz w:val="18"/>
                <w:szCs w:val="18"/>
              </w:rPr>
            </w:pPr>
            <w:r>
              <w:rPr>
                <w:color w:val="FF0000"/>
                <w:sz w:val="18"/>
                <w:szCs w:val="18"/>
              </w:rPr>
              <w:t>0</w:t>
            </w:r>
          </w:p>
        </w:tc>
        <w:tc>
          <w:tcPr>
            <w:tcW w:w="1061" w:type="dxa"/>
            <w:vAlign w:val="center"/>
          </w:tcPr>
          <w:p>
            <w:pPr>
              <w:pStyle w:val="41"/>
              <w:spacing w:line="240" w:lineRule="auto"/>
              <w:rPr>
                <w:color w:val="FF0000"/>
                <w:sz w:val="18"/>
                <w:szCs w:val="18"/>
              </w:rPr>
            </w:pPr>
            <w:r>
              <w:rPr>
                <w:color w:val="FF0000"/>
                <w:sz w:val="18"/>
                <w:szCs w:val="18"/>
              </w:rPr>
              <w:t>0</w:t>
            </w:r>
          </w:p>
        </w:tc>
        <w:tc>
          <w:tcPr>
            <w:tcW w:w="965" w:type="dxa"/>
            <w:vAlign w:val="center"/>
          </w:tcPr>
          <w:p>
            <w:pPr>
              <w:pStyle w:val="41"/>
              <w:spacing w:line="240" w:lineRule="auto"/>
              <w:rPr>
                <w:color w:val="FF0000"/>
                <w:sz w:val="18"/>
                <w:szCs w:val="18"/>
              </w:rPr>
            </w:pPr>
            <w:r>
              <w:rPr>
                <w:color w:val="FF0000"/>
                <w:sz w:val="18"/>
                <w:szCs w:val="18"/>
              </w:rPr>
              <w:t>后评价阶段未生产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Align w:val="center"/>
          </w:tcPr>
          <w:p>
            <w:pPr>
              <w:pStyle w:val="41"/>
              <w:spacing w:line="240" w:lineRule="auto"/>
              <w:rPr>
                <w:color w:val="FF0000"/>
                <w:sz w:val="18"/>
                <w:szCs w:val="18"/>
              </w:rPr>
            </w:pPr>
            <w:r>
              <w:rPr>
                <w:color w:val="FF0000"/>
                <w:sz w:val="18"/>
                <w:szCs w:val="18"/>
              </w:rPr>
              <w:t>6</w:t>
            </w:r>
          </w:p>
        </w:tc>
        <w:tc>
          <w:tcPr>
            <w:tcW w:w="587" w:type="dxa"/>
            <w:vAlign w:val="center"/>
          </w:tcPr>
          <w:p>
            <w:pPr>
              <w:pStyle w:val="41"/>
              <w:spacing w:line="240" w:lineRule="auto"/>
              <w:rPr>
                <w:color w:val="FF0000"/>
                <w:sz w:val="18"/>
                <w:szCs w:val="18"/>
              </w:rPr>
            </w:pPr>
            <w:r>
              <w:rPr>
                <w:color w:val="FF0000"/>
                <w:sz w:val="18"/>
                <w:szCs w:val="18"/>
              </w:rPr>
              <w:t>管坯</w:t>
            </w:r>
          </w:p>
        </w:tc>
        <w:tc>
          <w:tcPr>
            <w:tcW w:w="740" w:type="dxa"/>
            <w:vAlign w:val="center"/>
          </w:tcPr>
          <w:p>
            <w:pPr>
              <w:pStyle w:val="41"/>
              <w:spacing w:line="240" w:lineRule="auto"/>
              <w:rPr>
                <w:color w:val="FF0000"/>
                <w:sz w:val="18"/>
                <w:szCs w:val="18"/>
              </w:rPr>
            </w:pPr>
            <w:r>
              <w:rPr>
                <w:color w:val="FF0000"/>
                <w:sz w:val="18"/>
                <w:szCs w:val="18"/>
              </w:rPr>
              <w:t>大圆管坯</w:t>
            </w:r>
          </w:p>
        </w:tc>
        <w:tc>
          <w:tcPr>
            <w:tcW w:w="966" w:type="dxa"/>
            <w:vAlign w:val="center"/>
          </w:tcPr>
          <w:p>
            <w:pPr>
              <w:pStyle w:val="41"/>
              <w:spacing w:line="240" w:lineRule="auto"/>
              <w:rPr>
                <w:color w:val="FF0000"/>
                <w:sz w:val="18"/>
                <w:szCs w:val="18"/>
              </w:rPr>
            </w:pPr>
            <w:r>
              <w:rPr>
                <w:color w:val="FF0000"/>
                <w:sz w:val="18"/>
                <w:szCs w:val="18"/>
              </w:rPr>
              <w:t>/</w:t>
            </w:r>
          </w:p>
        </w:tc>
        <w:tc>
          <w:tcPr>
            <w:tcW w:w="1418" w:type="dxa"/>
            <w:vAlign w:val="center"/>
          </w:tcPr>
          <w:p>
            <w:pPr>
              <w:pStyle w:val="41"/>
              <w:spacing w:line="240" w:lineRule="auto"/>
              <w:rPr>
                <w:color w:val="FF0000"/>
                <w:sz w:val="18"/>
                <w:szCs w:val="18"/>
              </w:rPr>
            </w:pPr>
            <w:r>
              <w:rPr>
                <w:color w:val="FF0000"/>
                <w:sz w:val="18"/>
                <w:szCs w:val="18"/>
              </w:rPr>
              <w:t>/</w:t>
            </w:r>
          </w:p>
        </w:tc>
        <w:tc>
          <w:tcPr>
            <w:tcW w:w="1984" w:type="dxa"/>
            <w:vAlign w:val="center"/>
          </w:tcPr>
          <w:p>
            <w:pPr>
              <w:pStyle w:val="41"/>
              <w:spacing w:line="240" w:lineRule="auto"/>
              <w:rPr>
                <w:color w:val="FF0000"/>
                <w:sz w:val="18"/>
                <w:szCs w:val="18"/>
              </w:rPr>
            </w:pPr>
            <w:r>
              <w:rPr>
                <w:color w:val="FF0000"/>
                <w:sz w:val="18"/>
                <w:szCs w:val="18"/>
              </w:rPr>
              <w:t>/</w:t>
            </w:r>
          </w:p>
        </w:tc>
        <w:tc>
          <w:tcPr>
            <w:tcW w:w="993" w:type="dxa"/>
            <w:vAlign w:val="center"/>
          </w:tcPr>
          <w:p>
            <w:pPr>
              <w:pStyle w:val="41"/>
              <w:spacing w:line="240" w:lineRule="auto"/>
              <w:rPr>
                <w:color w:val="FF0000"/>
                <w:sz w:val="18"/>
                <w:szCs w:val="18"/>
              </w:rPr>
            </w:pPr>
            <w:r>
              <w:rPr>
                <w:color w:val="FF0000"/>
                <w:sz w:val="18"/>
                <w:szCs w:val="18"/>
              </w:rPr>
              <w:t>0</w:t>
            </w:r>
          </w:p>
        </w:tc>
        <w:tc>
          <w:tcPr>
            <w:tcW w:w="1061" w:type="dxa"/>
            <w:vAlign w:val="center"/>
          </w:tcPr>
          <w:p>
            <w:pPr>
              <w:pStyle w:val="41"/>
              <w:spacing w:line="240" w:lineRule="auto"/>
              <w:rPr>
                <w:color w:val="FF0000"/>
                <w:sz w:val="18"/>
                <w:szCs w:val="18"/>
              </w:rPr>
            </w:pPr>
            <w:r>
              <w:rPr>
                <w:color w:val="FF0000"/>
                <w:sz w:val="18"/>
                <w:szCs w:val="18"/>
              </w:rPr>
              <w:t>0</w:t>
            </w:r>
          </w:p>
        </w:tc>
        <w:tc>
          <w:tcPr>
            <w:tcW w:w="965" w:type="dxa"/>
            <w:vAlign w:val="center"/>
          </w:tcPr>
          <w:p>
            <w:pPr>
              <w:pStyle w:val="41"/>
              <w:spacing w:line="240" w:lineRule="auto"/>
              <w:rPr>
                <w:color w:val="FF0000"/>
                <w:sz w:val="18"/>
                <w:szCs w:val="18"/>
              </w:rPr>
            </w:pPr>
            <w:r>
              <w:rPr>
                <w:color w:val="FF0000"/>
                <w:sz w:val="18"/>
                <w:szCs w:val="18"/>
              </w:rPr>
              <w:t>后评价阶段未生产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6053" w:type="dxa"/>
            <w:gridSpan w:val="6"/>
            <w:vAlign w:val="center"/>
          </w:tcPr>
          <w:p>
            <w:pPr>
              <w:pStyle w:val="41"/>
              <w:spacing w:line="240" w:lineRule="auto"/>
              <w:rPr>
                <w:b/>
                <w:color w:val="FF0000"/>
                <w:sz w:val="18"/>
                <w:szCs w:val="18"/>
              </w:rPr>
            </w:pPr>
            <w:r>
              <w:rPr>
                <w:b/>
                <w:color w:val="FF0000"/>
                <w:sz w:val="18"/>
                <w:szCs w:val="18"/>
              </w:rPr>
              <w:t>棒材</w:t>
            </w:r>
          </w:p>
        </w:tc>
        <w:tc>
          <w:tcPr>
            <w:tcW w:w="993" w:type="dxa"/>
            <w:vAlign w:val="center"/>
          </w:tcPr>
          <w:p>
            <w:pPr>
              <w:pStyle w:val="41"/>
              <w:spacing w:line="240" w:lineRule="auto"/>
              <w:rPr>
                <w:b/>
                <w:color w:val="FF0000"/>
                <w:sz w:val="18"/>
                <w:szCs w:val="18"/>
              </w:rPr>
            </w:pPr>
            <w:r>
              <w:rPr>
                <w:b/>
                <w:color w:val="FF0000"/>
                <w:sz w:val="18"/>
                <w:szCs w:val="18"/>
              </w:rPr>
              <w:t>58.75</w:t>
            </w:r>
          </w:p>
        </w:tc>
        <w:tc>
          <w:tcPr>
            <w:tcW w:w="1061" w:type="dxa"/>
            <w:vAlign w:val="center"/>
          </w:tcPr>
          <w:p>
            <w:pPr>
              <w:pStyle w:val="41"/>
              <w:spacing w:line="240" w:lineRule="auto"/>
              <w:rPr>
                <w:b/>
                <w:color w:val="FF0000"/>
                <w:sz w:val="18"/>
                <w:szCs w:val="18"/>
              </w:rPr>
            </w:pPr>
            <w:r>
              <w:rPr>
                <w:b/>
                <w:color w:val="FF0000"/>
                <w:sz w:val="18"/>
                <w:szCs w:val="18"/>
              </w:rPr>
              <w:t>70.08</w:t>
            </w:r>
          </w:p>
        </w:tc>
        <w:tc>
          <w:tcPr>
            <w:tcW w:w="965" w:type="dxa"/>
            <w:vAlign w:val="center"/>
          </w:tcPr>
          <w:p>
            <w:pPr>
              <w:pStyle w:val="41"/>
              <w:spacing w:line="240" w:lineRule="auto"/>
              <w:rPr>
                <w:b/>
                <w:color w:val="FF0000"/>
                <w:sz w:val="18"/>
                <w:szCs w:val="18"/>
              </w:rPr>
            </w:pPr>
            <w:r>
              <w:rPr>
                <w:b/>
                <w:color w:val="FF0000"/>
                <w:sz w:val="18"/>
                <w:szCs w:val="18"/>
              </w:rPr>
              <w:t>均在年产90万t棒材生产能力范围内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Merge w:val="restart"/>
            <w:vAlign w:val="center"/>
          </w:tcPr>
          <w:p>
            <w:pPr>
              <w:pStyle w:val="41"/>
              <w:spacing w:line="240" w:lineRule="auto"/>
              <w:rPr>
                <w:color w:val="FF0000"/>
                <w:sz w:val="18"/>
                <w:szCs w:val="18"/>
              </w:rPr>
            </w:pPr>
            <w:r>
              <w:rPr>
                <w:color w:val="FF0000"/>
                <w:sz w:val="18"/>
                <w:szCs w:val="18"/>
              </w:rPr>
              <w:t>7</w:t>
            </w:r>
          </w:p>
        </w:tc>
        <w:tc>
          <w:tcPr>
            <w:tcW w:w="587" w:type="dxa"/>
            <w:vMerge w:val="restart"/>
            <w:vAlign w:val="center"/>
          </w:tcPr>
          <w:p>
            <w:pPr>
              <w:pStyle w:val="41"/>
              <w:spacing w:line="240" w:lineRule="auto"/>
              <w:rPr>
                <w:color w:val="FF0000"/>
                <w:sz w:val="18"/>
                <w:szCs w:val="18"/>
              </w:rPr>
            </w:pPr>
            <w:r>
              <w:rPr>
                <w:color w:val="FF0000"/>
                <w:sz w:val="18"/>
                <w:szCs w:val="18"/>
              </w:rPr>
              <w:t>线材</w:t>
            </w:r>
          </w:p>
        </w:tc>
        <w:tc>
          <w:tcPr>
            <w:tcW w:w="740" w:type="dxa"/>
            <w:vAlign w:val="center"/>
          </w:tcPr>
          <w:p>
            <w:pPr>
              <w:pStyle w:val="41"/>
              <w:spacing w:line="240" w:lineRule="auto"/>
              <w:rPr>
                <w:color w:val="FF0000"/>
                <w:sz w:val="18"/>
                <w:szCs w:val="18"/>
              </w:rPr>
            </w:pPr>
            <w:r>
              <w:rPr>
                <w:color w:val="FF0000"/>
                <w:sz w:val="18"/>
                <w:szCs w:val="18"/>
              </w:rPr>
              <w:t>普通光面高速线材</w:t>
            </w:r>
          </w:p>
        </w:tc>
        <w:tc>
          <w:tcPr>
            <w:tcW w:w="966" w:type="dxa"/>
            <w:vAlign w:val="center"/>
          </w:tcPr>
          <w:p>
            <w:pPr>
              <w:pStyle w:val="41"/>
              <w:spacing w:line="240" w:lineRule="auto"/>
              <w:rPr>
                <w:color w:val="FF0000"/>
                <w:sz w:val="18"/>
                <w:szCs w:val="18"/>
              </w:rPr>
            </w:pPr>
            <w:r>
              <w:rPr>
                <w:color w:val="FF0000"/>
                <w:sz w:val="18"/>
                <w:szCs w:val="18"/>
              </w:rPr>
              <w:sym w:font="Symbol" w:char="F0C6"/>
            </w:r>
            <w:r>
              <w:rPr>
                <w:color w:val="FF0000"/>
                <w:sz w:val="18"/>
                <w:szCs w:val="18"/>
              </w:rPr>
              <w:t>5.5~20</w:t>
            </w:r>
          </w:p>
        </w:tc>
        <w:tc>
          <w:tcPr>
            <w:tcW w:w="1418" w:type="dxa"/>
            <w:vAlign w:val="center"/>
          </w:tcPr>
          <w:p>
            <w:pPr>
              <w:pStyle w:val="41"/>
              <w:spacing w:line="240" w:lineRule="auto"/>
              <w:rPr>
                <w:color w:val="FF0000"/>
                <w:sz w:val="18"/>
                <w:szCs w:val="18"/>
              </w:rPr>
            </w:pPr>
            <w:r>
              <w:rPr>
                <w:color w:val="FF0000"/>
                <w:sz w:val="18"/>
                <w:szCs w:val="18"/>
              </w:rPr>
              <w:t>低合金钢、碳素结构钢、优质碳结钢、焊条钢等</w:t>
            </w:r>
          </w:p>
        </w:tc>
        <w:tc>
          <w:tcPr>
            <w:tcW w:w="1984" w:type="dxa"/>
            <w:vAlign w:val="center"/>
          </w:tcPr>
          <w:p>
            <w:pPr>
              <w:pStyle w:val="41"/>
              <w:spacing w:line="240" w:lineRule="auto"/>
              <w:rPr>
                <w:color w:val="FF0000"/>
                <w:sz w:val="18"/>
                <w:szCs w:val="18"/>
              </w:rPr>
            </w:pPr>
            <w:r>
              <w:rPr>
                <w:color w:val="FF0000"/>
                <w:sz w:val="18"/>
                <w:szCs w:val="18"/>
              </w:rPr>
              <w:t>20MnSi、Q195、Q215、Q235、45、65、80、WRH72A、SWRH82A、SWRH72A、SWRH82A</w:t>
            </w:r>
          </w:p>
        </w:tc>
        <w:tc>
          <w:tcPr>
            <w:tcW w:w="993" w:type="dxa"/>
            <w:vAlign w:val="center"/>
          </w:tcPr>
          <w:p>
            <w:pPr>
              <w:pStyle w:val="41"/>
              <w:spacing w:line="240" w:lineRule="auto"/>
              <w:rPr>
                <w:color w:val="FF0000"/>
                <w:sz w:val="18"/>
                <w:szCs w:val="18"/>
              </w:rPr>
            </w:pPr>
            <w:r>
              <w:rPr>
                <w:color w:val="FF0000"/>
                <w:sz w:val="18"/>
                <w:szCs w:val="18"/>
              </w:rPr>
              <w:t>39.28</w:t>
            </w:r>
          </w:p>
        </w:tc>
        <w:tc>
          <w:tcPr>
            <w:tcW w:w="1061" w:type="dxa"/>
            <w:vAlign w:val="center"/>
          </w:tcPr>
          <w:p>
            <w:pPr>
              <w:pStyle w:val="41"/>
              <w:spacing w:line="240" w:lineRule="auto"/>
              <w:rPr>
                <w:color w:val="FF0000"/>
                <w:sz w:val="18"/>
                <w:szCs w:val="18"/>
              </w:rPr>
            </w:pPr>
            <w:r>
              <w:rPr>
                <w:color w:val="FF0000"/>
                <w:sz w:val="18"/>
                <w:szCs w:val="18"/>
              </w:rPr>
              <w:t>45.13</w:t>
            </w:r>
          </w:p>
        </w:tc>
        <w:tc>
          <w:tcPr>
            <w:tcW w:w="965" w:type="dxa"/>
            <w:vAlign w:val="center"/>
          </w:tcPr>
          <w:p>
            <w:pPr>
              <w:pStyle w:val="41"/>
              <w:spacing w:line="240" w:lineRule="auto"/>
              <w:rPr>
                <w:color w:val="FF0000"/>
                <w:sz w:val="18"/>
                <w:szCs w:val="18"/>
              </w:rPr>
            </w:pPr>
            <w:r>
              <w:rPr>
                <w:color w:val="FF0000"/>
                <w:sz w:val="18"/>
                <w:szCs w:val="18"/>
              </w:rPr>
              <w:t>后评价阶段产量增大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Merge w:val="continue"/>
            <w:vAlign w:val="center"/>
          </w:tcPr>
          <w:p>
            <w:pPr>
              <w:pStyle w:val="41"/>
              <w:spacing w:line="240" w:lineRule="auto"/>
              <w:rPr>
                <w:color w:val="FF0000"/>
                <w:sz w:val="18"/>
                <w:szCs w:val="18"/>
              </w:rPr>
            </w:pPr>
          </w:p>
        </w:tc>
        <w:tc>
          <w:tcPr>
            <w:tcW w:w="587" w:type="dxa"/>
            <w:vMerge w:val="continue"/>
            <w:vAlign w:val="center"/>
          </w:tcPr>
          <w:p>
            <w:pPr>
              <w:pStyle w:val="41"/>
              <w:spacing w:line="240" w:lineRule="auto"/>
              <w:rPr>
                <w:color w:val="FF0000"/>
                <w:sz w:val="18"/>
                <w:szCs w:val="18"/>
              </w:rPr>
            </w:pPr>
          </w:p>
        </w:tc>
        <w:tc>
          <w:tcPr>
            <w:tcW w:w="740" w:type="dxa"/>
            <w:vAlign w:val="center"/>
          </w:tcPr>
          <w:p>
            <w:pPr>
              <w:pStyle w:val="41"/>
              <w:spacing w:line="240" w:lineRule="auto"/>
              <w:rPr>
                <w:color w:val="FF0000"/>
                <w:sz w:val="18"/>
                <w:szCs w:val="18"/>
              </w:rPr>
            </w:pPr>
            <w:r>
              <w:rPr>
                <w:color w:val="FF0000"/>
                <w:sz w:val="18"/>
                <w:szCs w:val="18"/>
              </w:rPr>
              <w:t>精品光面高速线材</w:t>
            </w:r>
          </w:p>
        </w:tc>
        <w:tc>
          <w:tcPr>
            <w:tcW w:w="966" w:type="dxa"/>
            <w:vAlign w:val="center"/>
          </w:tcPr>
          <w:p>
            <w:pPr>
              <w:pStyle w:val="41"/>
              <w:spacing w:line="240" w:lineRule="auto"/>
              <w:rPr>
                <w:color w:val="FF0000"/>
                <w:sz w:val="18"/>
                <w:szCs w:val="18"/>
              </w:rPr>
            </w:pPr>
            <w:r>
              <w:rPr>
                <w:color w:val="FF0000"/>
                <w:sz w:val="18"/>
                <w:szCs w:val="18"/>
              </w:rPr>
              <w:sym w:font="Symbol" w:char="F0C6"/>
            </w:r>
            <w:r>
              <w:rPr>
                <w:color w:val="FF0000"/>
                <w:sz w:val="18"/>
                <w:szCs w:val="18"/>
              </w:rPr>
              <w:t>5~22</w:t>
            </w:r>
          </w:p>
        </w:tc>
        <w:tc>
          <w:tcPr>
            <w:tcW w:w="1418" w:type="dxa"/>
            <w:vAlign w:val="center"/>
          </w:tcPr>
          <w:p>
            <w:pPr>
              <w:pStyle w:val="41"/>
              <w:spacing w:line="240" w:lineRule="auto"/>
              <w:rPr>
                <w:color w:val="FF0000"/>
                <w:sz w:val="18"/>
                <w:szCs w:val="18"/>
              </w:rPr>
            </w:pPr>
            <w:r>
              <w:rPr>
                <w:color w:val="FF0000"/>
                <w:sz w:val="18"/>
                <w:szCs w:val="18"/>
              </w:rPr>
              <w:t>优质碳结钢、碳素结构钢、焊条钢、冷镦钢、易切削钢、弹簧钢、轴承钢等</w:t>
            </w:r>
          </w:p>
        </w:tc>
        <w:tc>
          <w:tcPr>
            <w:tcW w:w="1984" w:type="dxa"/>
            <w:vAlign w:val="center"/>
          </w:tcPr>
          <w:p>
            <w:pPr>
              <w:pStyle w:val="41"/>
              <w:spacing w:line="240" w:lineRule="auto"/>
              <w:rPr>
                <w:color w:val="FF0000"/>
                <w:sz w:val="18"/>
                <w:szCs w:val="18"/>
              </w:rPr>
            </w:pPr>
            <w:r>
              <w:rPr>
                <w:color w:val="FF0000"/>
                <w:sz w:val="18"/>
                <w:szCs w:val="18"/>
              </w:rPr>
              <w:t>Q195、Q215、Q235</w:t>
            </w:r>
          </w:p>
        </w:tc>
        <w:tc>
          <w:tcPr>
            <w:tcW w:w="993" w:type="dxa"/>
            <w:vAlign w:val="center"/>
          </w:tcPr>
          <w:p>
            <w:pPr>
              <w:pStyle w:val="41"/>
              <w:spacing w:line="240" w:lineRule="auto"/>
              <w:rPr>
                <w:color w:val="FF0000"/>
                <w:sz w:val="18"/>
                <w:szCs w:val="18"/>
              </w:rPr>
            </w:pPr>
            <w:r>
              <w:rPr>
                <w:color w:val="FF0000"/>
                <w:sz w:val="18"/>
                <w:szCs w:val="18"/>
              </w:rPr>
              <w:t>39.80</w:t>
            </w:r>
          </w:p>
        </w:tc>
        <w:tc>
          <w:tcPr>
            <w:tcW w:w="1061" w:type="dxa"/>
            <w:vAlign w:val="center"/>
          </w:tcPr>
          <w:p>
            <w:pPr>
              <w:pStyle w:val="41"/>
              <w:spacing w:line="240" w:lineRule="auto"/>
              <w:rPr>
                <w:color w:val="FF0000"/>
                <w:sz w:val="18"/>
                <w:szCs w:val="18"/>
              </w:rPr>
            </w:pPr>
            <w:r>
              <w:rPr>
                <w:color w:val="FF0000"/>
                <w:sz w:val="18"/>
                <w:szCs w:val="18"/>
              </w:rPr>
              <w:t>44.81</w:t>
            </w:r>
          </w:p>
        </w:tc>
        <w:tc>
          <w:tcPr>
            <w:tcW w:w="965" w:type="dxa"/>
            <w:vAlign w:val="center"/>
          </w:tcPr>
          <w:p>
            <w:pPr>
              <w:pStyle w:val="41"/>
              <w:spacing w:line="240" w:lineRule="auto"/>
              <w:rPr>
                <w:color w:val="FF0000"/>
                <w:sz w:val="18"/>
                <w:szCs w:val="18"/>
              </w:rPr>
            </w:pPr>
            <w:r>
              <w:rPr>
                <w:color w:val="FF0000"/>
                <w:sz w:val="18"/>
                <w:szCs w:val="18"/>
              </w:rPr>
              <w:t>后评价阶段产量增大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6053" w:type="dxa"/>
            <w:gridSpan w:val="6"/>
            <w:vAlign w:val="center"/>
          </w:tcPr>
          <w:p>
            <w:pPr>
              <w:pStyle w:val="41"/>
              <w:spacing w:line="240" w:lineRule="auto"/>
              <w:rPr>
                <w:b/>
                <w:color w:val="FF0000"/>
                <w:sz w:val="18"/>
                <w:szCs w:val="18"/>
              </w:rPr>
            </w:pPr>
            <w:r>
              <w:rPr>
                <w:b/>
                <w:color w:val="FF0000"/>
                <w:sz w:val="18"/>
                <w:szCs w:val="18"/>
              </w:rPr>
              <w:t>线材</w:t>
            </w:r>
          </w:p>
        </w:tc>
        <w:tc>
          <w:tcPr>
            <w:tcW w:w="993" w:type="dxa"/>
            <w:vAlign w:val="center"/>
          </w:tcPr>
          <w:p>
            <w:pPr>
              <w:pStyle w:val="41"/>
              <w:spacing w:line="240" w:lineRule="auto"/>
              <w:rPr>
                <w:b/>
                <w:color w:val="FF0000"/>
                <w:sz w:val="18"/>
                <w:szCs w:val="18"/>
              </w:rPr>
            </w:pPr>
            <w:r>
              <w:rPr>
                <w:b/>
                <w:color w:val="FF0000"/>
                <w:sz w:val="18"/>
                <w:szCs w:val="18"/>
              </w:rPr>
              <w:t>79.08</w:t>
            </w:r>
          </w:p>
        </w:tc>
        <w:tc>
          <w:tcPr>
            <w:tcW w:w="1061" w:type="dxa"/>
            <w:vAlign w:val="center"/>
          </w:tcPr>
          <w:p>
            <w:pPr>
              <w:pStyle w:val="41"/>
              <w:spacing w:line="240" w:lineRule="auto"/>
              <w:rPr>
                <w:b/>
                <w:color w:val="FF0000"/>
                <w:sz w:val="18"/>
                <w:szCs w:val="18"/>
              </w:rPr>
            </w:pPr>
            <w:r>
              <w:rPr>
                <w:b/>
                <w:color w:val="FF0000"/>
                <w:sz w:val="18"/>
                <w:szCs w:val="18"/>
              </w:rPr>
              <w:t>89.94</w:t>
            </w:r>
          </w:p>
        </w:tc>
        <w:tc>
          <w:tcPr>
            <w:tcW w:w="965" w:type="dxa"/>
            <w:vAlign w:val="center"/>
          </w:tcPr>
          <w:p>
            <w:pPr>
              <w:pStyle w:val="41"/>
              <w:spacing w:line="240" w:lineRule="auto"/>
              <w:rPr>
                <w:b/>
                <w:color w:val="FF0000"/>
                <w:sz w:val="18"/>
                <w:szCs w:val="18"/>
              </w:rPr>
            </w:pPr>
            <w:r>
              <w:rPr>
                <w:b/>
                <w:color w:val="FF0000"/>
                <w:sz w:val="18"/>
                <w:szCs w:val="18"/>
              </w:rPr>
              <w:t>后评价阶段突破年产80万t的线材生产能力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358" w:type="dxa"/>
            <w:vAlign w:val="center"/>
          </w:tcPr>
          <w:p>
            <w:pPr>
              <w:pStyle w:val="41"/>
              <w:spacing w:line="240" w:lineRule="auto"/>
              <w:rPr>
                <w:color w:val="FF0000"/>
                <w:sz w:val="18"/>
                <w:szCs w:val="18"/>
              </w:rPr>
            </w:pPr>
            <w:r>
              <w:rPr>
                <w:color w:val="FF0000"/>
                <w:sz w:val="18"/>
                <w:szCs w:val="18"/>
              </w:rPr>
              <w:t>8</w:t>
            </w:r>
          </w:p>
        </w:tc>
        <w:tc>
          <w:tcPr>
            <w:tcW w:w="587" w:type="dxa"/>
            <w:vAlign w:val="center"/>
          </w:tcPr>
          <w:p>
            <w:pPr>
              <w:pStyle w:val="41"/>
              <w:spacing w:line="240" w:lineRule="auto"/>
              <w:rPr>
                <w:color w:val="FF0000"/>
                <w:sz w:val="18"/>
                <w:szCs w:val="18"/>
              </w:rPr>
            </w:pPr>
            <w:r>
              <w:rPr>
                <w:color w:val="FF0000"/>
                <w:sz w:val="18"/>
                <w:szCs w:val="18"/>
              </w:rPr>
              <w:t>球墨铸铁</w:t>
            </w:r>
          </w:p>
        </w:tc>
        <w:tc>
          <w:tcPr>
            <w:tcW w:w="740" w:type="dxa"/>
            <w:vAlign w:val="center"/>
          </w:tcPr>
          <w:p>
            <w:pPr>
              <w:pStyle w:val="41"/>
              <w:spacing w:line="240" w:lineRule="auto"/>
              <w:rPr>
                <w:color w:val="FF0000"/>
                <w:sz w:val="18"/>
                <w:szCs w:val="18"/>
              </w:rPr>
            </w:pPr>
            <w:r>
              <w:rPr>
                <w:color w:val="FF0000"/>
                <w:sz w:val="18"/>
                <w:szCs w:val="18"/>
              </w:rPr>
              <w:t>球墨铸铁管道</w:t>
            </w:r>
          </w:p>
        </w:tc>
        <w:tc>
          <w:tcPr>
            <w:tcW w:w="966" w:type="dxa"/>
            <w:vAlign w:val="center"/>
          </w:tcPr>
          <w:p>
            <w:pPr>
              <w:pStyle w:val="41"/>
              <w:spacing w:line="240" w:lineRule="auto"/>
              <w:rPr>
                <w:color w:val="FF0000"/>
                <w:sz w:val="18"/>
                <w:szCs w:val="18"/>
              </w:rPr>
            </w:pPr>
            <w:r>
              <w:rPr>
                <w:color w:val="FF0000"/>
                <w:sz w:val="18"/>
                <w:szCs w:val="18"/>
              </w:rPr>
              <w:t>DN80~2600</w:t>
            </w:r>
          </w:p>
        </w:tc>
        <w:tc>
          <w:tcPr>
            <w:tcW w:w="1418" w:type="dxa"/>
            <w:vAlign w:val="center"/>
          </w:tcPr>
          <w:p>
            <w:pPr>
              <w:pStyle w:val="41"/>
              <w:spacing w:line="240" w:lineRule="auto"/>
              <w:rPr>
                <w:color w:val="FF0000"/>
                <w:sz w:val="18"/>
                <w:szCs w:val="18"/>
              </w:rPr>
            </w:pPr>
            <w:r>
              <w:rPr>
                <w:color w:val="FF0000"/>
                <w:sz w:val="18"/>
                <w:szCs w:val="18"/>
              </w:rPr>
              <w:t>/</w:t>
            </w:r>
          </w:p>
        </w:tc>
        <w:tc>
          <w:tcPr>
            <w:tcW w:w="1984" w:type="dxa"/>
            <w:vAlign w:val="center"/>
          </w:tcPr>
          <w:p>
            <w:pPr>
              <w:pStyle w:val="41"/>
              <w:spacing w:line="240" w:lineRule="auto"/>
              <w:rPr>
                <w:color w:val="FF0000"/>
                <w:sz w:val="18"/>
                <w:szCs w:val="18"/>
              </w:rPr>
            </w:pPr>
            <w:r>
              <w:rPr>
                <w:color w:val="FF0000"/>
                <w:sz w:val="18"/>
                <w:szCs w:val="18"/>
              </w:rPr>
              <w:t>/</w:t>
            </w:r>
          </w:p>
        </w:tc>
        <w:tc>
          <w:tcPr>
            <w:tcW w:w="993" w:type="dxa"/>
            <w:vAlign w:val="center"/>
          </w:tcPr>
          <w:p>
            <w:pPr>
              <w:pStyle w:val="41"/>
              <w:spacing w:line="240" w:lineRule="auto"/>
              <w:rPr>
                <w:color w:val="FF0000"/>
                <w:sz w:val="18"/>
                <w:szCs w:val="18"/>
              </w:rPr>
            </w:pPr>
            <w:r>
              <w:rPr>
                <w:color w:val="FF0000"/>
                <w:sz w:val="18"/>
                <w:szCs w:val="18"/>
              </w:rPr>
              <w:t>56.40</w:t>
            </w:r>
          </w:p>
        </w:tc>
        <w:tc>
          <w:tcPr>
            <w:tcW w:w="1061" w:type="dxa"/>
            <w:vAlign w:val="center"/>
          </w:tcPr>
          <w:p>
            <w:pPr>
              <w:pStyle w:val="41"/>
              <w:spacing w:line="240" w:lineRule="auto"/>
              <w:rPr>
                <w:color w:val="FF0000"/>
                <w:sz w:val="18"/>
                <w:szCs w:val="18"/>
              </w:rPr>
            </w:pPr>
            <w:r>
              <w:rPr>
                <w:color w:val="FF0000"/>
                <w:sz w:val="18"/>
                <w:szCs w:val="18"/>
              </w:rPr>
              <w:t>65</w:t>
            </w:r>
          </w:p>
        </w:tc>
        <w:tc>
          <w:tcPr>
            <w:tcW w:w="965" w:type="dxa"/>
            <w:vAlign w:val="center"/>
          </w:tcPr>
          <w:p>
            <w:pPr>
              <w:pStyle w:val="41"/>
              <w:spacing w:line="240" w:lineRule="auto"/>
              <w:rPr>
                <w:color w:val="FF0000"/>
                <w:sz w:val="18"/>
                <w:szCs w:val="18"/>
              </w:rPr>
            </w:pPr>
            <w:r>
              <w:rPr>
                <w:color w:val="FF0000"/>
                <w:sz w:val="18"/>
                <w:szCs w:val="18"/>
              </w:rPr>
              <w:t>后评价阶段产量</w:t>
            </w:r>
            <w:r>
              <w:rPr>
                <w:rFonts w:hint="eastAsia"/>
                <w:color w:val="FF0000"/>
                <w:sz w:val="18"/>
                <w:szCs w:val="18"/>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6053" w:type="dxa"/>
            <w:gridSpan w:val="6"/>
            <w:vAlign w:val="center"/>
          </w:tcPr>
          <w:p>
            <w:pPr>
              <w:pStyle w:val="41"/>
              <w:spacing w:line="240" w:lineRule="auto"/>
              <w:rPr>
                <w:b/>
                <w:color w:val="FF0000"/>
                <w:sz w:val="18"/>
                <w:szCs w:val="18"/>
              </w:rPr>
            </w:pPr>
            <w:r>
              <w:rPr>
                <w:b/>
                <w:color w:val="FF0000"/>
                <w:sz w:val="18"/>
                <w:szCs w:val="18"/>
              </w:rPr>
              <w:t>球墨铸铁管</w:t>
            </w:r>
          </w:p>
        </w:tc>
        <w:tc>
          <w:tcPr>
            <w:tcW w:w="993" w:type="dxa"/>
            <w:vAlign w:val="center"/>
          </w:tcPr>
          <w:p>
            <w:pPr>
              <w:pStyle w:val="41"/>
              <w:spacing w:line="240" w:lineRule="auto"/>
              <w:rPr>
                <w:b/>
                <w:color w:val="FF0000"/>
                <w:sz w:val="18"/>
                <w:szCs w:val="18"/>
              </w:rPr>
            </w:pPr>
            <w:r>
              <w:rPr>
                <w:b/>
                <w:color w:val="FF0000"/>
                <w:sz w:val="18"/>
                <w:szCs w:val="18"/>
              </w:rPr>
              <w:t>56.40</w:t>
            </w:r>
          </w:p>
        </w:tc>
        <w:tc>
          <w:tcPr>
            <w:tcW w:w="1061" w:type="dxa"/>
            <w:vAlign w:val="center"/>
          </w:tcPr>
          <w:p>
            <w:pPr>
              <w:pStyle w:val="41"/>
              <w:spacing w:line="240" w:lineRule="auto"/>
              <w:rPr>
                <w:b/>
                <w:color w:val="FF0000"/>
                <w:sz w:val="18"/>
                <w:szCs w:val="18"/>
              </w:rPr>
            </w:pPr>
            <w:r>
              <w:rPr>
                <w:b/>
                <w:color w:val="FF0000"/>
                <w:sz w:val="18"/>
                <w:szCs w:val="18"/>
              </w:rPr>
              <w:t>65</w:t>
            </w:r>
          </w:p>
        </w:tc>
        <w:tc>
          <w:tcPr>
            <w:tcW w:w="965" w:type="dxa"/>
            <w:vAlign w:val="center"/>
          </w:tcPr>
          <w:p>
            <w:pPr>
              <w:pStyle w:val="41"/>
              <w:spacing w:line="240" w:lineRule="auto"/>
              <w:rPr>
                <w:b/>
                <w:color w:val="FF0000"/>
                <w:sz w:val="18"/>
                <w:szCs w:val="18"/>
              </w:rPr>
            </w:pPr>
            <w:r>
              <w:rPr>
                <w:b/>
                <w:color w:val="FF0000"/>
                <w:sz w:val="18"/>
                <w:szCs w:val="18"/>
              </w:rPr>
              <w:t>均在年产80万t球墨铸铁管生产能力范围内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jc w:val="center"/>
        </w:trPr>
        <w:tc>
          <w:tcPr>
            <w:tcW w:w="6053" w:type="dxa"/>
            <w:gridSpan w:val="6"/>
            <w:vAlign w:val="center"/>
          </w:tcPr>
          <w:p>
            <w:pPr>
              <w:pStyle w:val="41"/>
              <w:spacing w:line="240" w:lineRule="auto"/>
              <w:rPr>
                <w:color w:val="FF0000"/>
                <w:sz w:val="18"/>
                <w:szCs w:val="18"/>
              </w:rPr>
            </w:pPr>
            <w:r>
              <w:rPr>
                <w:color w:val="FF0000"/>
                <w:sz w:val="18"/>
                <w:szCs w:val="18"/>
              </w:rPr>
              <w:t>合计</w:t>
            </w:r>
          </w:p>
        </w:tc>
        <w:tc>
          <w:tcPr>
            <w:tcW w:w="993" w:type="dxa"/>
            <w:vAlign w:val="center"/>
          </w:tcPr>
          <w:p>
            <w:pPr>
              <w:pStyle w:val="41"/>
              <w:spacing w:line="240" w:lineRule="auto"/>
              <w:rPr>
                <w:b/>
                <w:color w:val="FF0000"/>
                <w:sz w:val="18"/>
                <w:szCs w:val="18"/>
              </w:rPr>
            </w:pPr>
            <w:r>
              <w:rPr>
                <w:b/>
                <w:color w:val="FF0000"/>
                <w:sz w:val="18"/>
                <w:szCs w:val="18"/>
              </w:rPr>
              <w:t>194.23</w:t>
            </w:r>
          </w:p>
        </w:tc>
        <w:tc>
          <w:tcPr>
            <w:tcW w:w="1061" w:type="dxa"/>
            <w:vAlign w:val="center"/>
          </w:tcPr>
          <w:p>
            <w:pPr>
              <w:pStyle w:val="41"/>
              <w:spacing w:line="240" w:lineRule="auto"/>
              <w:rPr>
                <w:b/>
                <w:color w:val="FF0000"/>
                <w:sz w:val="18"/>
                <w:szCs w:val="18"/>
              </w:rPr>
            </w:pPr>
            <w:r>
              <w:rPr>
                <w:b/>
                <w:color w:val="FF0000"/>
                <w:sz w:val="18"/>
                <w:szCs w:val="18"/>
              </w:rPr>
              <w:t>225.02</w:t>
            </w:r>
          </w:p>
        </w:tc>
        <w:tc>
          <w:tcPr>
            <w:tcW w:w="965" w:type="dxa"/>
            <w:vAlign w:val="center"/>
          </w:tcPr>
          <w:p>
            <w:pPr>
              <w:pStyle w:val="41"/>
              <w:spacing w:line="240" w:lineRule="auto"/>
              <w:rPr>
                <w:color w:val="FF0000"/>
                <w:sz w:val="18"/>
                <w:szCs w:val="18"/>
              </w:rPr>
            </w:pPr>
            <w:r>
              <w:rPr>
                <w:color w:val="FF0000"/>
                <w:sz w:val="18"/>
                <w:szCs w:val="18"/>
              </w:rPr>
              <w:t>/</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由上表可知，</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）产品方案</w:t>
      </w:r>
      <w:r>
        <w:rPr>
          <w:rFonts w:hint="eastAsia" w:ascii="Times New Roman" w:hAnsi="Times New Roman" w:eastAsia="宋体" w:cs="Times New Roman"/>
          <w:color w:val="FF0000"/>
          <w:sz w:val="24"/>
        </w:rPr>
        <w:t>相比</w:t>
      </w:r>
      <w:r>
        <w:rPr>
          <w:rFonts w:ascii="Times New Roman" w:hAnsi="Times New Roman" w:eastAsia="宋体" w:cs="Times New Roman"/>
          <w:color w:val="FF0000"/>
          <w:sz w:val="24"/>
        </w:rPr>
        <w:t>，棒材、球墨铸铁管的产品</w:t>
      </w:r>
      <w:r>
        <w:rPr>
          <w:rFonts w:hint="eastAsia" w:ascii="Times New Roman" w:hAnsi="Times New Roman" w:eastAsia="宋体" w:cs="Times New Roman"/>
          <w:color w:val="FF0000"/>
          <w:sz w:val="24"/>
        </w:rPr>
        <w:t>产量</w:t>
      </w:r>
      <w:r>
        <w:rPr>
          <w:rFonts w:ascii="Times New Roman" w:hAnsi="Times New Roman" w:eastAsia="宋体" w:cs="Times New Roman"/>
          <w:color w:val="FF0000"/>
          <w:sz w:val="24"/>
        </w:rPr>
        <w:t>均发生了变化，但均</w:t>
      </w:r>
      <w:r>
        <w:rPr>
          <w:rFonts w:hint="eastAsia" w:ascii="Times New Roman" w:hAnsi="Times New Roman" w:eastAsia="宋体" w:cs="Times New Roman"/>
          <w:color w:val="FF0000"/>
          <w:sz w:val="24"/>
          <w:lang w:eastAsia="zh-CN"/>
        </w:rPr>
        <w:t>未超出核定的</w:t>
      </w:r>
      <w:r>
        <w:rPr>
          <w:rFonts w:ascii="Times New Roman" w:hAnsi="Times New Roman" w:eastAsia="宋体" w:cs="Times New Roman"/>
          <w:color w:val="FF0000"/>
          <w:sz w:val="24"/>
        </w:rPr>
        <w:t>80万t球墨铸铁管、及90万t棒材</w:t>
      </w:r>
      <w:r>
        <w:rPr>
          <w:rFonts w:hint="eastAsia" w:ascii="Times New Roman" w:hAnsi="Times New Roman" w:eastAsia="宋体" w:cs="Times New Roman"/>
          <w:color w:val="FF0000"/>
          <w:sz w:val="24"/>
          <w:lang w:eastAsia="zh-CN"/>
        </w:rPr>
        <w:t>产能范围</w:t>
      </w:r>
      <w:r>
        <w:rPr>
          <w:rFonts w:hint="eastAsia" w:ascii="Times New Roman" w:hAnsi="Times New Roman" w:eastAsia="宋体" w:cs="Times New Roman"/>
          <w:color w:val="FF0000"/>
          <w:sz w:val="24"/>
        </w:rPr>
        <w:t>；</w:t>
      </w:r>
      <w:r>
        <w:rPr>
          <w:rFonts w:hint="eastAsia" w:ascii="Times New Roman" w:hAnsi="Times New Roman" w:eastAsia="宋体" w:cs="Times New Roman"/>
          <w:color w:val="FF0000"/>
          <w:sz w:val="24"/>
          <w:lang w:eastAsia="zh-CN"/>
        </w:rPr>
        <w:t>由于</w:t>
      </w:r>
      <w:r>
        <w:rPr>
          <w:rFonts w:hint="eastAsia" w:ascii="Times New Roman" w:hAnsi="Times New Roman" w:eastAsia="宋体" w:cs="Times New Roman"/>
          <w:color w:val="FF0000"/>
          <w:sz w:val="24"/>
        </w:rPr>
        <w:t>线材</w:t>
      </w:r>
      <w:r>
        <w:rPr>
          <w:rFonts w:ascii="Times New Roman" w:hAnsi="Times New Roman" w:eastAsia="宋体" w:cs="Times New Roman"/>
          <w:color w:val="FF0000"/>
          <w:sz w:val="24"/>
        </w:rPr>
        <w:t>产品生产线工作时间由</w:t>
      </w:r>
      <w:r>
        <w:rPr>
          <w:rFonts w:hint="eastAsia" w:ascii="Times New Roman" w:hAnsi="Times New Roman" w:eastAsia="宋体" w:cs="Times New Roman"/>
          <w:color w:val="FF0000"/>
          <w:sz w:val="24"/>
          <w:lang w:eastAsia="zh-CN"/>
        </w:rPr>
        <w:t>原</w:t>
      </w:r>
      <w:r>
        <w:rPr>
          <w:rFonts w:hint="eastAsia" w:ascii="Times New Roman" w:hAnsi="Times New Roman" w:eastAsia="宋体" w:cs="Times New Roman"/>
          <w:color w:val="FF0000"/>
          <w:sz w:val="24"/>
        </w:rPr>
        <w:t>7000h/a增加</w:t>
      </w:r>
      <w:r>
        <w:rPr>
          <w:rFonts w:ascii="Times New Roman" w:hAnsi="Times New Roman" w:eastAsia="宋体" w:cs="Times New Roman"/>
          <w:color w:val="FF0000"/>
          <w:sz w:val="24"/>
        </w:rPr>
        <w:t>至8</w:t>
      </w:r>
      <w:r>
        <w:rPr>
          <w:rFonts w:hint="eastAsia" w:ascii="Times New Roman" w:hAnsi="Times New Roman" w:eastAsia="宋体" w:cs="Times New Roman"/>
          <w:color w:val="FF0000"/>
          <w:sz w:val="24"/>
        </w:rPr>
        <w:t>000h/a，且</w:t>
      </w:r>
      <w:r>
        <w:rPr>
          <w:rFonts w:ascii="Times New Roman" w:hAnsi="Times New Roman" w:eastAsia="宋体" w:cs="Times New Roman"/>
          <w:color w:val="FF0000"/>
          <w:sz w:val="24"/>
        </w:rPr>
        <w:t>部分</w:t>
      </w:r>
      <w:r>
        <w:rPr>
          <w:rFonts w:hint="eastAsia" w:ascii="Times New Roman" w:hAnsi="Times New Roman" w:eastAsia="宋体" w:cs="Times New Roman"/>
          <w:color w:val="FF0000"/>
          <w:sz w:val="24"/>
        </w:rPr>
        <w:t>中间产品</w:t>
      </w:r>
      <w:r>
        <w:rPr>
          <w:rFonts w:ascii="Times New Roman" w:hAnsi="Times New Roman" w:eastAsia="宋体" w:cs="Times New Roman"/>
          <w:color w:val="FF0000"/>
          <w:sz w:val="24"/>
        </w:rPr>
        <w:t>连铸坯</w:t>
      </w:r>
      <w:r>
        <w:rPr>
          <w:rFonts w:hint="eastAsia" w:ascii="Times New Roman" w:hAnsi="Times New Roman" w:eastAsia="宋体" w:cs="Times New Roman"/>
          <w:color w:val="FF0000"/>
          <w:sz w:val="24"/>
        </w:rPr>
        <w:t>外购</w:t>
      </w:r>
      <w:r>
        <w:rPr>
          <w:rFonts w:hint="eastAsia" w:ascii="Times New Roman" w:hAnsi="Times New Roman" w:eastAsia="宋体" w:cs="Times New Roman"/>
          <w:color w:val="FF0000"/>
          <w:sz w:val="24"/>
          <w:lang w:eastAsia="zh-CN"/>
        </w:rPr>
        <w:t>，导致</w:t>
      </w:r>
      <w:r>
        <w:rPr>
          <w:rFonts w:hint="eastAsia" w:ascii="Times New Roman" w:hAnsi="Times New Roman" w:eastAsia="宋体" w:cs="Times New Roman"/>
          <w:color w:val="FF0000"/>
          <w:sz w:val="24"/>
        </w:rPr>
        <w:t>线材</w:t>
      </w:r>
      <w:r>
        <w:rPr>
          <w:rFonts w:ascii="Times New Roman" w:hAnsi="Times New Roman" w:eastAsia="宋体" w:cs="Times New Roman"/>
          <w:color w:val="FF0000"/>
          <w:sz w:val="24"/>
        </w:rPr>
        <w:t>产品</w:t>
      </w:r>
      <w:r>
        <w:rPr>
          <w:rFonts w:hint="eastAsia" w:ascii="Times New Roman" w:hAnsi="Times New Roman" w:eastAsia="宋体" w:cs="Times New Roman"/>
          <w:color w:val="FF0000"/>
          <w:sz w:val="24"/>
        </w:rPr>
        <w:t>产量</w:t>
      </w:r>
      <w:r>
        <w:rPr>
          <w:rFonts w:ascii="Times New Roman" w:hAnsi="Times New Roman" w:eastAsia="宋体" w:cs="Times New Roman"/>
          <w:color w:val="FF0000"/>
          <w:sz w:val="24"/>
        </w:rPr>
        <w:t>突破</w:t>
      </w:r>
      <w:r>
        <w:rPr>
          <w:rFonts w:hint="eastAsia" w:ascii="Times New Roman" w:hAnsi="Times New Roman" w:eastAsia="宋体" w:cs="Times New Roman"/>
          <w:color w:val="FF0000"/>
          <w:sz w:val="24"/>
          <w:lang w:eastAsia="zh-CN"/>
        </w:rPr>
        <w:t>核定</w:t>
      </w:r>
      <w:r>
        <w:rPr>
          <w:rFonts w:ascii="Times New Roman" w:hAnsi="Times New Roman" w:eastAsia="宋体" w:cs="Times New Roman"/>
          <w:color w:val="FF0000"/>
          <w:sz w:val="24"/>
        </w:rPr>
        <w:t>的80万t线材</w:t>
      </w:r>
      <w:r>
        <w:rPr>
          <w:rFonts w:hint="eastAsia" w:ascii="Times New Roman" w:hAnsi="Times New Roman" w:eastAsia="宋体" w:cs="Times New Roman"/>
          <w:color w:val="FF0000"/>
          <w:sz w:val="24"/>
        </w:rPr>
        <w:t>产能</w:t>
      </w:r>
      <w:r>
        <w:rPr>
          <w:rFonts w:hint="eastAsia" w:ascii="Times New Roman" w:hAnsi="Times New Roman" w:eastAsia="宋体" w:cs="Times New Roman"/>
          <w:color w:val="FF0000"/>
          <w:sz w:val="24"/>
          <w:lang w:eastAsia="zh-CN"/>
        </w:rPr>
        <w:t>，但未超出核定的</w:t>
      </w:r>
      <w:r>
        <w:rPr>
          <w:rFonts w:ascii="Times New Roman" w:hAnsi="Times New Roman" w:eastAsia="宋体" w:cs="Times New Roman"/>
          <w:color w:val="FF0000"/>
          <w:sz w:val="24"/>
        </w:rPr>
        <w:t>198万t铁水、150万t钢水</w:t>
      </w:r>
      <w:r>
        <w:rPr>
          <w:rFonts w:hint="eastAsia" w:ascii="Times New Roman" w:hAnsi="Times New Roman" w:eastAsia="宋体" w:cs="Times New Roman"/>
          <w:color w:val="FF0000"/>
          <w:sz w:val="24"/>
          <w:lang w:eastAsia="zh-CN"/>
        </w:rPr>
        <w:t>产能范围</w:t>
      </w:r>
      <w:r>
        <w:rPr>
          <w:rFonts w:hint="eastAsia" w:ascii="Times New Roman" w:hAnsi="Times New Roman" w:eastAsia="宋体" w:cs="Times New Roman"/>
          <w:color w:val="FF0000"/>
          <w:sz w:val="24"/>
        </w:rPr>
        <w:t>。</w:t>
      </w:r>
    </w:p>
    <w:p>
      <w:pPr>
        <w:spacing w:before="156" w:beforeLines="50" w:after="156" w:afterLines="50" w:line="360" w:lineRule="auto"/>
        <w:outlineLvl w:val="2"/>
        <w:rPr>
          <w:rFonts w:ascii="Times New Roman" w:hAnsi="Times New Roman" w:eastAsia="黑体" w:cs="Times New Roman"/>
          <w:color w:val="FF0000"/>
          <w:sz w:val="24"/>
          <w:szCs w:val="24"/>
        </w:rPr>
      </w:pPr>
      <w:r>
        <w:rPr>
          <w:rFonts w:ascii="Times New Roman" w:hAnsi="Times New Roman" w:eastAsia="黑体" w:cs="Times New Roman"/>
          <w:color w:val="FF0000"/>
          <w:sz w:val="24"/>
          <w:szCs w:val="24"/>
        </w:rPr>
        <w:t>3.4.2主要原辅材料变化情况</w:t>
      </w:r>
    </w:p>
    <w:p>
      <w:pPr>
        <w:pStyle w:val="2"/>
        <w:spacing w:after="0" w:line="360" w:lineRule="auto"/>
        <w:ind w:firstLine="480" w:firstLineChars="200"/>
        <w:rPr>
          <w:rFonts w:ascii="Times New Roman" w:hAnsi="Times New Roman" w:eastAsia="宋体" w:cs="Times New Roman"/>
          <w:color w:val="FF0000"/>
          <w:sz w:val="24"/>
        </w:rPr>
      </w:pP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相比，主要原辅料变化情况见表3.4-2。</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表3.4-2  主要原辅料变化情况表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1701"/>
        <w:gridCol w:w="1276"/>
        <w:gridCol w:w="1275"/>
        <w:gridCol w:w="1276"/>
        <w:gridCol w:w="1276"/>
        <w:gridCol w:w="16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restart"/>
            <w:vAlign w:val="center"/>
          </w:tcPr>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序号</w:t>
            </w:r>
          </w:p>
        </w:tc>
        <w:tc>
          <w:tcPr>
            <w:tcW w:w="1701" w:type="dxa"/>
            <w:vMerge w:val="restart"/>
            <w:vAlign w:val="center"/>
          </w:tcPr>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名称</w:t>
            </w:r>
          </w:p>
        </w:tc>
        <w:tc>
          <w:tcPr>
            <w:tcW w:w="2551" w:type="dxa"/>
            <w:gridSpan w:val="2"/>
            <w:vAlign w:val="center"/>
          </w:tcPr>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现状评价阶段</w:t>
            </w:r>
          </w:p>
        </w:tc>
        <w:tc>
          <w:tcPr>
            <w:tcW w:w="2552" w:type="dxa"/>
            <w:gridSpan w:val="2"/>
            <w:vAlign w:val="center"/>
          </w:tcPr>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后评价阶段</w:t>
            </w:r>
          </w:p>
        </w:tc>
        <w:tc>
          <w:tcPr>
            <w:tcW w:w="1601" w:type="dxa"/>
            <w:vMerge w:val="restart"/>
            <w:vAlign w:val="center"/>
          </w:tcPr>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后评价阶段相对环评阶段变化情况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Merge w:val="continue"/>
            <w:vAlign w:val="center"/>
          </w:tcPr>
          <w:p>
            <w:pPr>
              <w:pStyle w:val="2"/>
              <w:spacing w:after="0"/>
              <w:jc w:val="center"/>
              <w:rPr>
                <w:rFonts w:ascii="Times New Roman" w:hAnsi="Times New Roman" w:eastAsia="宋体"/>
                <w:color w:val="FF0000"/>
              </w:rPr>
            </w:pPr>
          </w:p>
        </w:tc>
        <w:tc>
          <w:tcPr>
            <w:tcW w:w="1701" w:type="dxa"/>
            <w:vMerge w:val="continue"/>
            <w:vAlign w:val="center"/>
          </w:tcPr>
          <w:p>
            <w:pPr>
              <w:pStyle w:val="2"/>
              <w:spacing w:after="0"/>
              <w:jc w:val="center"/>
              <w:rPr>
                <w:rFonts w:ascii="Times New Roman" w:hAnsi="Times New Roman" w:eastAsia="宋体"/>
                <w:color w:val="FF0000"/>
              </w:rPr>
            </w:pPr>
          </w:p>
        </w:tc>
        <w:tc>
          <w:tcPr>
            <w:tcW w:w="1276" w:type="dxa"/>
            <w:vAlign w:val="center"/>
          </w:tcPr>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含</w:t>
            </w:r>
            <w:r>
              <w:rPr>
                <w:rFonts w:ascii="Times New Roman" w:hAnsi="Times New Roman" w:eastAsia="宋体" w:cs="Times New Roman"/>
                <w:b/>
                <w:color w:val="FF0000"/>
                <w:kern w:val="0"/>
                <w:szCs w:val="20"/>
              </w:rPr>
              <w:t>S</w:t>
            </w:r>
            <w:r>
              <w:rPr>
                <w:rFonts w:hint="eastAsia" w:ascii="Times New Roman" w:hAnsi="Times New Roman" w:eastAsia="宋体" w:cs="Times New Roman"/>
                <w:b/>
                <w:color w:val="FF0000"/>
                <w:kern w:val="0"/>
                <w:szCs w:val="20"/>
              </w:rPr>
              <w:t>率（</w:t>
            </w:r>
            <w:r>
              <w:rPr>
                <w:rFonts w:ascii="Times New Roman" w:hAnsi="Times New Roman" w:eastAsia="宋体" w:cs="Times New Roman"/>
                <w:b/>
                <w:color w:val="FF0000"/>
                <w:kern w:val="0"/>
                <w:szCs w:val="20"/>
              </w:rPr>
              <w:t>%</w:t>
            </w:r>
            <w:r>
              <w:rPr>
                <w:rFonts w:hint="eastAsia" w:ascii="Times New Roman" w:hAnsi="Times New Roman" w:eastAsia="宋体" w:cs="Times New Roman"/>
                <w:b/>
                <w:color w:val="FF0000"/>
                <w:kern w:val="0"/>
                <w:szCs w:val="20"/>
              </w:rPr>
              <w:t>）</w:t>
            </w:r>
          </w:p>
        </w:tc>
        <w:tc>
          <w:tcPr>
            <w:tcW w:w="1275" w:type="dxa"/>
            <w:vAlign w:val="center"/>
          </w:tcPr>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消耗量</w:t>
            </w:r>
          </w:p>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（万</w:t>
            </w:r>
            <w:r>
              <w:rPr>
                <w:rFonts w:ascii="Times New Roman" w:hAnsi="Times New Roman" w:eastAsia="宋体" w:cs="Times New Roman"/>
                <w:b/>
                <w:color w:val="FF0000"/>
                <w:kern w:val="0"/>
                <w:szCs w:val="20"/>
              </w:rPr>
              <w:t>t/a</w:t>
            </w:r>
            <w:r>
              <w:rPr>
                <w:rFonts w:hint="eastAsia" w:ascii="Times New Roman" w:hAnsi="Times New Roman" w:eastAsia="宋体" w:cs="Times New Roman"/>
                <w:b/>
                <w:color w:val="FF0000"/>
                <w:kern w:val="0"/>
                <w:szCs w:val="20"/>
              </w:rPr>
              <w:t>）</w:t>
            </w:r>
          </w:p>
        </w:tc>
        <w:tc>
          <w:tcPr>
            <w:tcW w:w="1276" w:type="dxa"/>
            <w:vAlign w:val="center"/>
          </w:tcPr>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含</w:t>
            </w:r>
            <w:r>
              <w:rPr>
                <w:rFonts w:ascii="Times New Roman" w:hAnsi="Times New Roman" w:eastAsia="宋体" w:cs="Times New Roman"/>
                <w:b/>
                <w:color w:val="FF0000"/>
                <w:kern w:val="0"/>
                <w:szCs w:val="20"/>
              </w:rPr>
              <w:t>S</w:t>
            </w:r>
            <w:r>
              <w:rPr>
                <w:rFonts w:hint="eastAsia" w:ascii="Times New Roman" w:hAnsi="Times New Roman" w:eastAsia="宋体" w:cs="Times New Roman"/>
                <w:b/>
                <w:color w:val="FF0000"/>
                <w:kern w:val="0"/>
                <w:szCs w:val="20"/>
              </w:rPr>
              <w:t>率（</w:t>
            </w:r>
            <w:r>
              <w:rPr>
                <w:rFonts w:ascii="Times New Roman" w:hAnsi="Times New Roman" w:eastAsia="宋体" w:cs="Times New Roman"/>
                <w:b/>
                <w:color w:val="FF0000"/>
                <w:kern w:val="0"/>
                <w:szCs w:val="20"/>
              </w:rPr>
              <w:t>%</w:t>
            </w:r>
            <w:r>
              <w:rPr>
                <w:rFonts w:hint="eastAsia" w:ascii="Times New Roman" w:hAnsi="Times New Roman" w:eastAsia="宋体" w:cs="Times New Roman"/>
                <w:b/>
                <w:color w:val="FF0000"/>
                <w:kern w:val="0"/>
                <w:szCs w:val="20"/>
              </w:rPr>
              <w:t>）</w:t>
            </w:r>
          </w:p>
        </w:tc>
        <w:tc>
          <w:tcPr>
            <w:tcW w:w="1276" w:type="dxa"/>
            <w:vAlign w:val="center"/>
          </w:tcPr>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消耗量</w:t>
            </w:r>
          </w:p>
          <w:p>
            <w:pPr>
              <w:pStyle w:val="2"/>
              <w:spacing w:after="0"/>
              <w:jc w:val="center"/>
              <w:rPr>
                <w:rFonts w:ascii="Times New Roman" w:hAnsi="Times New Roman" w:eastAsia="宋体" w:cs="Times New Roman"/>
                <w:b/>
                <w:color w:val="FF0000"/>
                <w:kern w:val="0"/>
                <w:szCs w:val="20"/>
              </w:rPr>
            </w:pPr>
            <w:r>
              <w:rPr>
                <w:rFonts w:hint="eastAsia" w:ascii="Times New Roman" w:hAnsi="Times New Roman" w:eastAsia="宋体" w:cs="Times New Roman"/>
                <w:b/>
                <w:color w:val="FF0000"/>
                <w:kern w:val="0"/>
                <w:szCs w:val="20"/>
              </w:rPr>
              <w:t>（万</w:t>
            </w:r>
            <w:r>
              <w:rPr>
                <w:rFonts w:ascii="Times New Roman" w:hAnsi="Times New Roman" w:eastAsia="宋体" w:cs="Times New Roman"/>
                <w:b/>
                <w:color w:val="FF0000"/>
                <w:kern w:val="0"/>
                <w:szCs w:val="20"/>
              </w:rPr>
              <w:t>t/a</w:t>
            </w:r>
            <w:r>
              <w:rPr>
                <w:rFonts w:hint="eastAsia" w:ascii="Times New Roman" w:hAnsi="Times New Roman" w:eastAsia="宋体" w:cs="Times New Roman"/>
                <w:b/>
                <w:color w:val="FF0000"/>
                <w:kern w:val="0"/>
                <w:szCs w:val="20"/>
              </w:rPr>
              <w:t>）</w:t>
            </w:r>
          </w:p>
        </w:tc>
        <w:tc>
          <w:tcPr>
            <w:tcW w:w="1601" w:type="dxa"/>
            <w:vMerge w:val="continue"/>
            <w:vAlign w:val="center"/>
          </w:tcPr>
          <w:p>
            <w:pPr>
              <w:pStyle w:val="2"/>
              <w:spacing w:after="0"/>
              <w:jc w:val="center"/>
              <w:rPr>
                <w:rFonts w:ascii="Times New Roman" w:hAnsi="Times New Roman" w:eastAsia="宋体"/>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w:t>
            </w:r>
          </w:p>
        </w:tc>
        <w:tc>
          <w:tcPr>
            <w:tcW w:w="1701" w:type="dxa"/>
            <w:vAlign w:val="center"/>
          </w:tcPr>
          <w:p>
            <w:pPr>
              <w:pStyle w:val="41"/>
              <w:spacing w:line="240" w:lineRule="auto"/>
              <w:rPr>
                <w:color w:val="FF0000"/>
              </w:rPr>
            </w:pPr>
            <w:r>
              <w:rPr>
                <w:rFonts w:hint="eastAsia"/>
                <w:color w:val="FF0000"/>
              </w:rPr>
              <w:t>进口铁精矿</w:t>
            </w:r>
          </w:p>
        </w:tc>
        <w:tc>
          <w:tcPr>
            <w:tcW w:w="1276" w:type="dxa"/>
            <w:vAlign w:val="center"/>
          </w:tcPr>
          <w:p>
            <w:pPr>
              <w:pStyle w:val="41"/>
              <w:spacing w:line="240" w:lineRule="auto"/>
              <w:rPr>
                <w:color w:val="FF0000"/>
              </w:rPr>
            </w:pPr>
            <w:r>
              <w:rPr>
                <w:rFonts w:hint="eastAsia"/>
                <w:color w:val="FF0000"/>
              </w:rPr>
              <w:t>≤</w:t>
            </w:r>
            <w:r>
              <w:rPr>
                <w:color w:val="FF0000"/>
              </w:rPr>
              <w:t>0.13%</w:t>
            </w:r>
          </w:p>
        </w:tc>
        <w:tc>
          <w:tcPr>
            <w:tcW w:w="1275" w:type="dxa"/>
            <w:vAlign w:val="center"/>
          </w:tcPr>
          <w:p>
            <w:pPr>
              <w:pStyle w:val="41"/>
              <w:spacing w:line="240" w:lineRule="auto"/>
              <w:rPr>
                <w:color w:val="FF0000"/>
              </w:rPr>
            </w:pPr>
            <w:r>
              <w:rPr>
                <w:color w:val="FF0000"/>
              </w:rPr>
              <w:t>19078</w:t>
            </w:r>
          </w:p>
        </w:tc>
        <w:tc>
          <w:tcPr>
            <w:tcW w:w="1276" w:type="dxa"/>
            <w:vAlign w:val="center"/>
          </w:tcPr>
          <w:p>
            <w:pPr>
              <w:pStyle w:val="41"/>
              <w:spacing w:line="240" w:lineRule="auto"/>
              <w:rPr>
                <w:color w:val="FF0000"/>
              </w:rPr>
            </w:pPr>
            <w:r>
              <w:rPr>
                <w:rFonts w:hint="eastAsia"/>
                <w:color w:val="FF0000"/>
              </w:rPr>
              <w:t>≤0.13%</w:t>
            </w:r>
          </w:p>
        </w:tc>
        <w:tc>
          <w:tcPr>
            <w:tcW w:w="1276" w:type="dxa"/>
            <w:vAlign w:val="center"/>
          </w:tcPr>
          <w:p>
            <w:pPr>
              <w:pStyle w:val="41"/>
              <w:spacing w:line="240" w:lineRule="auto"/>
              <w:rPr>
                <w:color w:val="FF0000"/>
              </w:rPr>
            </w:pPr>
            <w:r>
              <w:rPr>
                <w:color w:val="FF0000"/>
              </w:rPr>
              <w:t>197.44</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2</w:t>
            </w:r>
          </w:p>
        </w:tc>
        <w:tc>
          <w:tcPr>
            <w:tcW w:w="1701" w:type="dxa"/>
            <w:vAlign w:val="center"/>
          </w:tcPr>
          <w:p>
            <w:pPr>
              <w:pStyle w:val="41"/>
              <w:spacing w:line="240" w:lineRule="auto"/>
              <w:rPr>
                <w:color w:val="FF0000"/>
              </w:rPr>
            </w:pPr>
            <w:r>
              <w:rPr>
                <w:rFonts w:hint="eastAsia"/>
                <w:color w:val="FF0000"/>
              </w:rPr>
              <w:t>国内铁精矿</w:t>
            </w:r>
          </w:p>
        </w:tc>
        <w:tc>
          <w:tcPr>
            <w:tcW w:w="1276" w:type="dxa"/>
            <w:vAlign w:val="center"/>
          </w:tcPr>
          <w:p>
            <w:pPr>
              <w:pStyle w:val="41"/>
              <w:spacing w:line="240" w:lineRule="auto"/>
              <w:rPr>
                <w:color w:val="FF0000"/>
              </w:rPr>
            </w:pPr>
            <w:r>
              <w:rPr>
                <w:rFonts w:hint="eastAsia"/>
                <w:color w:val="FF0000"/>
              </w:rPr>
              <w:t>≤</w:t>
            </w:r>
            <w:r>
              <w:rPr>
                <w:color w:val="FF0000"/>
              </w:rPr>
              <w:t>0.2%</w:t>
            </w:r>
          </w:p>
        </w:tc>
        <w:tc>
          <w:tcPr>
            <w:tcW w:w="1275" w:type="dxa"/>
            <w:vAlign w:val="center"/>
          </w:tcPr>
          <w:p>
            <w:pPr>
              <w:pStyle w:val="41"/>
              <w:spacing w:line="240" w:lineRule="auto"/>
              <w:rPr>
                <w:color w:val="FF0000"/>
              </w:rPr>
            </w:pPr>
            <w:r>
              <w:rPr>
                <w:color w:val="FF0000"/>
              </w:rPr>
              <w:t>35.00</w:t>
            </w:r>
          </w:p>
        </w:tc>
        <w:tc>
          <w:tcPr>
            <w:tcW w:w="1276" w:type="dxa"/>
            <w:vAlign w:val="center"/>
          </w:tcPr>
          <w:p>
            <w:pPr>
              <w:pStyle w:val="41"/>
              <w:spacing w:line="240" w:lineRule="auto"/>
              <w:rPr>
                <w:color w:val="FF0000"/>
              </w:rPr>
            </w:pPr>
            <w:r>
              <w:rPr>
                <w:rFonts w:hint="eastAsia"/>
                <w:color w:val="FF0000"/>
              </w:rPr>
              <w:t>≤0.2%</w:t>
            </w:r>
          </w:p>
        </w:tc>
        <w:tc>
          <w:tcPr>
            <w:tcW w:w="1276" w:type="dxa"/>
            <w:vAlign w:val="center"/>
          </w:tcPr>
          <w:p>
            <w:pPr>
              <w:pStyle w:val="41"/>
              <w:spacing w:line="240" w:lineRule="auto"/>
              <w:rPr>
                <w:color w:val="FF0000"/>
              </w:rPr>
            </w:pPr>
            <w:r>
              <w:rPr>
                <w:color w:val="FF0000"/>
              </w:rPr>
              <w:t>36.22</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3</w:t>
            </w:r>
          </w:p>
        </w:tc>
        <w:tc>
          <w:tcPr>
            <w:tcW w:w="1701" w:type="dxa"/>
            <w:vAlign w:val="center"/>
          </w:tcPr>
          <w:p>
            <w:pPr>
              <w:pStyle w:val="41"/>
              <w:spacing w:line="240" w:lineRule="auto"/>
              <w:rPr>
                <w:color w:val="FF0000"/>
              </w:rPr>
            </w:pPr>
            <w:r>
              <w:rPr>
                <w:rFonts w:hint="eastAsia"/>
                <w:color w:val="FF0000"/>
              </w:rPr>
              <w:t>球团矿</w:t>
            </w:r>
          </w:p>
        </w:tc>
        <w:tc>
          <w:tcPr>
            <w:tcW w:w="1276" w:type="dxa"/>
            <w:vAlign w:val="center"/>
          </w:tcPr>
          <w:p>
            <w:pPr>
              <w:pStyle w:val="41"/>
              <w:spacing w:line="240" w:lineRule="auto"/>
              <w:rPr>
                <w:color w:val="FF0000"/>
              </w:rPr>
            </w:pPr>
            <w:r>
              <w:rPr>
                <w:rFonts w:hint="eastAsia"/>
                <w:color w:val="FF0000"/>
              </w:rPr>
              <w:t>≤</w:t>
            </w:r>
            <w:r>
              <w:rPr>
                <w:color w:val="FF0000"/>
              </w:rPr>
              <w:t>0.016%</w:t>
            </w:r>
          </w:p>
        </w:tc>
        <w:tc>
          <w:tcPr>
            <w:tcW w:w="1275" w:type="dxa"/>
            <w:vAlign w:val="center"/>
          </w:tcPr>
          <w:p>
            <w:pPr>
              <w:pStyle w:val="41"/>
              <w:spacing w:line="240" w:lineRule="auto"/>
              <w:rPr>
                <w:color w:val="FF0000"/>
              </w:rPr>
            </w:pPr>
            <w:r>
              <w:rPr>
                <w:color w:val="FF0000"/>
              </w:rPr>
              <w:t>56.36</w:t>
            </w:r>
          </w:p>
        </w:tc>
        <w:tc>
          <w:tcPr>
            <w:tcW w:w="1276" w:type="dxa"/>
            <w:vAlign w:val="center"/>
          </w:tcPr>
          <w:p>
            <w:pPr>
              <w:pStyle w:val="41"/>
              <w:spacing w:line="240" w:lineRule="auto"/>
              <w:rPr>
                <w:color w:val="FF0000"/>
              </w:rPr>
            </w:pPr>
            <w:r>
              <w:rPr>
                <w:rFonts w:hint="eastAsia"/>
                <w:color w:val="FF0000"/>
              </w:rPr>
              <w:t>≤0.016%</w:t>
            </w:r>
          </w:p>
        </w:tc>
        <w:tc>
          <w:tcPr>
            <w:tcW w:w="1276" w:type="dxa"/>
            <w:vAlign w:val="center"/>
          </w:tcPr>
          <w:p>
            <w:pPr>
              <w:pStyle w:val="41"/>
              <w:spacing w:line="240" w:lineRule="auto"/>
              <w:rPr>
                <w:color w:val="FF0000"/>
              </w:rPr>
            </w:pPr>
            <w:r>
              <w:rPr>
                <w:color w:val="FF0000"/>
              </w:rPr>
              <w:t>53.04</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4</w:t>
            </w:r>
          </w:p>
        </w:tc>
        <w:tc>
          <w:tcPr>
            <w:tcW w:w="1701" w:type="dxa"/>
            <w:vAlign w:val="center"/>
          </w:tcPr>
          <w:p>
            <w:pPr>
              <w:pStyle w:val="41"/>
              <w:spacing w:line="240" w:lineRule="auto"/>
              <w:rPr>
                <w:color w:val="FF0000"/>
              </w:rPr>
            </w:pPr>
            <w:r>
              <w:rPr>
                <w:rFonts w:hint="eastAsia"/>
                <w:color w:val="FF0000"/>
              </w:rPr>
              <w:t>块矿</w:t>
            </w:r>
          </w:p>
        </w:tc>
        <w:tc>
          <w:tcPr>
            <w:tcW w:w="1276" w:type="dxa"/>
            <w:vAlign w:val="center"/>
          </w:tcPr>
          <w:p>
            <w:pPr>
              <w:pStyle w:val="41"/>
              <w:spacing w:line="240" w:lineRule="auto"/>
              <w:rPr>
                <w:color w:val="FF0000"/>
              </w:rPr>
            </w:pPr>
            <w:r>
              <w:rPr>
                <w:rFonts w:hint="eastAsia"/>
                <w:color w:val="FF0000"/>
              </w:rPr>
              <w:t>≤</w:t>
            </w:r>
            <w:r>
              <w:rPr>
                <w:color w:val="FF0000"/>
              </w:rPr>
              <w:t>0.3%</w:t>
            </w:r>
          </w:p>
        </w:tc>
        <w:tc>
          <w:tcPr>
            <w:tcW w:w="1275" w:type="dxa"/>
            <w:vAlign w:val="center"/>
          </w:tcPr>
          <w:p>
            <w:pPr>
              <w:pStyle w:val="41"/>
              <w:spacing w:line="240" w:lineRule="auto"/>
              <w:rPr>
                <w:color w:val="FF0000"/>
              </w:rPr>
            </w:pPr>
            <w:r>
              <w:rPr>
                <w:color w:val="FF0000"/>
              </w:rPr>
              <w:t>1.41</w:t>
            </w:r>
          </w:p>
        </w:tc>
        <w:tc>
          <w:tcPr>
            <w:tcW w:w="1276" w:type="dxa"/>
            <w:vAlign w:val="center"/>
          </w:tcPr>
          <w:p>
            <w:pPr>
              <w:pStyle w:val="41"/>
              <w:spacing w:line="240" w:lineRule="auto"/>
              <w:rPr>
                <w:color w:val="FF0000"/>
              </w:rPr>
            </w:pPr>
            <w:r>
              <w:rPr>
                <w:rFonts w:hint="eastAsia"/>
                <w:color w:val="FF0000"/>
              </w:rPr>
              <w:t>≤0.3%</w:t>
            </w:r>
          </w:p>
        </w:tc>
        <w:tc>
          <w:tcPr>
            <w:tcW w:w="1276" w:type="dxa"/>
            <w:vAlign w:val="center"/>
          </w:tcPr>
          <w:p>
            <w:pPr>
              <w:pStyle w:val="41"/>
              <w:spacing w:line="240" w:lineRule="auto"/>
              <w:rPr>
                <w:color w:val="FF0000"/>
              </w:rPr>
            </w:pPr>
            <w:r>
              <w:rPr>
                <w:color w:val="FF0000"/>
              </w:rPr>
              <w:t>1.40</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5</w:t>
            </w:r>
          </w:p>
        </w:tc>
        <w:tc>
          <w:tcPr>
            <w:tcW w:w="1701" w:type="dxa"/>
            <w:vAlign w:val="center"/>
          </w:tcPr>
          <w:p>
            <w:pPr>
              <w:pStyle w:val="41"/>
              <w:spacing w:line="240" w:lineRule="auto"/>
              <w:rPr>
                <w:color w:val="FF0000"/>
              </w:rPr>
            </w:pPr>
            <w:r>
              <w:rPr>
                <w:rFonts w:hint="eastAsia"/>
                <w:color w:val="FF0000"/>
              </w:rPr>
              <w:t>炼焦煤</w:t>
            </w:r>
          </w:p>
        </w:tc>
        <w:tc>
          <w:tcPr>
            <w:tcW w:w="1276" w:type="dxa"/>
            <w:vAlign w:val="center"/>
          </w:tcPr>
          <w:p>
            <w:pPr>
              <w:pStyle w:val="41"/>
              <w:spacing w:line="240" w:lineRule="auto"/>
              <w:rPr>
                <w:color w:val="FF0000"/>
              </w:rPr>
            </w:pPr>
            <w:r>
              <w:rPr>
                <w:rFonts w:hint="eastAsia"/>
                <w:color w:val="FF0000"/>
              </w:rPr>
              <w:t>≤</w:t>
            </w:r>
            <w:r>
              <w:rPr>
                <w:color w:val="FF0000"/>
              </w:rPr>
              <w:t>0.75%</w:t>
            </w:r>
          </w:p>
        </w:tc>
        <w:tc>
          <w:tcPr>
            <w:tcW w:w="1275" w:type="dxa"/>
            <w:vAlign w:val="center"/>
          </w:tcPr>
          <w:p>
            <w:pPr>
              <w:pStyle w:val="41"/>
              <w:spacing w:line="240" w:lineRule="auto"/>
              <w:rPr>
                <w:color w:val="FF0000"/>
              </w:rPr>
            </w:pPr>
            <w:r>
              <w:rPr>
                <w:color w:val="FF0000"/>
              </w:rPr>
              <w:t>125.53</w:t>
            </w:r>
          </w:p>
        </w:tc>
        <w:tc>
          <w:tcPr>
            <w:tcW w:w="1276" w:type="dxa"/>
            <w:vAlign w:val="center"/>
          </w:tcPr>
          <w:p>
            <w:pPr>
              <w:pStyle w:val="41"/>
              <w:spacing w:line="240" w:lineRule="auto"/>
              <w:rPr>
                <w:color w:val="FF0000"/>
              </w:rPr>
            </w:pPr>
            <w:r>
              <w:rPr>
                <w:rFonts w:hint="eastAsia"/>
                <w:color w:val="FF0000"/>
              </w:rPr>
              <w:t>≤0.75%</w:t>
            </w:r>
          </w:p>
        </w:tc>
        <w:tc>
          <w:tcPr>
            <w:tcW w:w="1276" w:type="dxa"/>
            <w:vAlign w:val="center"/>
          </w:tcPr>
          <w:p>
            <w:pPr>
              <w:pStyle w:val="41"/>
              <w:spacing w:line="240" w:lineRule="auto"/>
              <w:rPr>
                <w:color w:val="FF0000"/>
              </w:rPr>
            </w:pPr>
            <w:r>
              <w:rPr>
                <w:color w:val="FF0000"/>
              </w:rPr>
              <w:t>125.53</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6</w:t>
            </w:r>
          </w:p>
        </w:tc>
        <w:tc>
          <w:tcPr>
            <w:tcW w:w="1701" w:type="dxa"/>
            <w:vAlign w:val="center"/>
          </w:tcPr>
          <w:p>
            <w:pPr>
              <w:pStyle w:val="41"/>
              <w:spacing w:line="240" w:lineRule="auto"/>
              <w:rPr>
                <w:color w:val="FF0000"/>
              </w:rPr>
            </w:pPr>
            <w:r>
              <w:rPr>
                <w:rFonts w:hint="eastAsia"/>
                <w:color w:val="FF0000"/>
              </w:rPr>
              <w:t>喷吹煤</w:t>
            </w:r>
          </w:p>
        </w:tc>
        <w:tc>
          <w:tcPr>
            <w:tcW w:w="1276" w:type="dxa"/>
            <w:vAlign w:val="center"/>
          </w:tcPr>
          <w:p>
            <w:pPr>
              <w:pStyle w:val="41"/>
              <w:spacing w:line="240" w:lineRule="auto"/>
              <w:rPr>
                <w:color w:val="FF0000"/>
              </w:rPr>
            </w:pPr>
            <w:r>
              <w:rPr>
                <w:rFonts w:hint="eastAsia"/>
                <w:color w:val="FF0000"/>
              </w:rPr>
              <w:t>≤</w:t>
            </w:r>
            <w:r>
              <w:rPr>
                <w:color w:val="FF0000"/>
              </w:rPr>
              <w:t>0.5%</w:t>
            </w:r>
          </w:p>
        </w:tc>
        <w:tc>
          <w:tcPr>
            <w:tcW w:w="1275" w:type="dxa"/>
            <w:vAlign w:val="center"/>
          </w:tcPr>
          <w:p>
            <w:pPr>
              <w:pStyle w:val="41"/>
              <w:spacing w:line="240" w:lineRule="auto"/>
              <w:rPr>
                <w:color w:val="FF0000"/>
              </w:rPr>
            </w:pPr>
            <w:r>
              <w:rPr>
                <w:color w:val="FF0000"/>
              </w:rPr>
              <w:t>10.72</w:t>
            </w:r>
          </w:p>
        </w:tc>
        <w:tc>
          <w:tcPr>
            <w:tcW w:w="1276" w:type="dxa"/>
            <w:vAlign w:val="center"/>
          </w:tcPr>
          <w:p>
            <w:pPr>
              <w:pStyle w:val="41"/>
              <w:spacing w:line="240" w:lineRule="auto"/>
              <w:rPr>
                <w:color w:val="FF0000"/>
              </w:rPr>
            </w:pPr>
            <w:r>
              <w:rPr>
                <w:rFonts w:hint="eastAsia"/>
                <w:color w:val="FF0000"/>
              </w:rPr>
              <w:t>≤0.5%</w:t>
            </w:r>
          </w:p>
        </w:tc>
        <w:tc>
          <w:tcPr>
            <w:tcW w:w="1276" w:type="dxa"/>
            <w:vAlign w:val="center"/>
          </w:tcPr>
          <w:p>
            <w:pPr>
              <w:pStyle w:val="41"/>
              <w:spacing w:line="240" w:lineRule="auto"/>
              <w:rPr>
                <w:color w:val="FF0000"/>
              </w:rPr>
            </w:pPr>
            <w:r>
              <w:rPr>
                <w:color w:val="FF0000"/>
              </w:rPr>
              <w:t>11.09</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7</w:t>
            </w:r>
          </w:p>
        </w:tc>
        <w:tc>
          <w:tcPr>
            <w:tcW w:w="1701" w:type="dxa"/>
            <w:vAlign w:val="center"/>
          </w:tcPr>
          <w:p>
            <w:pPr>
              <w:pStyle w:val="41"/>
              <w:spacing w:line="240" w:lineRule="auto"/>
              <w:rPr>
                <w:color w:val="FF0000"/>
              </w:rPr>
            </w:pPr>
            <w:r>
              <w:rPr>
                <w:rFonts w:hint="eastAsia"/>
                <w:color w:val="FF0000"/>
              </w:rPr>
              <w:t>废钢</w:t>
            </w:r>
          </w:p>
        </w:tc>
        <w:tc>
          <w:tcPr>
            <w:tcW w:w="1276" w:type="dxa"/>
            <w:vAlign w:val="center"/>
          </w:tcPr>
          <w:p>
            <w:pPr>
              <w:pStyle w:val="41"/>
              <w:spacing w:line="240" w:lineRule="auto"/>
              <w:rPr>
                <w:color w:val="FF0000"/>
              </w:rPr>
            </w:pPr>
            <w:r>
              <w:rPr>
                <w:rFonts w:hint="eastAsia"/>
                <w:color w:val="FF0000"/>
              </w:rPr>
              <w:t>≤</w:t>
            </w:r>
            <w:r>
              <w:rPr>
                <w:color w:val="FF0000"/>
              </w:rPr>
              <w:t>0.02%</w:t>
            </w:r>
          </w:p>
        </w:tc>
        <w:tc>
          <w:tcPr>
            <w:tcW w:w="1275" w:type="dxa"/>
            <w:vAlign w:val="center"/>
          </w:tcPr>
          <w:p>
            <w:pPr>
              <w:pStyle w:val="41"/>
              <w:spacing w:line="240" w:lineRule="auto"/>
              <w:rPr>
                <w:color w:val="FF0000"/>
              </w:rPr>
            </w:pPr>
            <w:r>
              <w:rPr>
                <w:color w:val="FF0000"/>
              </w:rPr>
              <w:t>18.65</w:t>
            </w:r>
          </w:p>
        </w:tc>
        <w:tc>
          <w:tcPr>
            <w:tcW w:w="1276" w:type="dxa"/>
            <w:vAlign w:val="center"/>
          </w:tcPr>
          <w:p>
            <w:pPr>
              <w:pStyle w:val="41"/>
              <w:spacing w:line="240" w:lineRule="auto"/>
              <w:rPr>
                <w:color w:val="FF0000"/>
              </w:rPr>
            </w:pPr>
            <w:r>
              <w:rPr>
                <w:rFonts w:hint="eastAsia"/>
                <w:color w:val="FF0000"/>
              </w:rPr>
              <w:t>≤0.02%</w:t>
            </w:r>
          </w:p>
        </w:tc>
        <w:tc>
          <w:tcPr>
            <w:tcW w:w="1276" w:type="dxa"/>
            <w:vAlign w:val="center"/>
          </w:tcPr>
          <w:p>
            <w:pPr>
              <w:pStyle w:val="41"/>
              <w:spacing w:line="240" w:lineRule="auto"/>
              <w:rPr>
                <w:color w:val="FF0000"/>
              </w:rPr>
            </w:pPr>
            <w:r>
              <w:rPr>
                <w:color w:val="FF0000"/>
              </w:rPr>
              <w:t>23.01</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s="Times New Roman"/>
                <w:color w:val="FF0000"/>
                <w:kern w:val="0"/>
                <w:szCs w:val="20"/>
              </w:rPr>
            </w:pPr>
            <w:r>
              <w:rPr>
                <w:rFonts w:ascii="Times New Roman" w:hAnsi="Times New Roman" w:eastAsia="宋体" w:cs="Times New Roman"/>
                <w:color w:val="FF0000"/>
                <w:kern w:val="0"/>
                <w:szCs w:val="20"/>
              </w:rPr>
              <w:t>8</w:t>
            </w:r>
          </w:p>
        </w:tc>
        <w:tc>
          <w:tcPr>
            <w:tcW w:w="1701" w:type="dxa"/>
            <w:vAlign w:val="center"/>
          </w:tcPr>
          <w:p>
            <w:pPr>
              <w:pStyle w:val="41"/>
              <w:spacing w:line="240" w:lineRule="auto"/>
              <w:rPr>
                <w:color w:val="FF0000"/>
              </w:rPr>
            </w:pPr>
            <w:r>
              <w:rPr>
                <w:rFonts w:hint="eastAsia"/>
                <w:color w:val="FF0000"/>
              </w:rPr>
              <w:t>生铁块</w:t>
            </w:r>
          </w:p>
        </w:tc>
        <w:tc>
          <w:tcPr>
            <w:tcW w:w="1276" w:type="dxa"/>
            <w:vAlign w:val="center"/>
          </w:tcPr>
          <w:p>
            <w:pPr>
              <w:pStyle w:val="41"/>
              <w:spacing w:line="240" w:lineRule="auto"/>
              <w:rPr>
                <w:color w:val="FF0000"/>
              </w:rPr>
            </w:pPr>
            <w:r>
              <w:rPr>
                <w:rFonts w:hint="eastAsia"/>
                <w:color w:val="FF0000"/>
              </w:rPr>
              <w:t>≤</w:t>
            </w:r>
            <w:r>
              <w:rPr>
                <w:color w:val="FF0000"/>
              </w:rPr>
              <w:t>0.029%</w:t>
            </w:r>
          </w:p>
        </w:tc>
        <w:tc>
          <w:tcPr>
            <w:tcW w:w="1275" w:type="dxa"/>
            <w:vAlign w:val="center"/>
          </w:tcPr>
          <w:p>
            <w:pPr>
              <w:pStyle w:val="41"/>
              <w:spacing w:line="240" w:lineRule="auto"/>
              <w:rPr>
                <w:color w:val="FF0000"/>
              </w:rPr>
            </w:pPr>
            <w:r>
              <w:rPr>
                <w:color w:val="FF0000"/>
              </w:rPr>
              <w:t>0.045</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ascii="Times New Roman" w:hAnsi="Times New Roman" w:cs="Times New Roman"/>
                <w:color w:val="FF0000"/>
              </w:rPr>
              <w:t>≤0.029%</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0.068</w:t>
            </w:r>
          </w:p>
        </w:tc>
        <w:tc>
          <w:tcPr>
            <w:tcW w:w="1601"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9</w:t>
            </w:r>
          </w:p>
        </w:tc>
        <w:tc>
          <w:tcPr>
            <w:tcW w:w="1701" w:type="dxa"/>
            <w:vAlign w:val="center"/>
          </w:tcPr>
          <w:p>
            <w:pPr>
              <w:pStyle w:val="41"/>
              <w:spacing w:line="240" w:lineRule="auto"/>
              <w:rPr>
                <w:color w:val="FF0000"/>
              </w:rPr>
            </w:pPr>
            <w:r>
              <w:rPr>
                <w:rFonts w:hint="eastAsia"/>
                <w:color w:val="FF0000"/>
              </w:rPr>
              <w:t>合金</w:t>
            </w:r>
          </w:p>
        </w:tc>
        <w:tc>
          <w:tcPr>
            <w:tcW w:w="1276" w:type="dxa"/>
            <w:vAlign w:val="center"/>
          </w:tcPr>
          <w:p>
            <w:pPr>
              <w:pStyle w:val="41"/>
              <w:spacing w:line="240" w:lineRule="auto"/>
              <w:rPr>
                <w:color w:val="FF0000"/>
              </w:rPr>
            </w:pPr>
            <w:r>
              <w:rPr>
                <w:rFonts w:hint="eastAsia"/>
                <w:color w:val="FF0000"/>
              </w:rPr>
              <w:t>≤</w:t>
            </w:r>
            <w:r>
              <w:rPr>
                <w:color w:val="FF0000"/>
              </w:rPr>
              <w:t>0.03%</w:t>
            </w:r>
          </w:p>
        </w:tc>
        <w:tc>
          <w:tcPr>
            <w:tcW w:w="1275" w:type="dxa"/>
            <w:vAlign w:val="center"/>
          </w:tcPr>
          <w:p>
            <w:pPr>
              <w:pStyle w:val="41"/>
              <w:spacing w:line="240" w:lineRule="auto"/>
              <w:rPr>
                <w:color w:val="FF0000"/>
              </w:rPr>
            </w:pPr>
            <w:r>
              <w:rPr>
                <w:color w:val="FF0000"/>
              </w:rPr>
              <w:t>3.05</w:t>
            </w:r>
          </w:p>
        </w:tc>
        <w:tc>
          <w:tcPr>
            <w:tcW w:w="1276"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w:t>
            </w:r>
            <w:r>
              <w:rPr>
                <w:rFonts w:ascii="Times New Roman" w:hAnsi="Times New Roman" w:eastAsia="宋体"/>
                <w:color w:val="FF0000"/>
              </w:rPr>
              <w:t>0.03%</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3.06</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10</w:t>
            </w:r>
          </w:p>
        </w:tc>
        <w:tc>
          <w:tcPr>
            <w:tcW w:w="1701" w:type="dxa"/>
            <w:vAlign w:val="center"/>
          </w:tcPr>
          <w:p>
            <w:pPr>
              <w:pStyle w:val="41"/>
              <w:spacing w:line="240" w:lineRule="auto"/>
              <w:rPr>
                <w:color w:val="FF0000"/>
              </w:rPr>
            </w:pPr>
            <w:r>
              <w:rPr>
                <w:rFonts w:hint="eastAsia"/>
                <w:color w:val="FF0000"/>
              </w:rPr>
              <w:t>孕育剂</w:t>
            </w:r>
            <w:r>
              <w:rPr>
                <w:color w:val="FF0000"/>
              </w:rPr>
              <w:t>(</w:t>
            </w:r>
            <w:r>
              <w:rPr>
                <w:rFonts w:hint="eastAsia"/>
                <w:color w:val="FF0000"/>
              </w:rPr>
              <w:t>硅铁合金</w:t>
            </w:r>
            <w:r>
              <w:rPr>
                <w:color w:val="FF0000"/>
              </w:rPr>
              <w:t>)</w:t>
            </w:r>
          </w:p>
        </w:tc>
        <w:tc>
          <w:tcPr>
            <w:tcW w:w="1276" w:type="dxa"/>
            <w:vAlign w:val="center"/>
          </w:tcPr>
          <w:p>
            <w:pPr>
              <w:pStyle w:val="41"/>
              <w:spacing w:line="240" w:lineRule="auto"/>
              <w:rPr>
                <w:color w:val="FF0000"/>
              </w:rPr>
            </w:pPr>
            <w:r>
              <w:rPr>
                <w:rFonts w:hint="eastAsia"/>
                <w:color w:val="FF0000"/>
              </w:rPr>
              <w:t>≤</w:t>
            </w:r>
            <w:r>
              <w:rPr>
                <w:color w:val="FF0000"/>
              </w:rPr>
              <w:t>0.02%</w:t>
            </w:r>
          </w:p>
        </w:tc>
        <w:tc>
          <w:tcPr>
            <w:tcW w:w="1275" w:type="dxa"/>
            <w:vAlign w:val="center"/>
          </w:tcPr>
          <w:p>
            <w:pPr>
              <w:pStyle w:val="41"/>
              <w:spacing w:line="240" w:lineRule="auto"/>
              <w:rPr>
                <w:color w:val="FF0000"/>
              </w:rPr>
            </w:pPr>
            <w:r>
              <w:rPr>
                <w:color w:val="FF0000"/>
              </w:rPr>
              <w:t>0.15</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ascii="Times New Roman" w:hAnsi="Times New Roman" w:cs="Times New Roman"/>
                <w:color w:val="FF0000"/>
              </w:rPr>
              <w:t>≤0.02%</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0.18</w:t>
            </w:r>
          </w:p>
        </w:tc>
        <w:tc>
          <w:tcPr>
            <w:tcW w:w="1601"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11</w:t>
            </w:r>
          </w:p>
        </w:tc>
        <w:tc>
          <w:tcPr>
            <w:tcW w:w="1701" w:type="dxa"/>
            <w:vAlign w:val="center"/>
          </w:tcPr>
          <w:p>
            <w:pPr>
              <w:pStyle w:val="41"/>
              <w:spacing w:line="240" w:lineRule="auto"/>
              <w:rPr>
                <w:color w:val="FF0000"/>
              </w:rPr>
            </w:pPr>
            <w:r>
              <w:rPr>
                <w:rFonts w:hint="eastAsia"/>
                <w:color w:val="FF0000"/>
              </w:rPr>
              <w:t>球化剂</w:t>
            </w:r>
            <w:r>
              <w:rPr>
                <w:color w:val="FF0000"/>
              </w:rPr>
              <w:t>(</w:t>
            </w:r>
            <w:r>
              <w:rPr>
                <w:rFonts w:hint="eastAsia"/>
                <w:color w:val="FF0000"/>
              </w:rPr>
              <w:t>镁颗粒</w:t>
            </w:r>
            <w:r>
              <w:rPr>
                <w:color w:val="FF0000"/>
              </w:rPr>
              <w:t>)</w:t>
            </w:r>
          </w:p>
        </w:tc>
        <w:tc>
          <w:tcPr>
            <w:tcW w:w="1276" w:type="dxa"/>
            <w:vAlign w:val="center"/>
          </w:tcPr>
          <w:p>
            <w:pPr>
              <w:pStyle w:val="41"/>
              <w:spacing w:line="240" w:lineRule="auto"/>
              <w:rPr>
                <w:color w:val="FF0000"/>
              </w:rPr>
            </w:pPr>
            <w:r>
              <w:rPr>
                <w:color w:val="FF0000"/>
              </w:rPr>
              <w:t>/</w:t>
            </w:r>
          </w:p>
        </w:tc>
        <w:tc>
          <w:tcPr>
            <w:tcW w:w="1275" w:type="dxa"/>
            <w:vAlign w:val="center"/>
          </w:tcPr>
          <w:p>
            <w:pPr>
              <w:pStyle w:val="41"/>
              <w:spacing w:line="240" w:lineRule="auto"/>
              <w:rPr>
                <w:color w:val="FF0000"/>
              </w:rPr>
            </w:pPr>
            <w:r>
              <w:rPr>
                <w:color w:val="FF0000"/>
              </w:rPr>
              <w:t>0.11</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0.13</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12</w:t>
            </w:r>
          </w:p>
        </w:tc>
        <w:tc>
          <w:tcPr>
            <w:tcW w:w="1701" w:type="dxa"/>
            <w:vAlign w:val="center"/>
          </w:tcPr>
          <w:p>
            <w:pPr>
              <w:pStyle w:val="41"/>
              <w:spacing w:line="240" w:lineRule="auto"/>
              <w:rPr>
                <w:color w:val="FF0000"/>
              </w:rPr>
            </w:pPr>
            <w:r>
              <w:rPr>
                <w:rFonts w:hint="eastAsia"/>
                <w:color w:val="FF0000"/>
              </w:rPr>
              <w:t>管模内喷涂料</w:t>
            </w:r>
            <w:r>
              <w:rPr>
                <w:color w:val="FF0000"/>
              </w:rPr>
              <w:t>(</w:t>
            </w:r>
            <w:r>
              <w:rPr>
                <w:rFonts w:hint="eastAsia"/>
                <w:color w:val="FF0000"/>
              </w:rPr>
              <w:t>硅藻土</w:t>
            </w:r>
            <w:r>
              <w:rPr>
                <w:color w:val="FF0000"/>
              </w:rPr>
              <w:t>)</w:t>
            </w:r>
          </w:p>
        </w:tc>
        <w:tc>
          <w:tcPr>
            <w:tcW w:w="1276" w:type="dxa"/>
            <w:vAlign w:val="center"/>
          </w:tcPr>
          <w:p>
            <w:pPr>
              <w:pStyle w:val="41"/>
              <w:spacing w:line="240" w:lineRule="auto"/>
              <w:rPr>
                <w:color w:val="FF0000"/>
              </w:rPr>
            </w:pPr>
            <w:r>
              <w:rPr>
                <w:color w:val="FF0000"/>
              </w:rPr>
              <w:t>/</w:t>
            </w:r>
          </w:p>
        </w:tc>
        <w:tc>
          <w:tcPr>
            <w:tcW w:w="1275" w:type="dxa"/>
            <w:vAlign w:val="center"/>
          </w:tcPr>
          <w:p>
            <w:pPr>
              <w:pStyle w:val="41"/>
              <w:spacing w:line="240" w:lineRule="auto"/>
              <w:rPr>
                <w:color w:val="FF0000"/>
              </w:rPr>
            </w:pPr>
            <w:r>
              <w:rPr>
                <w:color w:val="FF0000"/>
              </w:rPr>
              <w:t>0.060</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0.070</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13</w:t>
            </w:r>
          </w:p>
        </w:tc>
        <w:tc>
          <w:tcPr>
            <w:tcW w:w="1701" w:type="dxa"/>
            <w:vAlign w:val="center"/>
          </w:tcPr>
          <w:p>
            <w:pPr>
              <w:pStyle w:val="41"/>
              <w:spacing w:line="240" w:lineRule="auto"/>
              <w:rPr>
                <w:color w:val="FF0000"/>
              </w:rPr>
            </w:pPr>
            <w:r>
              <w:rPr>
                <w:rFonts w:hint="eastAsia"/>
                <w:color w:val="FF0000"/>
              </w:rPr>
              <w:t>沥青漆</w:t>
            </w:r>
          </w:p>
        </w:tc>
        <w:tc>
          <w:tcPr>
            <w:tcW w:w="1276" w:type="dxa"/>
            <w:vAlign w:val="center"/>
          </w:tcPr>
          <w:p>
            <w:pPr>
              <w:pStyle w:val="41"/>
              <w:spacing w:line="240" w:lineRule="auto"/>
              <w:rPr>
                <w:color w:val="FF0000"/>
              </w:rPr>
            </w:pPr>
            <w:r>
              <w:rPr>
                <w:color w:val="FF0000"/>
              </w:rPr>
              <w:t>/</w:t>
            </w:r>
          </w:p>
        </w:tc>
        <w:tc>
          <w:tcPr>
            <w:tcW w:w="1275" w:type="dxa"/>
            <w:vAlign w:val="center"/>
          </w:tcPr>
          <w:p>
            <w:pPr>
              <w:pStyle w:val="41"/>
              <w:spacing w:line="240" w:lineRule="auto"/>
              <w:rPr>
                <w:color w:val="FF0000"/>
              </w:rPr>
            </w:pPr>
            <w:r>
              <w:rPr>
                <w:color w:val="FF0000"/>
              </w:rPr>
              <w:t>0.23</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0.26</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14</w:t>
            </w:r>
          </w:p>
        </w:tc>
        <w:tc>
          <w:tcPr>
            <w:tcW w:w="1701" w:type="dxa"/>
            <w:vAlign w:val="center"/>
          </w:tcPr>
          <w:p>
            <w:pPr>
              <w:pStyle w:val="41"/>
              <w:spacing w:line="240" w:lineRule="auto"/>
              <w:rPr>
                <w:color w:val="FF0000"/>
              </w:rPr>
            </w:pPr>
            <w:r>
              <w:rPr>
                <w:rFonts w:hint="eastAsia"/>
                <w:color w:val="FF0000"/>
              </w:rPr>
              <w:t>水泥</w:t>
            </w:r>
          </w:p>
        </w:tc>
        <w:tc>
          <w:tcPr>
            <w:tcW w:w="1276" w:type="dxa"/>
            <w:vAlign w:val="center"/>
          </w:tcPr>
          <w:p>
            <w:pPr>
              <w:pStyle w:val="41"/>
              <w:spacing w:line="240" w:lineRule="auto"/>
              <w:rPr>
                <w:color w:val="FF0000"/>
              </w:rPr>
            </w:pPr>
            <w:r>
              <w:rPr>
                <w:color w:val="FF0000"/>
              </w:rPr>
              <w:t>/</w:t>
            </w:r>
          </w:p>
        </w:tc>
        <w:tc>
          <w:tcPr>
            <w:tcW w:w="1275" w:type="dxa"/>
            <w:vAlign w:val="center"/>
          </w:tcPr>
          <w:p>
            <w:pPr>
              <w:pStyle w:val="41"/>
              <w:spacing w:line="240" w:lineRule="auto"/>
              <w:rPr>
                <w:color w:val="FF0000"/>
              </w:rPr>
            </w:pPr>
            <w:r>
              <w:rPr>
                <w:color w:val="FF0000"/>
              </w:rPr>
              <w:t>2.30</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2.66</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15</w:t>
            </w:r>
          </w:p>
        </w:tc>
        <w:tc>
          <w:tcPr>
            <w:tcW w:w="1701" w:type="dxa"/>
            <w:vAlign w:val="center"/>
          </w:tcPr>
          <w:p>
            <w:pPr>
              <w:pStyle w:val="41"/>
              <w:spacing w:line="240" w:lineRule="auto"/>
              <w:rPr>
                <w:color w:val="FF0000"/>
              </w:rPr>
            </w:pPr>
            <w:r>
              <w:rPr>
                <w:rFonts w:hint="eastAsia"/>
                <w:color w:val="FF0000"/>
              </w:rPr>
              <w:t>锌丝</w:t>
            </w:r>
          </w:p>
        </w:tc>
        <w:tc>
          <w:tcPr>
            <w:tcW w:w="1276" w:type="dxa"/>
            <w:vAlign w:val="center"/>
          </w:tcPr>
          <w:p>
            <w:pPr>
              <w:pStyle w:val="41"/>
              <w:spacing w:line="240" w:lineRule="auto"/>
              <w:rPr>
                <w:color w:val="FF0000"/>
              </w:rPr>
            </w:pPr>
            <w:r>
              <w:rPr>
                <w:color w:val="FF0000"/>
              </w:rPr>
              <w:t>/</w:t>
            </w:r>
          </w:p>
        </w:tc>
        <w:tc>
          <w:tcPr>
            <w:tcW w:w="1275" w:type="dxa"/>
            <w:vAlign w:val="center"/>
          </w:tcPr>
          <w:p>
            <w:pPr>
              <w:pStyle w:val="41"/>
              <w:spacing w:line="240" w:lineRule="auto"/>
              <w:rPr>
                <w:color w:val="FF0000"/>
              </w:rPr>
            </w:pPr>
            <w:r>
              <w:rPr>
                <w:color w:val="FF0000"/>
              </w:rPr>
              <w:t>0.25</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0.29</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s="Times New Roman"/>
                <w:color w:val="FF0000"/>
                <w:kern w:val="0"/>
                <w:szCs w:val="20"/>
              </w:rPr>
            </w:pPr>
            <w:r>
              <w:rPr>
                <w:rFonts w:ascii="Times New Roman" w:hAnsi="Times New Roman" w:eastAsia="宋体" w:cs="Times New Roman"/>
                <w:color w:val="FF0000"/>
                <w:kern w:val="0"/>
                <w:szCs w:val="20"/>
              </w:rPr>
              <w:t>16</w:t>
            </w:r>
          </w:p>
        </w:tc>
        <w:tc>
          <w:tcPr>
            <w:tcW w:w="1701" w:type="dxa"/>
            <w:vAlign w:val="center"/>
          </w:tcPr>
          <w:p>
            <w:pPr>
              <w:pStyle w:val="41"/>
              <w:spacing w:line="240" w:lineRule="auto"/>
              <w:rPr>
                <w:color w:val="FF0000"/>
              </w:rPr>
            </w:pPr>
            <w:r>
              <w:rPr>
                <w:rFonts w:hint="eastAsia"/>
                <w:color w:val="FF0000"/>
              </w:rPr>
              <w:t>萤石</w:t>
            </w:r>
          </w:p>
        </w:tc>
        <w:tc>
          <w:tcPr>
            <w:tcW w:w="1276" w:type="dxa"/>
            <w:vAlign w:val="center"/>
          </w:tcPr>
          <w:p>
            <w:pPr>
              <w:pStyle w:val="41"/>
              <w:spacing w:line="240" w:lineRule="auto"/>
              <w:rPr>
                <w:color w:val="FF0000"/>
              </w:rPr>
            </w:pPr>
            <w:r>
              <w:rPr>
                <w:rFonts w:hint="eastAsia"/>
                <w:color w:val="FF0000"/>
              </w:rPr>
              <w:t>/</w:t>
            </w:r>
          </w:p>
        </w:tc>
        <w:tc>
          <w:tcPr>
            <w:tcW w:w="1275" w:type="dxa"/>
            <w:vAlign w:val="center"/>
          </w:tcPr>
          <w:p>
            <w:pPr>
              <w:pStyle w:val="41"/>
              <w:spacing w:line="240" w:lineRule="auto"/>
              <w:rPr>
                <w:color w:val="FF0000"/>
              </w:rPr>
            </w:pPr>
            <w:r>
              <w:rPr>
                <w:color w:val="FF0000"/>
              </w:rPr>
              <w:t>0.017</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ascii="Times New Roman" w:hAnsi="Times New Roman" w:eastAsia="宋体" w:cs="Times New Roman"/>
                <w:color w:val="FF0000"/>
                <w:kern w:val="0"/>
                <w:szCs w:val="20"/>
              </w:rPr>
              <w:t>/</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0.018</w:t>
            </w:r>
          </w:p>
        </w:tc>
        <w:tc>
          <w:tcPr>
            <w:tcW w:w="1601"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17</w:t>
            </w:r>
          </w:p>
        </w:tc>
        <w:tc>
          <w:tcPr>
            <w:tcW w:w="1701" w:type="dxa"/>
            <w:vAlign w:val="center"/>
          </w:tcPr>
          <w:p>
            <w:pPr>
              <w:pStyle w:val="41"/>
              <w:spacing w:line="240" w:lineRule="auto"/>
              <w:rPr>
                <w:color w:val="FF0000"/>
              </w:rPr>
            </w:pPr>
            <w:r>
              <w:rPr>
                <w:rFonts w:hint="eastAsia"/>
                <w:color w:val="FF0000"/>
              </w:rPr>
              <w:t>石灰石</w:t>
            </w:r>
          </w:p>
        </w:tc>
        <w:tc>
          <w:tcPr>
            <w:tcW w:w="1276" w:type="dxa"/>
            <w:vAlign w:val="center"/>
          </w:tcPr>
          <w:p>
            <w:pPr>
              <w:pStyle w:val="41"/>
              <w:spacing w:line="240" w:lineRule="auto"/>
              <w:rPr>
                <w:color w:val="FF0000"/>
              </w:rPr>
            </w:pPr>
            <w:r>
              <w:rPr>
                <w:rFonts w:hint="eastAsia"/>
                <w:color w:val="FF0000"/>
              </w:rPr>
              <w:t>≤</w:t>
            </w:r>
            <w:r>
              <w:rPr>
                <w:color w:val="FF0000"/>
              </w:rPr>
              <w:t>0.02%</w:t>
            </w:r>
          </w:p>
        </w:tc>
        <w:tc>
          <w:tcPr>
            <w:tcW w:w="1275" w:type="dxa"/>
            <w:vAlign w:val="center"/>
          </w:tcPr>
          <w:p>
            <w:pPr>
              <w:pStyle w:val="41"/>
              <w:spacing w:line="240" w:lineRule="auto"/>
              <w:rPr>
                <w:color w:val="FF0000"/>
              </w:rPr>
            </w:pPr>
            <w:r>
              <w:rPr>
                <w:color w:val="FF0000"/>
              </w:rPr>
              <w:t>62.69</w:t>
            </w:r>
          </w:p>
        </w:tc>
        <w:tc>
          <w:tcPr>
            <w:tcW w:w="1276" w:type="dxa"/>
            <w:vAlign w:val="center"/>
          </w:tcPr>
          <w:p>
            <w:pPr>
              <w:pStyle w:val="41"/>
              <w:spacing w:line="240" w:lineRule="auto"/>
              <w:rPr>
                <w:color w:val="FF0000"/>
              </w:rPr>
            </w:pPr>
            <w:r>
              <w:rPr>
                <w:rFonts w:hint="eastAsia"/>
                <w:color w:val="FF0000"/>
              </w:rPr>
              <w:t>≤0.02%</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64.28</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18</w:t>
            </w:r>
          </w:p>
        </w:tc>
        <w:tc>
          <w:tcPr>
            <w:tcW w:w="1701" w:type="dxa"/>
            <w:vAlign w:val="center"/>
          </w:tcPr>
          <w:p>
            <w:pPr>
              <w:pStyle w:val="41"/>
              <w:spacing w:line="240" w:lineRule="auto"/>
              <w:rPr>
                <w:color w:val="FF0000"/>
              </w:rPr>
            </w:pPr>
            <w:r>
              <w:rPr>
                <w:rFonts w:hint="eastAsia"/>
                <w:color w:val="FF0000"/>
              </w:rPr>
              <w:t>生白云石</w:t>
            </w:r>
          </w:p>
        </w:tc>
        <w:tc>
          <w:tcPr>
            <w:tcW w:w="1276" w:type="dxa"/>
            <w:vAlign w:val="center"/>
          </w:tcPr>
          <w:p>
            <w:pPr>
              <w:pStyle w:val="41"/>
              <w:spacing w:line="240" w:lineRule="auto"/>
              <w:rPr>
                <w:color w:val="FF0000"/>
              </w:rPr>
            </w:pPr>
            <w:r>
              <w:rPr>
                <w:rFonts w:hint="eastAsia"/>
                <w:color w:val="FF0000"/>
              </w:rPr>
              <w:t>≤0.02%</w:t>
            </w:r>
          </w:p>
        </w:tc>
        <w:tc>
          <w:tcPr>
            <w:tcW w:w="1275" w:type="dxa"/>
            <w:vAlign w:val="center"/>
          </w:tcPr>
          <w:p>
            <w:pPr>
              <w:pStyle w:val="41"/>
              <w:spacing w:line="240" w:lineRule="auto"/>
              <w:rPr>
                <w:color w:val="FF0000"/>
              </w:rPr>
            </w:pPr>
            <w:r>
              <w:rPr>
                <w:color w:val="FF0000"/>
              </w:rPr>
              <w:t>1.88</w:t>
            </w:r>
          </w:p>
        </w:tc>
        <w:tc>
          <w:tcPr>
            <w:tcW w:w="1276" w:type="dxa"/>
            <w:vAlign w:val="center"/>
          </w:tcPr>
          <w:p>
            <w:pPr>
              <w:pStyle w:val="41"/>
              <w:spacing w:line="240" w:lineRule="auto"/>
              <w:rPr>
                <w:color w:val="FF0000"/>
              </w:rPr>
            </w:pPr>
            <w:r>
              <w:rPr>
                <w:rFonts w:hint="eastAsia"/>
                <w:color w:val="FF0000"/>
              </w:rPr>
              <w:t>≤0.02%</w:t>
            </w:r>
          </w:p>
        </w:tc>
        <w:tc>
          <w:tcPr>
            <w:tcW w:w="1276"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1.95</w:t>
            </w:r>
          </w:p>
        </w:tc>
        <w:tc>
          <w:tcPr>
            <w:tcW w:w="1601"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19</w:t>
            </w:r>
          </w:p>
        </w:tc>
        <w:tc>
          <w:tcPr>
            <w:tcW w:w="1701" w:type="dxa"/>
            <w:vAlign w:val="center"/>
          </w:tcPr>
          <w:p>
            <w:pPr>
              <w:pStyle w:val="41"/>
              <w:spacing w:line="240" w:lineRule="auto"/>
              <w:rPr>
                <w:color w:val="FF0000"/>
              </w:rPr>
            </w:pPr>
            <w:r>
              <w:rPr>
                <w:rFonts w:hint="eastAsia"/>
                <w:color w:val="FF0000"/>
              </w:rPr>
              <w:t>轻烧白云石</w:t>
            </w:r>
          </w:p>
        </w:tc>
        <w:tc>
          <w:tcPr>
            <w:tcW w:w="1276" w:type="dxa"/>
            <w:vAlign w:val="center"/>
          </w:tcPr>
          <w:p>
            <w:pPr>
              <w:pStyle w:val="41"/>
              <w:spacing w:line="240" w:lineRule="auto"/>
              <w:rPr>
                <w:color w:val="FF0000"/>
              </w:rPr>
            </w:pPr>
            <w:r>
              <w:rPr>
                <w:rFonts w:hint="eastAsia"/>
                <w:color w:val="FF0000"/>
              </w:rPr>
              <w:t>≤</w:t>
            </w:r>
            <w:r>
              <w:rPr>
                <w:color w:val="FF0000"/>
              </w:rPr>
              <w:t>0.03%</w:t>
            </w:r>
          </w:p>
        </w:tc>
        <w:tc>
          <w:tcPr>
            <w:tcW w:w="1275" w:type="dxa"/>
            <w:vAlign w:val="center"/>
          </w:tcPr>
          <w:p>
            <w:pPr>
              <w:pStyle w:val="41"/>
              <w:spacing w:line="240" w:lineRule="auto"/>
              <w:rPr>
                <w:color w:val="FF0000"/>
              </w:rPr>
            </w:pPr>
            <w:r>
              <w:rPr>
                <w:color w:val="FF0000"/>
              </w:rPr>
              <w:t>10.50</w:t>
            </w:r>
          </w:p>
        </w:tc>
        <w:tc>
          <w:tcPr>
            <w:tcW w:w="1276" w:type="dxa"/>
            <w:vAlign w:val="center"/>
          </w:tcPr>
          <w:p>
            <w:pPr>
              <w:pStyle w:val="41"/>
              <w:spacing w:line="240" w:lineRule="auto"/>
              <w:rPr>
                <w:color w:val="FF0000"/>
              </w:rPr>
            </w:pPr>
            <w:r>
              <w:rPr>
                <w:rFonts w:hint="eastAsia"/>
                <w:color w:val="FF0000"/>
              </w:rPr>
              <w:t>≤0.03%</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11.00</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减小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s="Times New Roman"/>
                <w:color w:val="FF0000"/>
                <w:kern w:val="0"/>
                <w:szCs w:val="20"/>
              </w:rPr>
            </w:pPr>
            <w:r>
              <w:rPr>
                <w:rFonts w:ascii="Times New Roman" w:hAnsi="Times New Roman" w:eastAsia="宋体" w:cs="Times New Roman"/>
                <w:color w:val="FF0000"/>
                <w:kern w:val="0"/>
                <w:szCs w:val="20"/>
              </w:rPr>
              <w:t>20</w:t>
            </w:r>
          </w:p>
        </w:tc>
        <w:tc>
          <w:tcPr>
            <w:tcW w:w="1701" w:type="dxa"/>
            <w:vAlign w:val="center"/>
          </w:tcPr>
          <w:p>
            <w:pPr>
              <w:pStyle w:val="41"/>
              <w:spacing w:line="240" w:lineRule="auto"/>
              <w:rPr>
                <w:color w:val="FF0000"/>
              </w:rPr>
            </w:pPr>
            <w:r>
              <w:rPr>
                <w:rFonts w:hint="eastAsia"/>
                <w:color w:val="FF0000"/>
              </w:rPr>
              <w:t>乳化液</w:t>
            </w:r>
            <w:r>
              <w:rPr>
                <w:color w:val="FF0000"/>
              </w:rPr>
              <w:t>(</w:t>
            </w:r>
            <w:r>
              <w:rPr>
                <w:rFonts w:hint="eastAsia"/>
                <w:color w:val="FF0000"/>
              </w:rPr>
              <w:t>脂</w:t>
            </w:r>
            <w:r>
              <w:rPr>
                <w:color w:val="FF0000"/>
              </w:rPr>
              <w:t>)</w:t>
            </w:r>
          </w:p>
        </w:tc>
        <w:tc>
          <w:tcPr>
            <w:tcW w:w="1276" w:type="dxa"/>
            <w:vAlign w:val="center"/>
          </w:tcPr>
          <w:p>
            <w:pPr>
              <w:pStyle w:val="41"/>
              <w:spacing w:line="240" w:lineRule="auto"/>
              <w:rPr>
                <w:color w:val="FF0000"/>
              </w:rPr>
            </w:pPr>
            <w:r>
              <w:rPr>
                <w:color w:val="FF0000"/>
              </w:rPr>
              <w:t>/</w:t>
            </w:r>
          </w:p>
        </w:tc>
        <w:tc>
          <w:tcPr>
            <w:tcW w:w="1275" w:type="dxa"/>
            <w:vAlign w:val="center"/>
          </w:tcPr>
          <w:p>
            <w:pPr>
              <w:pStyle w:val="41"/>
              <w:spacing w:line="240" w:lineRule="auto"/>
              <w:rPr>
                <w:color w:val="FF0000"/>
              </w:rPr>
            </w:pPr>
            <w:r>
              <w:rPr>
                <w:color w:val="FF0000"/>
              </w:rPr>
              <w:t>0</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ascii="Times New Roman" w:hAnsi="Times New Roman" w:eastAsia="宋体" w:cs="Times New Roman"/>
                <w:color w:val="FF0000"/>
                <w:kern w:val="0"/>
                <w:szCs w:val="20"/>
              </w:rPr>
              <w:t>/</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0</w:t>
            </w:r>
          </w:p>
        </w:tc>
        <w:tc>
          <w:tcPr>
            <w:tcW w:w="1601"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银亮材未建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s="Times New Roman"/>
                <w:color w:val="FF0000"/>
                <w:kern w:val="0"/>
                <w:szCs w:val="20"/>
              </w:rPr>
            </w:pPr>
            <w:r>
              <w:rPr>
                <w:rFonts w:ascii="Times New Roman" w:hAnsi="Times New Roman" w:eastAsia="宋体" w:cs="Times New Roman"/>
                <w:color w:val="FF0000"/>
                <w:kern w:val="0"/>
                <w:szCs w:val="20"/>
              </w:rPr>
              <w:t>21</w:t>
            </w:r>
          </w:p>
        </w:tc>
        <w:tc>
          <w:tcPr>
            <w:tcW w:w="1701" w:type="dxa"/>
            <w:vAlign w:val="center"/>
          </w:tcPr>
          <w:p>
            <w:pPr>
              <w:pStyle w:val="41"/>
              <w:spacing w:line="240" w:lineRule="auto"/>
              <w:rPr>
                <w:color w:val="FF0000"/>
              </w:rPr>
            </w:pPr>
            <w:r>
              <w:rPr>
                <w:rFonts w:hint="eastAsia"/>
                <w:color w:val="FF0000"/>
              </w:rPr>
              <w:t>活性炭</w:t>
            </w:r>
          </w:p>
        </w:tc>
        <w:tc>
          <w:tcPr>
            <w:tcW w:w="1276" w:type="dxa"/>
            <w:vAlign w:val="center"/>
          </w:tcPr>
          <w:p>
            <w:pPr>
              <w:pStyle w:val="41"/>
              <w:spacing w:line="240" w:lineRule="auto"/>
              <w:rPr>
                <w:color w:val="FF0000"/>
              </w:rPr>
            </w:pPr>
            <w:r>
              <w:rPr>
                <w:color w:val="FF0000"/>
              </w:rPr>
              <w:t>/</w:t>
            </w:r>
          </w:p>
        </w:tc>
        <w:tc>
          <w:tcPr>
            <w:tcW w:w="1275" w:type="dxa"/>
            <w:vAlign w:val="center"/>
          </w:tcPr>
          <w:p>
            <w:pPr>
              <w:pStyle w:val="41"/>
              <w:spacing w:line="240" w:lineRule="auto"/>
              <w:rPr>
                <w:color w:val="FF0000"/>
              </w:rPr>
            </w:pPr>
            <w:r>
              <w:rPr>
                <w:color w:val="FF0000"/>
              </w:rPr>
              <w:t>0.0055</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ascii="Times New Roman" w:hAnsi="Times New Roman" w:eastAsia="宋体" w:cs="Times New Roman"/>
                <w:color w:val="FF0000"/>
                <w:kern w:val="0"/>
                <w:szCs w:val="20"/>
              </w:rPr>
              <w:t>/</w:t>
            </w:r>
          </w:p>
        </w:tc>
        <w:tc>
          <w:tcPr>
            <w:tcW w:w="1276"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0.0067</w:t>
            </w:r>
          </w:p>
        </w:tc>
        <w:tc>
          <w:tcPr>
            <w:tcW w:w="1601" w:type="dxa"/>
            <w:vAlign w:val="center"/>
          </w:tcPr>
          <w:p>
            <w:pPr>
              <w:pStyle w:val="2"/>
              <w:spacing w:after="0"/>
              <w:jc w:val="center"/>
              <w:rPr>
                <w:rFonts w:ascii="Times New Roman" w:hAnsi="Times New Roman" w:eastAsia="宋体" w:cs="Times New Roman"/>
                <w:color w:val="FF0000"/>
                <w:kern w:val="0"/>
                <w:szCs w:val="20"/>
              </w:rPr>
            </w:pPr>
            <w:r>
              <w:rPr>
                <w:rFonts w:hint="eastAsia" w:ascii="Times New Roman" w:hAnsi="Times New Roman" w:eastAsia="宋体" w:cs="Times New Roman"/>
                <w:color w:val="FF0000"/>
                <w:kern w:val="0"/>
                <w:szCs w:val="20"/>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22</w:t>
            </w:r>
          </w:p>
        </w:tc>
        <w:tc>
          <w:tcPr>
            <w:tcW w:w="1701" w:type="dxa"/>
            <w:vAlign w:val="center"/>
          </w:tcPr>
          <w:p>
            <w:pPr>
              <w:pStyle w:val="41"/>
              <w:spacing w:line="240" w:lineRule="auto"/>
              <w:rPr>
                <w:color w:val="FF0000"/>
              </w:rPr>
            </w:pPr>
            <w:r>
              <w:rPr>
                <w:rFonts w:hint="eastAsia"/>
                <w:color w:val="FF0000"/>
              </w:rPr>
              <w:t>制芯砂</w:t>
            </w:r>
          </w:p>
        </w:tc>
        <w:tc>
          <w:tcPr>
            <w:tcW w:w="1276" w:type="dxa"/>
            <w:vAlign w:val="center"/>
          </w:tcPr>
          <w:p>
            <w:pPr>
              <w:pStyle w:val="41"/>
              <w:spacing w:line="240" w:lineRule="auto"/>
              <w:rPr>
                <w:color w:val="FF0000"/>
              </w:rPr>
            </w:pPr>
            <w:r>
              <w:rPr>
                <w:color w:val="FF0000"/>
              </w:rPr>
              <w:t>/</w:t>
            </w:r>
          </w:p>
        </w:tc>
        <w:tc>
          <w:tcPr>
            <w:tcW w:w="1275" w:type="dxa"/>
            <w:vAlign w:val="center"/>
          </w:tcPr>
          <w:p>
            <w:pPr>
              <w:pStyle w:val="41"/>
              <w:spacing w:line="240" w:lineRule="auto"/>
              <w:rPr>
                <w:color w:val="FF0000"/>
              </w:rPr>
            </w:pPr>
            <w:r>
              <w:rPr>
                <w:color w:val="FF0000"/>
              </w:rPr>
              <w:t>0.023</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0.026</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23</w:t>
            </w:r>
          </w:p>
        </w:tc>
        <w:tc>
          <w:tcPr>
            <w:tcW w:w="1701" w:type="dxa"/>
            <w:vAlign w:val="center"/>
          </w:tcPr>
          <w:p>
            <w:pPr>
              <w:pStyle w:val="41"/>
              <w:spacing w:line="240" w:lineRule="auto"/>
              <w:rPr>
                <w:color w:val="FF0000"/>
              </w:rPr>
            </w:pPr>
            <w:r>
              <w:rPr>
                <w:rFonts w:hint="eastAsia"/>
                <w:color w:val="FF0000"/>
              </w:rPr>
              <w:t>树脂</w:t>
            </w:r>
          </w:p>
        </w:tc>
        <w:tc>
          <w:tcPr>
            <w:tcW w:w="1276" w:type="dxa"/>
            <w:vAlign w:val="center"/>
          </w:tcPr>
          <w:p>
            <w:pPr>
              <w:pStyle w:val="41"/>
              <w:spacing w:line="240" w:lineRule="auto"/>
              <w:rPr>
                <w:color w:val="FF0000"/>
                <w:szCs w:val="18"/>
              </w:rPr>
            </w:pPr>
            <w:r>
              <w:rPr>
                <w:color w:val="FF0000"/>
                <w:szCs w:val="18"/>
              </w:rPr>
              <w:t>/</w:t>
            </w:r>
          </w:p>
        </w:tc>
        <w:tc>
          <w:tcPr>
            <w:tcW w:w="1275" w:type="dxa"/>
            <w:vAlign w:val="center"/>
          </w:tcPr>
          <w:p>
            <w:pPr>
              <w:pStyle w:val="41"/>
              <w:spacing w:line="240" w:lineRule="auto"/>
              <w:rPr>
                <w:color w:val="FF0000"/>
              </w:rPr>
            </w:pPr>
            <w:r>
              <w:rPr>
                <w:color w:val="FF0000"/>
              </w:rPr>
              <w:t>0.068</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0.070</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增大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67"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24</w:t>
            </w:r>
          </w:p>
        </w:tc>
        <w:tc>
          <w:tcPr>
            <w:tcW w:w="1701" w:type="dxa"/>
            <w:vAlign w:val="center"/>
          </w:tcPr>
          <w:p>
            <w:pPr>
              <w:pStyle w:val="41"/>
              <w:spacing w:line="240" w:lineRule="auto"/>
              <w:rPr>
                <w:color w:val="FF0000"/>
              </w:rPr>
            </w:pPr>
            <w:r>
              <w:rPr>
                <w:rFonts w:hint="eastAsia"/>
                <w:color w:val="FF0000"/>
              </w:rPr>
              <w:t>三乙胺</w:t>
            </w:r>
          </w:p>
        </w:tc>
        <w:tc>
          <w:tcPr>
            <w:tcW w:w="1276" w:type="dxa"/>
            <w:vAlign w:val="center"/>
          </w:tcPr>
          <w:p>
            <w:pPr>
              <w:pStyle w:val="41"/>
              <w:spacing w:line="240" w:lineRule="auto"/>
              <w:rPr>
                <w:color w:val="FF0000"/>
                <w:szCs w:val="18"/>
              </w:rPr>
            </w:pPr>
            <w:r>
              <w:rPr>
                <w:color w:val="FF0000"/>
                <w:szCs w:val="18"/>
              </w:rPr>
              <w:t>/</w:t>
            </w:r>
          </w:p>
        </w:tc>
        <w:tc>
          <w:tcPr>
            <w:tcW w:w="1275" w:type="dxa"/>
            <w:vAlign w:val="center"/>
          </w:tcPr>
          <w:p>
            <w:pPr>
              <w:pStyle w:val="41"/>
              <w:spacing w:line="240" w:lineRule="auto"/>
              <w:rPr>
                <w:color w:val="FF0000"/>
              </w:rPr>
            </w:pPr>
            <w:r>
              <w:rPr>
                <w:color w:val="FF0000"/>
              </w:rPr>
              <w:t>0.0014</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w:t>
            </w:r>
          </w:p>
        </w:tc>
        <w:tc>
          <w:tcPr>
            <w:tcW w:w="1276"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0.0016</w:t>
            </w:r>
          </w:p>
        </w:tc>
        <w:tc>
          <w:tcPr>
            <w:tcW w:w="1601"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s="Times New Roman"/>
                <w:color w:val="FF0000"/>
                <w:kern w:val="0"/>
                <w:szCs w:val="20"/>
              </w:rPr>
              <w:t>增大</w:t>
            </w:r>
          </w:p>
        </w:tc>
      </w:tr>
    </w:tbl>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由上表可知，</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相比，原辅料的消耗量均有不同程度的变化，这是由于后评价阶段实际产能发生变化所致。</w:t>
      </w:r>
    </w:p>
    <w:p>
      <w:pPr>
        <w:spacing w:before="156" w:beforeLines="50" w:after="156" w:afterLines="50" w:line="360" w:lineRule="auto"/>
        <w:outlineLvl w:val="2"/>
        <w:rPr>
          <w:rFonts w:ascii="Times New Roman" w:hAnsi="Times New Roman" w:eastAsia="黑体" w:cs="Times New Roman"/>
          <w:color w:val="FF0000"/>
          <w:sz w:val="24"/>
          <w:szCs w:val="24"/>
        </w:rPr>
      </w:pPr>
      <w:r>
        <w:rPr>
          <w:rFonts w:ascii="Times New Roman" w:hAnsi="Times New Roman" w:eastAsia="黑体" w:cs="Times New Roman"/>
          <w:color w:val="FF0000"/>
          <w:sz w:val="24"/>
          <w:szCs w:val="24"/>
        </w:rPr>
        <w:t>3.4.3生产设备变化情况</w:t>
      </w:r>
    </w:p>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后评价阶段与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改造项目环境影响现状评价</w:t>
      </w:r>
      <w:r>
        <w:rPr>
          <w:rFonts w:hint="eastAsia" w:ascii="Times New Roman" w:hAnsi="Times New Roman" w:eastAsia="宋体" w:cs="Times New Roman"/>
          <w:color w:val="FF0000"/>
          <w:sz w:val="24"/>
        </w:rPr>
        <w:t>阶段</w:t>
      </w:r>
      <w:r>
        <w:rPr>
          <w:rFonts w:ascii="Times New Roman" w:hAnsi="Times New Roman" w:eastAsia="宋体" w:cs="Times New Roman"/>
          <w:color w:val="FF0000"/>
          <w:sz w:val="24"/>
        </w:rPr>
        <w:t>相比，主要生产设备变化情况见表3.4-3。</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表3.4-3  主要生产设备变化情况表</w:t>
      </w:r>
    </w:p>
    <w:tbl>
      <w:tblPr>
        <w:tblStyle w:val="22"/>
        <w:tblW w:w="1417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062"/>
        <w:gridCol w:w="1768"/>
        <w:gridCol w:w="708"/>
        <w:gridCol w:w="707"/>
        <w:gridCol w:w="1533"/>
        <w:gridCol w:w="943"/>
        <w:gridCol w:w="2122"/>
        <w:gridCol w:w="2578"/>
        <w:gridCol w:w="21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序号</w:t>
            </w:r>
          </w:p>
        </w:tc>
        <w:tc>
          <w:tcPr>
            <w:tcW w:w="1062" w:type="dxa"/>
            <w:vMerge w:val="restart"/>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车间名称</w:t>
            </w:r>
          </w:p>
        </w:tc>
        <w:tc>
          <w:tcPr>
            <w:tcW w:w="1768" w:type="dxa"/>
            <w:vMerge w:val="restart"/>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设备名称</w:t>
            </w:r>
          </w:p>
        </w:tc>
        <w:tc>
          <w:tcPr>
            <w:tcW w:w="708" w:type="dxa"/>
            <w:vMerge w:val="restart"/>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单位</w:t>
            </w:r>
          </w:p>
        </w:tc>
        <w:tc>
          <w:tcPr>
            <w:tcW w:w="2240" w:type="dxa"/>
            <w:gridSpan w:val="2"/>
            <w:vAlign w:val="center"/>
          </w:tcPr>
          <w:p>
            <w:pPr>
              <w:pStyle w:val="2"/>
              <w:spacing w:after="0"/>
              <w:jc w:val="center"/>
              <w:rPr>
                <w:rFonts w:ascii="Times New Roman" w:hAnsi="Times New Roman" w:eastAsia="宋体" w:cs="Times New Roman"/>
                <w:b/>
                <w:color w:val="FF0000"/>
                <w:szCs w:val="21"/>
              </w:rPr>
            </w:pPr>
            <w:r>
              <w:rPr>
                <w:rFonts w:hint="eastAsia" w:ascii="Times New Roman" w:hAnsi="Times New Roman" w:eastAsia="宋体" w:cs="Times New Roman"/>
                <w:b/>
                <w:color w:val="FF0000"/>
                <w:szCs w:val="21"/>
              </w:rPr>
              <w:t>现状评价阶段</w:t>
            </w:r>
          </w:p>
        </w:tc>
        <w:tc>
          <w:tcPr>
            <w:tcW w:w="3065" w:type="dxa"/>
            <w:gridSpan w:val="2"/>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后评价阶段</w:t>
            </w:r>
          </w:p>
        </w:tc>
        <w:tc>
          <w:tcPr>
            <w:tcW w:w="2578" w:type="dxa"/>
            <w:vMerge w:val="restart"/>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后评价阶段相对</w:t>
            </w:r>
            <w:r>
              <w:rPr>
                <w:rFonts w:hint="eastAsia" w:ascii="Times New Roman" w:hAnsi="Times New Roman" w:eastAsia="宋体" w:cs="Times New Roman"/>
                <w:b/>
                <w:color w:val="FF0000"/>
                <w:szCs w:val="21"/>
              </w:rPr>
              <w:t>现状评价</w:t>
            </w:r>
            <w:r>
              <w:rPr>
                <w:rFonts w:ascii="Times New Roman" w:hAnsi="Times New Roman" w:eastAsia="宋体" w:cs="Times New Roman"/>
                <w:b/>
                <w:color w:val="FF0000"/>
                <w:szCs w:val="21"/>
              </w:rPr>
              <w:t>阶段变化情况</w:t>
            </w:r>
          </w:p>
        </w:tc>
        <w:tc>
          <w:tcPr>
            <w:tcW w:w="2190" w:type="dxa"/>
            <w:vMerge w:val="restart"/>
            <w:vAlign w:val="center"/>
          </w:tcPr>
          <w:p>
            <w:pPr>
              <w:pStyle w:val="2"/>
              <w:spacing w:after="0"/>
              <w:jc w:val="center"/>
              <w:rPr>
                <w:rFonts w:ascii="Times New Roman" w:hAnsi="Times New Roman" w:eastAsia="宋体" w:cs="Times New Roman"/>
                <w:b/>
                <w:color w:val="FF0000"/>
                <w:szCs w:val="21"/>
              </w:rPr>
            </w:pPr>
            <w:r>
              <w:rPr>
                <w:rFonts w:hint="eastAsia" w:ascii="Times New Roman" w:hAnsi="Times New Roman" w:eastAsia="宋体" w:cs="Times New Roman"/>
                <w:b/>
                <w:color w:val="FF0000"/>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Merge w:val="continue"/>
            <w:vAlign w:val="center"/>
          </w:tcPr>
          <w:p>
            <w:pPr>
              <w:pStyle w:val="2"/>
              <w:spacing w:after="0"/>
              <w:jc w:val="center"/>
              <w:rPr>
                <w:rFonts w:ascii="Times New Roman" w:hAnsi="Times New Roman" w:eastAsia="宋体" w:cs="Times New Roman"/>
                <w:color w:val="FF0000"/>
                <w:szCs w:val="21"/>
              </w:rPr>
            </w:pPr>
          </w:p>
        </w:tc>
        <w:tc>
          <w:tcPr>
            <w:tcW w:w="708" w:type="dxa"/>
            <w:vMerge w:val="continue"/>
            <w:vAlign w:val="center"/>
          </w:tcPr>
          <w:p>
            <w:pPr>
              <w:pStyle w:val="2"/>
              <w:spacing w:after="0"/>
              <w:jc w:val="center"/>
              <w:rPr>
                <w:rFonts w:ascii="Times New Roman" w:hAnsi="Times New Roman" w:eastAsia="宋体" w:cs="Times New Roman"/>
                <w:color w:val="FF0000"/>
                <w:szCs w:val="21"/>
              </w:rPr>
            </w:pPr>
          </w:p>
        </w:tc>
        <w:tc>
          <w:tcPr>
            <w:tcW w:w="707"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数量</w:t>
            </w:r>
          </w:p>
        </w:tc>
        <w:tc>
          <w:tcPr>
            <w:tcW w:w="1533"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kern w:val="0"/>
                <w:szCs w:val="21"/>
              </w:rPr>
              <w:t>规格</w:t>
            </w:r>
          </w:p>
        </w:tc>
        <w:tc>
          <w:tcPr>
            <w:tcW w:w="943"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数量</w:t>
            </w:r>
          </w:p>
        </w:tc>
        <w:tc>
          <w:tcPr>
            <w:tcW w:w="2122" w:type="dxa"/>
            <w:vAlign w:val="center"/>
          </w:tcPr>
          <w:p>
            <w:pPr>
              <w:pStyle w:val="2"/>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kern w:val="0"/>
                <w:szCs w:val="21"/>
              </w:rPr>
              <w:t>规格</w:t>
            </w:r>
          </w:p>
        </w:tc>
        <w:tc>
          <w:tcPr>
            <w:tcW w:w="2578" w:type="dxa"/>
            <w:vMerge w:val="continue"/>
            <w:vAlign w:val="center"/>
          </w:tcPr>
          <w:p>
            <w:pPr>
              <w:pStyle w:val="2"/>
              <w:spacing w:after="0"/>
              <w:jc w:val="center"/>
              <w:rPr>
                <w:rFonts w:ascii="Times New Roman" w:hAnsi="Times New Roman" w:eastAsia="宋体" w:cs="Times New Roman"/>
                <w:color w:val="FF0000"/>
                <w:szCs w:val="21"/>
              </w:rPr>
            </w:pP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062" w:type="dxa"/>
            <w:vMerge w:val="restart"/>
            <w:vAlign w:val="center"/>
          </w:tcPr>
          <w:p>
            <w:pPr>
              <w:widowControl/>
              <w:jc w:val="center"/>
              <w:rPr>
                <w:rFonts w:ascii="宋体" w:hAnsi="宋体" w:eastAsia="宋体" w:cs="Times New Roman"/>
                <w:color w:val="FF0000"/>
                <w:kern w:val="0"/>
                <w:szCs w:val="21"/>
              </w:rPr>
            </w:pPr>
            <w:r>
              <w:rPr>
                <w:rFonts w:ascii="宋体" w:hAnsi="宋体" w:eastAsia="宋体" w:cs="Times New Roman"/>
                <w:color w:val="FF0000"/>
                <w:szCs w:val="21"/>
              </w:rPr>
              <w:t>原料场</w:t>
            </w:r>
          </w:p>
        </w:tc>
        <w:tc>
          <w:tcPr>
            <w:tcW w:w="1768" w:type="dxa"/>
            <w:vAlign w:val="center"/>
          </w:tcPr>
          <w:p>
            <w:pPr>
              <w:pStyle w:val="41"/>
              <w:spacing w:line="240" w:lineRule="auto"/>
              <w:rPr>
                <w:color w:val="FF0000"/>
                <w:szCs w:val="21"/>
              </w:rPr>
            </w:pPr>
            <w:r>
              <w:rPr>
                <w:color w:val="FF0000"/>
                <w:szCs w:val="21"/>
              </w:rPr>
              <w:t>卸车机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pStyle w:val="41"/>
              <w:spacing w:line="240" w:lineRule="auto"/>
              <w:rPr>
                <w:color w:val="FF0000"/>
                <w:szCs w:val="21"/>
              </w:rPr>
            </w:pPr>
            <w:r>
              <w:rPr>
                <w:rFonts w:hint="eastAsia"/>
                <w:color w:val="FF0000"/>
                <w:szCs w:val="21"/>
              </w:rPr>
              <w:t>4</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w:t>
            </w:r>
          </w:p>
        </w:tc>
        <w:tc>
          <w:tcPr>
            <w:tcW w:w="943" w:type="dxa"/>
            <w:vAlign w:val="center"/>
          </w:tcPr>
          <w:p>
            <w:pPr>
              <w:pStyle w:val="41"/>
              <w:spacing w:line="240" w:lineRule="auto"/>
              <w:rPr>
                <w:color w:val="FF0000"/>
                <w:szCs w:val="21"/>
              </w:rPr>
            </w:pPr>
            <w:r>
              <w:rPr>
                <w:rFonts w:hint="eastAsia"/>
                <w:color w:val="FF0000"/>
                <w:szCs w:val="21"/>
              </w:rPr>
              <w:t>4</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41"/>
              <w:spacing w:line="240" w:lineRule="auto"/>
              <w:rPr>
                <w:color w:val="FF0000"/>
                <w:szCs w:val="21"/>
              </w:rPr>
            </w:pPr>
            <w:r>
              <w:rPr>
                <w:color w:val="FF0000"/>
                <w:szCs w:val="21"/>
              </w:rPr>
              <w:t>堆取料机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pStyle w:val="41"/>
              <w:spacing w:line="240" w:lineRule="auto"/>
              <w:rPr>
                <w:color w:val="FF0000"/>
                <w:szCs w:val="21"/>
              </w:rPr>
            </w:pPr>
            <w:r>
              <w:rPr>
                <w:rFonts w:hint="eastAsia"/>
                <w:color w:val="FF0000"/>
                <w:szCs w:val="21"/>
              </w:rPr>
              <w:t>4</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w:t>
            </w:r>
          </w:p>
        </w:tc>
        <w:tc>
          <w:tcPr>
            <w:tcW w:w="943" w:type="dxa"/>
            <w:vAlign w:val="center"/>
          </w:tcPr>
          <w:p>
            <w:pPr>
              <w:pStyle w:val="41"/>
              <w:spacing w:line="240" w:lineRule="auto"/>
              <w:rPr>
                <w:color w:val="FF0000"/>
                <w:szCs w:val="21"/>
              </w:rPr>
            </w:pPr>
            <w:r>
              <w:rPr>
                <w:rFonts w:hint="eastAsia"/>
                <w:color w:val="FF0000"/>
                <w:szCs w:val="21"/>
              </w:rPr>
              <w:t>4</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0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焦化车间</w:t>
            </w: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焦炉</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58孔6m焦炉</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58孔6m焦炉</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已履行过环评手续</w:t>
            </w:r>
          </w:p>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（环行审[2016]78号）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4" w:hRule="atLeast"/>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干熄焦装置</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套</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150t/h</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150t/h</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4" w:hRule="atLeast"/>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冷凝鼓风系统</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套</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4" w:hRule="atLeast"/>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硫铵系统</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套</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4" w:hRule="atLeast"/>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粗苯系统</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套</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4" w:hRule="atLeast"/>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油库系统</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套</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4" w:hRule="atLeast"/>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备煤系统</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套</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按焦炉配套</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4" w:hRule="atLeast"/>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废水处理系统</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套</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100m³/h</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100m³/h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w:t>
            </w:r>
          </w:p>
        </w:tc>
        <w:tc>
          <w:tcPr>
            <w:tcW w:w="10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kern w:val="0"/>
                <w:szCs w:val="21"/>
              </w:rPr>
              <w:t>烧结车间</w:t>
            </w: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烧结机</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265m</w:t>
            </w:r>
            <w:r>
              <w:rPr>
                <w:rFonts w:ascii="Times New Roman" w:hAnsi="Times New Roman" w:eastAsia="宋体" w:cs="Times New Roman"/>
                <w:color w:val="FF0000"/>
                <w:szCs w:val="21"/>
                <w:vertAlign w:val="superscript"/>
              </w:rPr>
              <w:t>2</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265m</w:t>
            </w:r>
            <w:r>
              <w:rPr>
                <w:rFonts w:ascii="Times New Roman" w:hAnsi="Times New Roman" w:eastAsia="宋体" w:cs="Times New Roman"/>
                <w:color w:val="FF0000"/>
                <w:szCs w:val="21"/>
                <w:vertAlign w:val="superscript"/>
              </w:rPr>
              <w:t>2</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已履行过环评手续</w:t>
            </w:r>
          </w:p>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（环行审[2016]79号）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kern w:val="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配料系统</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套</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1533" w:type="dxa"/>
            <w:vAlign w:val="center"/>
          </w:tcPr>
          <w:p>
            <w:pPr>
              <w:widowControl/>
              <w:jc w:val="center"/>
              <w:rPr>
                <w:rFonts w:ascii="Times New Roman" w:hAnsi="Times New Roman" w:eastAsia="宋体" w:cs="Times New Roman"/>
                <w:color w:val="FF0000"/>
                <w:szCs w:val="21"/>
              </w:rPr>
            </w:pPr>
            <w:r>
              <w:rPr>
                <w:rFonts w:hint="eastAsia" w:ascii="Times New Roman" w:hAnsi="Times New Roman" w:eastAsia="宋体"/>
                <w:color w:val="FF0000"/>
                <w:szCs w:val="21"/>
              </w:rPr>
              <w:t>44</w:t>
            </w:r>
            <w:r>
              <w:rPr>
                <w:rFonts w:ascii="Times New Roman" w:hAnsi="Times New Roman" w:eastAsia="宋体"/>
                <w:color w:val="FF0000"/>
                <w:szCs w:val="21"/>
              </w:rPr>
              <w:t>个Ø2</w:t>
            </w:r>
            <w:r>
              <w:rPr>
                <w:rFonts w:hint="eastAsia" w:ascii="Times New Roman" w:hAnsi="Times New Roman" w:eastAsia="宋体"/>
                <w:color w:val="FF0000"/>
                <w:szCs w:val="21"/>
              </w:rPr>
              <w:t>6</w:t>
            </w:r>
            <w:r>
              <w:rPr>
                <w:rFonts w:ascii="Times New Roman" w:hAnsi="Times New Roman" w:eastAsia="宋体"/>
                <w:color w:val="FF0000"/>
                <w:szCs w:val="21"/>
              </w:rPr>
              <w:t>00圆盘给料</w:t>
            </w:r>
            <w:r>
              <w:rPr>
                <w:rFonts w:hint="eastAsia" w:ascii="Times New Roman" w:hAnsi="Times New Roman" w:eastAsia="宋体"/>
                <w:color w:val="FF0000"/>
                <w:szCs w:val="21"/>
              </w:rPr>
              <w:t>机</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2122" w:type="dxa"/>
            <w:vAlign w:val="center"/>
          </w:tcPr>
          <w:p>
            <w:pPr>
              <w:widowControl/>
              <w:jc w:val="center"/>
              <w:rPr>
                <w:rFonts w:ascii="Times New Roman" w:hAnsi="Times New Roman" w:eastAsia="宋体" w:cs="Times New Roman"/>
                <w:color w:val="FF0000"/>
                <w:szCs w:val="21"/>
              </w:rPr>
            </w:pPr>
            <w:r>
              <w:rPr>
                <w:rFonts w:hint="eastAsia" w:ascii="Times New Roman" w:hAnsi="Times New Roman" w:eastAsia="宋体"/>
                <w:color w:val="FF0000"/>
                <w:szCs w:val="21"/>
              </w:rPr>
              <w:t>44</w:t>
            </w:r>
            <w:r>
              <w:rPr>
                <w:rFonts w:ascii="Times New Roman" w:hAnsi="Times New Roman" w:eastAsia="宋体"/>
                <w:color w:val="FF0000"/>
                <w:szCs w:val="21"/>
              </w:rPr>
              <w:t>个Ø2</w:t>
            </w:r>
            <w:r>
              <w:rPr>
                <w:rFonts w:hint="eastAsia" w:ascii="Times New Roman" w:hAnsi="Times New Roman" w:eastAsia="宋体"/>
                <w:color w:val="FF0000"/>
                <w:szCs w:val="21"/>
              </w:rPr>
              <w:t>6</w:t>
            </w:r>
            <w:r>
              <w:rPr>
                <w:rFonts w:ascii="Times New Roman" w:hAnsi="Times New Roman" w:eastAsia="宋体"/>
                <w:color w:val="FF0000"/>
                <w:szCs w:val="21"/>
              </w:rPr>
              <w:t>00圆盘给料</w:t>
            </w:r>
            <w:r>
              <w:rPr>
                <w:rFonts w:hint="eastAsia" w:ascii="Times New Roman" w:hAnsi="Times New Roman" w:eastAsia="宋体"/>
                <w:color w:val="FF0000"/>
                <w:szCs w:val="21"/>
              </w:rPr>
              <w:t>机</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kern w:val="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混合系统</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套</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1533" w:type="dxa"/>
            <w:vAlign w:val="center"/>
          </w:tcPr>
          <w:p>
            <w:pPr>
              <w:widowControl/>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混合机4台</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2122" w:type="dxa"/>
            <w:vAlign w:val="center"/>
          </w:tcPr>
          <w:p>
            <w:pPr>
              <w:widowControl/>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混合机4台</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kern w:val="0"/>
                <w:szCs w:val="21"/>
              </w:rPr>
            </w:pPr>
          </w:p>
        </w:tc>
        <w:tc>
          <w:tcPr>
            <w:tcW w:w="1768" w:type="dxa"/>
            <w:vAlign w:val="center"/>
          </w:tcPr>
          <w:p>
            <w:pPr>
              <w:pStyle w:val="41"/>
              <w:spacing w:line="240" w:lineRule="auto"/>
              <w:rPr>
                <w:color w:val="FF0000"/>
                <w:szCs w:val="21"/>
              </w:rPr>
            </w:pPr>
            <w:r>
              <w:rPr>
                <w:color w:val="FF0000"/>
                <w:szCs w:val="21"/>
              </w:rPr>
              <w:t>环冷机</w:t>
            </w:r>
          </w:p>
        </w:tc>
        <w:tc>
          <w:tcPr>
            <w:tcW w:w="708" w:type="dxa"/>
            <w:vAlign w:val="center"/>
          </w:tcPr>
          <w:p>
            <w:pPr>
              <w:pStyle w:val="41"/>
              <w:spacing w:line="240" w:lineRule="auto"/>
              <w:rPr>
                <w:color w:val="FF0000"/>
                <w:szCs w:val="21"/>
              </w:rPr>
            </w:pPr>
            <w:r>
              <w:rPr>
                <w:rFonts w:hint="eastAsia"/>
                <w:color w:val="FF0000"/>
                <w:szCs w:val="21"/>
              </w:rPr>
              <w:t>台</w:t>
            </w:r>
          </w:p>
        </w:tc>
        <w:tc>
          <w:tcPr>
            <w:tcW w:w="707" w:type="dxa"/>
            <w:vAlign w:val="center"/>
          </w:tcPr>
          <w:p>
            <w:pPr>
              <w:pStyle w:val="41"/>
              <w:spacing w:line="240" w:lineRule="auto"/>
              <w:rPr>
                <w:color w:val="FF0000"/>
                <w:szCs w:val="21"/>
              </w:rPr>
            </w:pPr>
            <w:r>
              <w:rPr>
                <w:color w:val="FF0000"/>
                <w:szCs w:val="21"/>
              </w:rPr>
              <w:t>2</w:t>
            </w:r>
          </w:p>
        </w:tc>
        <w:tc>
          <w:tcPr>
            <w:tcW w:w="1533" w:type="dxa"/>
            <w:vAlign w:val="center"/>
          </w:tcPr>
          <w:p>
            <w:pPr>
              <w:pStyle w:val="41"/>
              <w:spacing w:line="240" w:lineRule="auto"/>
              <w:rPr>
                <w:color w:val="FF0000"/>
                <w:szCs w:val="21"/>
              </w:rPr>
            </w:pPr>
            <w:r>
              <w:rPr>
                <w:rFonts w:hint="eastAsia"/>
                <w:color w:val="FF0000"/>
                <w:szCs w:val="21"/>
              </w:rPr>
              <w:t>320</w:t>
            </w:r>
            <w:r>
              <w:rPr>
                <w:color w:val="FF0000"/>
                <w:szCs w:val="21"/>
              </w:rPr>
              <w:t>m</w:t>
            </w:r>
            <w:r>
              <w:rPr>
                <w:color w:val="FF0000"/>
                <w:szCs w:val="21"/>
                <w:vertAlign w:val="superscript"/>
              </w:rPr>
              <w:t>2</w:t>
            </w:r>
          </w:p>
        </w:tc>
        <w:tc>
          <w:tcPr>
            <w:tcW w:w="943" w:type="dxa"/>
            <w:vAlign w:val="center"/>
          </w:tcPr>
          <w:p>
            <w:pPr>
              <w:pStyle w:val="41"/>
              <w:spacing w:line="240" w:lineRule="auto"/>
              <w:rPr>
                <w:color w:val="FF0000"/>
                <w:szCs w:val="21"/>
              </w:rPr>
            </w:pPr>
            <w:r>
              <w:rPr>
                <w:color w:val="FF0000"/>
                <w:szCs w:val="21"/>
              </w:rPr>
              <w:t>2</w:t>
            </w:r>
          </w:p>
        </w:tc>
        <w:tc>
          <w:tcPr>
            <w:tcW w:w="2122" w:type="dxa"/>
            <w:vAlign w:val="center"/>
          </w:tcPr>
          <w:p>
            <w:pPr>
              <w:pStyle w:val="41"/>
              <w:spacing w:line="240" w:lineRule="auto"/>
              <w:rPr>
                <w:color w:val="FF0000"/>
                <w:szCs w:val="21"/>
              </w:rPr>
            </w:pPr>
            <w:r>
              <w:rPr>
                <w:rFonts w:hint="eastAsia"/>
                <w:color w:val="FF0000"/>
                <w:szCs w:val="21"/>
              </w:rPr>
              <w:t>320</w:t>
            </w:r>
            <w:r>
              <w:rPr>
                <w:color w:val="FF0000"/>
                <w:szCs w:val="21"/>
              </w:rPr>
              <w:t>m</w:t>
            </w:r>
            <w:r>
              <w:rPr>
                <w:color w:val="FF0000"/>
                <w:szCs w:val="21"/>
                <w:vertAlign w:val="superscript"/>
              </w:rPr>
              <w:t>2</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kern w:val="0"/>
                <w:szCs w:val="21"/>
              </w:rPr>
            </w:pPr>
          </w:p>
        </w:tc>
        <w:tc>
          <w:tcPr>
            <w:tcW w:w="1768" w:type="dxa"/>
            <w:vAlign w:val="center"/>
          </w:tcPr>
          <w:p>
            <w:pPr>
              <w:pStyle w:val="41"/>
              <w:spacing w:line="240" w:lineRule="auto"/>
              <w:rPr>
                <w:color w:val="FF0000"/>
                <w:szCs w:val="21"/>
              </w:rPr>
            </w:pPr>
            <w:r>
              <w:rPr>
                <w:rFonts w:hint="eastAsia"/>
                <w:color w:val="FF0000"/>
                <w:szCs w:val="21"/>
              </w:rPr>
              <w:t>一</w:t>
            </w:r>
            <w:r>
              <w:rPr>
                <w:color w:val="FF0000"/>
                <w:szCs w:val="21"/>
              </w:rPr>
              <w:t>次冷矿振动筛</w:t>
            </w:r>
          </w:p>
        </w:tc>
        <w:tc>
          <w:tcPr>
            <w:tcW w:w="708" w:type="dxa"/>
            <w:vAlign w:val="center"/>
          </w:tcPr>
          <w:p>
            <w:pPr>
              <w:pStyle w:val="41"/>
              <w:spacing w:line="240" w:lineRule="auto"/>
              <w:rPr>
                <w:color w:val="FF0000"/>
                <w:szCs w:val="21"/>
              </w:rPr>
            </w:pPr>
            <w:r>
              <w:rPr>
                <w:rFonts w:hint="eastAsia"/>
                <w:color w:val="FF0000"/>
                <w:szCs w:val="21"/>
              </w:rPr>
              <w:t>台</w:t>
            </w:r>
          </w:p>
        </w:tc>
        <w:tc>
          <w:tcPr>
            <w:tcW w:w="707" w:type="dxa"/>
            <w:vAlign w:val="center"/>
          </w:tcPr>
          <w:p>
            <w:pPr>
              <w:pStyle w:val="41"/>
              <w:spacing w:line="240" w:lineRule="auto"/>
              <w:rPr>
                <w:color w:val="FF0000"/>
                <w:szCs w:val="21"/>
              </w:rPr>
            </w:pPr>
            <w:r>
              <w:rPr>
                <w:color w:val="FF0000"/>
                <w:szCs w:val="21"/>
              </w:rPr>
              <w:t>3</w:t>
            </w:r>
          </w:p>
        </w:tc>
        <w:tc>
          <w:tcPr>
            <w:tcW w:w="1533" w:type="dxa"/>
            <w:vAlign w:val="center"/>
          </w:tcPr>
          <w:p>
            <w:pPr>
              <w:pStyle w:val="41"/>
              <w:spacing w:line="240" w:lineRule="auto"/>
              <w:rPr>
                <w:color w:val="FF0000"/>
                <w:szCs w:val="21"/>
              </w:rPr>
            </w:pPr>
            <w:r>
              <w:rPr>
                <w:rFonts w:hint="eastAsia"/>
                <w:color w:val="FF0000"/>
                <w:szCs w:val="21"/>
              </w:rPr>
              <w:t>LHBJ150×700-III</w:t>
            </w:r>
          </w:p>
          <w:p>
            <w:pPr>
              <w:pStyle w:val="41"/>
              <w:spacing w:line="240" w:lineRule="auto"/>
              <w:rPr>
                <w:color w:val="FF0000"/>
                <w:szCs w:val="21"/>
              </w:rPr>
            </w:pPr>
            <w:r>
              <w:rPr>
                <w:rFonts w:hint="eastAsia"/>
                <w:color w:val="FF0000"/>
                <w:szCs w:val="21"/>
              </w:rPr>
              <w:t>700t/h</w:t>
            </w:r>
          </w:p>
        </w:tc>
        <w:tc>
          <w:tcPr>
            <w:tcW w:w="943" w:type="dxa"/>
            <w:vAlign w:val="center"/>
          </w:tcPr>
          <w:p>
            <w:pPr>
              <w:pStyle w:val="41"/>
              <w:spacing w:line="240" w:lineRule="auto"/>
              <w:rPr>
                <w:color w:val="FF0000"/>
                <w:szCs w:val="21"/>
              </w:rPr>
            </w:pPr>
            <w:r>
              <w:rPr>
                <w:color w:val="FF0000"/>
                <w:szCs w:val="21"/>
              </w:rPr>
              <w:t>3</w:t>
            </w:r>
          </w:p>
        </w:tc>
        <w:tc>
          <w:tcPr>
            <w:tcW w:w="2122" w:type="dxa"/>
            <w:vAlign w:val="center"/>
          </w:tcPr>
          <w:p>
            <w:pPr>
              <w:pStyle w:val="41"/>
              <w:spacing w:line="240" w:lineRule="auto"/>
              <w:rPr>
                <w:color w:val="FF0000"/>
                <w:szCs w:val="21"/>
              </w:rPr>
            </w:pPr>
            <w:r>
              <w:rPr>
                <w:rFonts w:hint="eastAsia"/>
                <w:color w:val="FF0000"/>
                <w:szCs w:val="21"/>
              </w:rPr>
              <w:t>LHBJ150×700-III</w:t>
            </w:r>
          </w:p>
          <w:p>
            <w:pPr>
              <w:pStyle w:val="41"/>
              <w:spacing w:line="240" w:lineRule="auto"/>
              <w:rPr>
                <w:color w:val="FF0000"/>
                <w:szCs w:val="21"/>
              </w:rPr>
            </w:pPr>
            <w:r>
              <w:rPr>
                <w:rFonts w:hint="eastAsia"/>
                <w:color w:val="FF0000"/>
                <w:szCs w:val="21"/>
              </w:rPr>
              <w:t>700t/h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kern w:val="0"/>
                <w:szCs w:val="21"/>
              </w:rPr>
            </w:pPr>
          </w:p>
        </w:tc>
        <w:tc>
          <w:tcPr>
            <w:tcW w:w="1768" w:type="dxa"/>
            <w:vAlign w:val="center"/>
          </w:tcPr>
          <w:p>
            <w:pPr>
              <w:pStyle w:val="41"/>
              <w:spacing w:line="240" w:lineRule="auto"/>
              <w:rPr>
                <w:color w:val="FF0000"/>
                <w:szCs w:val="21"/>
              </w:rPr>
            </w:pPr>
            <w:r>
              <w:rPr>
                <w:rFonts w:hint="eastAsia"/>
                <w:color w:val="FF0000"/>
                <w:szCs w:val="21"/>
              </w:rPr>
              <w:t>二</w:t>
            </w:r>
            <w:r>
              <w:rPr>
                <w:color w:val="FF0000"/>
                <w:szCs w:val="21"/>
              </w:rPr>
              <w:t>次冷矿振动筛</w:t>
            </w:r>
          </w:p>
        </w:tc>
        <w:tc>
          <w:tcPr>
            <w:tcW w:w="708" w:type="dxa"/>
            <w:vAlign w:val="center"/>
          </w:tcPr>
          <w:p>
            <w:pPr>
              <w:pStyle w:val="41"/>
              <w:spacing w:line="240" w:lineRule="auto"/>
              <w:rPr>
                <w:color w:val="FF0000"/>
                <w:szCs w:val="21"/>
              </w:rPr>
            </w:pPr>
            <w:r>
              <w:rPr>
                <w:rFonts w:hint="eastAsia"/>
                <w:color w:val="FF0000"/>
                <w:szCs w:val="21"/>
              </w:rPr>
              <w:t>台</w:t>
            </w:r>
          </w:p>
        </w:tc>
        <w:tc>
          <w:tcPr>
            <w:tcW w:w="707" w:type="dxa"/>
            <w:vAlign w:val="center"/>
          </w:tcPr>
          <w:p>
            <w:pPr>
              <w:pStyle w:val="41"/>
              <w:spacing w:line="240" w:lineRule="auto"/>
              <w:rPr>
                <w:color w:val="FF0000"/>
                <w:szCs w:val="21"/>
              </w:rPr>
            </w:pPr>
            <w:r>
              <w:rPr>
                <w:color w:val="FF0000"/>
                <w:szCs w:val="21"/>
              </w:rPr>
              <w:t>3</w:t>
            </w:r>
          </w:p>
        </w:tc>
        <w:tc>
          <w:tcPr>
            <w:tcW w:w="1533" w:type="dxa"/>
            <w:vAlign w:val="center"/>
          </w:tcPr>
          <w:p>
            <w:pPr>
              <w:pStyle w:val="41"/>
              <w:spacing w:line="240" w:lineRule="auto"/>
              <w:rPr>
                <w:color w:val="FF0000"/>
                <w:szCs w:val="21"/>
              </w:rPr>
            </w:pPr>
            <w:r>
              <w:rPr>
                <w:rFonts w:hint="eastAsia"/>
                <w:color w:val="FF0000"/>
                <w:szCs w:val="21"/>
              </w:rPr>
              <w:t>LHBJ150×700-III</w:t>
            </w:r>
          </w:p>
          <w:p>
            <w:pPr>
              <w:pStyle w:val="41"/>
              <w:spacing w:line="240" w:lineRule="auto"/>
              <w:rPr>
                <w:color w:val="FF0000"/>
                <w:szCs w:val="21"/>
              </w:rPr>
            </w:pPr>
            <w:r>
              <w:rPr>
                <w:rFonts w:hint="eastAsia"/>
                <w:color w:val="FF0000"/>
                <w:szCs w:val="21"/>
              </w:rPr>
              <w:t>700</w:t>
            </w:r>
            <w:r>
              <w:rPr>
                <w:color w:val="FF0000"/>
                <w:szCs w:val="21"/>
              </w:rPr>
              <w:t>t/h</w:t>
            </w:r>
          </w:p>
        </w:tc>
        <w:tc>
          <w:tcPr>
            <w:tcW w:w="943" w:type="dxa"/>
            <w:vAlign w:val="center"/>
          </w:tcPr>
          <w:p>
            <w:pPr>
              <w:pStyle w:val="41"/>
              <w:spacing w:line="240" w:lineRule="auto"/>
              <w:rPr>
                <w:color w:val="FF0000"/>
                <w:szCs w:val="21"/>
              </w:rPr>
            </w:pPr>
            <w:r>
              <w:rPr>
                <w:color w:val="FF0000"/>
                <w:szCs w:val="21"/>
              </w:rPr>
              <w:t>3</w:t>
            </w:r>
          </w:p>
        </w:tc>
        <w:tc>
          <w:tcPr>
            <w:tcW w:w="2122" w:type="dxa"/>
            <w:vAlign w:val="center"/>
          </w:tcPr>
          <w:p>
            <w:pPr>
              <w:pStyle w:val="41"/>
              <w:spacing w:line="240" w:lineRule="auto"/>
              <w:rPr>
                <w:color w:val="FF0000"/>
                <w:szCs w:val="21"/>
              </w:rPr>
            </w:pPr>
            <w:r>
              <w:rPr>
                <w:rFonts w:hint="eastAsia"/>
                <w:color w:val="FF0000"/>
                <w:szCs w:val="21"/>
              </w:rPr>
              <w:t>LHBJ150×700-III</w:t>
            </w:r>
          </w:p>
          <w:p>
            <w:pPr>
              <w:pStyle w:val="41"/>
              <w:spacing w:line="240" w:lineRule="auto"/>
              <w:rPr>
                <w:color w:val="FF0000"/>
                <w:szCs w:val="21"/>
              </w:rPr>
            </w:pPr>
            <w:r>
              <w:rPr>
                <w:rFonts w:hint="eastAsia"/>
                <w:color w:val="FF0000"/>
                <w:szCs w:val="21"/>
              </w:rPr>
              <w:t>700</w:t>
            </w:r>
            <w:r>
              <w:rPr>
                <w:color w:val="FF0000"/>
                <w:szCs w:val="21"/>
              </w:rPr>
              <w:t>t/h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kern w:val="0"/>
                <w:szCs w:val="21"/>
              </w:rPr>
            </w:pPr>
          </w:p>
        </w:tc>
        <w:tc>
          <w:tcPr>
            <w:tcW w:w="1768" w:type="dxa"/>
            <w:vAlign w:val="center"/>
          </w:tcPr>
          <w:p>
            <w:pPr>
              <w:pStyle w:val="41"/>
              <w:spacing w:line="240" w:lineRule="auto"/>
              <w:rPr>
                <w:color w:val="FF0000"/>
                <w:szCs w:val="21"/>
              </w:rPr>
            </w:pPr>
            <w:r>
              <w:rPr>
                <w:rFonts w:hint="eastAsia"/>
                <w:color w:val="FF0000"/>
                <w:szCs w:val="21"/>
              </w:rPr>
              <w:t>三</w:t>
            </w:r>
            <w:r>
              <w:rPr>
                <w:color w:val="FF0000"/>
                <w:szCs w:val="21"/>
              </w:rPr>
              <w:t>次冷矿振动筛</w:t>
            </w:r>
          </w:p>
        </w:tc>
        <w:tc>
          <w:tcPr>
            <w:tcW w:w="708" w:type="dxa"/>
            <w:vAlign w:val="center"/>
          </w:tcPr>
          <w:p>
            <w:pPr>
              <w:pStyle w:val="41"/>
              <w:spacing w:line="240" w:lineRule="auto"/>
              <w:rPr>
                <w:color w:val="FF0000"/>
                <w:szCs w:val="21"/>
              </w:rPr>
            </w:pPr>
            <w:r>
              <w:rPr>
                <w:rFonts w:hint="eastAsia"/>
                <w:color w:val="FF0000"/>
                <w:szCs w:val="21"/>
              </w:rPr>
              <w:t>台</w:t>
            </w:r>
          </w:p>
        </w:tc>
        <w:tc>
          <w:tcPr>
            <w:tcW w:w="707" w:type="dxa"/>
            <w:vAlign w:val="center"/>
          </w:tcPr>
          <w:p>
            <w:pPr>
              <w:pStyle w:val="41"/>
              <w:spacing w:line="240" w:lineRule="auto"/>
              <w:rPr>
                <w:color w:val="FF0000"/>
                <w:szCs w:val="21"/>
              </w:rPr>
            </w:pPr>
            <w:r>
              <w:rPr>
                <w:color w:val="FF0000"/>
                <w:szCs w:val="21"/>
              </w:rPr>
              <w:t>3</w:t>
            </w:r>
          </w:p>
        </w:tc>
        <w:tc>
          <w:tcPr>
            <w:tcW w:w="1533" w:type="dxa"/>
            <w:vAlign w:val="center"/>
          </w:tcPr>
          <w:p>
            <w:pPr>
              <w:pStyle w:val="41"/>
              <w:spacing w:line="240" w:lineRule="auto"/>
              <w:rPr>
                <w:color w:val="FF0000"/>
                <w:szCs w:val="21"/>
              </w:rPr>
            </w:pPr>
            <w:r>
              <w:rPr>
                <w:rFonts w:hint="eastAsia"/>
                <w:color w:val="FF0000"/>
                <w:szCs w:val="21"/>
              </w:rPr>
              <w:t>LHBJ150×600-III</w:t>
            </w:r>
          </w:p>
          <w:p>
            <w:pPr>
              <w:pStyle w:val="41"/>
              <w:spacing w:line="240" w:lineRule="auto"/>
              <w:rPr>
                <w:color w:val="FF0000"/>
                <w:szCs w:val="21"/>
              </w:rPr>
            </w:pPr>
            <w:r>
              <w:rPr>
                <w:rFonts w:hint="eastAsia"/>
                <w:color w:val="FF0000"/>
                <w:szCs w:val="21"/>
              </w:rPr>
              <w:t>600t/h</w:t>
            </w:r>
          </w:p>
        </w:tc>
        <w:tc>
          <w:tcPr>
            <w:tcW w:w="943" w:type="dxa"/>
            <w:vAlign w:val="center"/>
          </w:tcPr>
          <w:p>
            <w:pPr>
              <w:pStyle w:val="41"/>
              <w:spacing w:line="240" w:lineRule="auto"/>
              <w:rPr>
                <w:color w:val="FF0000"/>
                <w:szCs w:val="21"/>
              </w:rPr>
            </w:pPr>
            <w:r>
              <w:rPr>
                <w:color w:val="FF0000"/>
                <w:szCs w:val="21"/>
              </w:rPr>
              <w:t>3</w:t>
            </w:r>
          </w:p>
        </w:tc>
        <w:tc>
          <w:tcPr>
            <w:tcW w:w="2122" w:type="dxa"/>
            <w:vAlign w:val="center"/>
          </w:tcPr>
          <w:p>
            <w:pPr>
              <w:pStyle w:val="41"/>
              <w:spacing w:line="240" w:lineRule="auto"/>
              <w:rPr>
                <w:color w:val="FF0000"/>
                <w:szCs w:val="21"/>
              </w:rPr>
            </w:pPr>
            <w:r>
              <w:rPr>
                <w:rFonts w:hint="eastAsia"/>
                <w:color w:val="FF0000"/>
                <w:szCs w:val="21"/>
              </w:rPr>
              <w:t>LHBJ150×600-III</w:t>
            </w:r>
          </w:p>
          <w:p>
            <w:pPr>
              <w:pStyle w:val="41"/>
              <w:spacing w:line="240" w:lineRule="auto"/>
              <w:rPr>
                <w:color w:val="FF0000"/>
                <w:szCs w:val="21"/>
              </w:rPr>
            </w:pPr>
            <w:r>
              <w:rPr>
                <w:rFonts w:hint="eastAsia"/>
                <w:color w:val="FF0000"/>
                <w:szCs w:val="21"/>
              </w:rPr>
              <w:t>600t/h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w:t>
            </w:r>
          </w:p>
        </w:tc>
        <w:tc>
          <w:tcPr>
            <w:tcW w:w="10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炼铁车间</w:t>
            </w: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高炉</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1280m</w:t>
            </w:r>
            <w:r>
              <w:rPr>
                <w:rFonts w:ascii="Times New Roman" w:hAnsi="Times New Roman" w:eastAsia="宋体" w:cs="Times New Roman"/>
                <w:color w:val="FF0000"/>
                <w:szCs w:val="21"/>
                <w:vertAlign w:val="superscript"/>
              </w:rPr>
              <w:t>3</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1280m</w:t>
            </w:r>
            <w:r>
              <w:rPr>
                <w:rFonts w:ascii="Times New Roman" w:hAnsi="Times New Roman" w:eastAsia="宋体" w:cs="Times New Roman"/>
                <w:color w:val="FF0000"/>
                <w:szCs w:val="21"/>
                <w:vertAlign w:val="superscript"/>
              </w:rPr>
              <w:t>3</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中速磨</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1533" w:type="dxa"/>
            <w:vAlign w:val="center"/>
          </w:tcPr>
          <w:p>
            <w:pPr>
              <w:widowControl/>
              <w:jc w:val="center"/>
              <w:rPr>
                <w:rFonts w:ascii="Times New Roman" w:hAnsi="Times New Roman" w:eastAsia="宋体" w:cs="Times New Roman"/>
                <w:color w:val="FF0000"/>
                <w:szCs w:val="21"/>
              </w:rPr>
            </w:pPr>
            <w:r>
              <w:rPr>
                <w:rFonts w:hint="eastAsia" w:ascii="Times New Roman" w:hAnsi="Times New Roman" w:eastAsia="宋体"/>
                <w:color w:val="FF0000"/>
                <w:kern w:val="0"/>
                <w:szCs w:val="21"/>
              </w:rPr>
              <w:t>45t/h</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2122" w:type="dxa"/>
            <w:vAlign w:val="center"/>
          </w:tcPr>
          <w:p>
            <w:pPr>
              <w:widowControl/>
              <w:jc w:val="center"/>
              <w:rPr>
                <w:rFonts w:ascii="Times New Roman" w:hAnsi="Times New Roman" w:eastAsia="宋体" w:cs="Times New Roman"/>
                <w:color w:val="FF0000"/>
                <w:szCs w:val="21"/>
              </w:rPr>
            </w:pPr>
            <w:r>
              <w:rPr>
                <w:rFonts w:hint="eastAsia" w:ascii="Times New Roman" w:hAnsi="Times New Roman" w:eastAsia="宋体"/>
                <w:color w:val="FF0000"/>
                <w:kern w:val="0"/>
                <w:szCs w:val="21"/>
              </w:rPr>
              <w:t>45t/h</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铸铁机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1533" w:type="dxa"/>
            <w:vAlign w:val="center"/>
          </w:tcPr>
          <w:p>
            <w:pPr>
              <w:widowControl/>
              <w:jc w:val="center"/>
              <w:rPr>
                <w:rFonts w:ascii="Times New Roman" w:hAnsi="Times New Roman" w:eastAsia="宋体" w:cs="Times New Roman"/>
                <w:color w:val="FF0000"/>
                <w:szCs w:val="21"/>
              </w:rPr>
            </w:pPr>
            <w:r>
              <w:rPr>
                <w:rFonts w:hint="eastAsia" w:ascii="Times New Roman" w:hAnsi="Times New Roman" w:eastAsia="宋体"/>
                <w:color w:val="FF0000"/>
                <w:kern w:val="0"/>
                <w:szCs w:val="21"/>
              </w:rPr>
              <w:t>300t/h</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2122" w:type="dxa"/>
            <w:vAlign w:val="center"/>
          </w:tcPr>
          <w:p>
            <w:pPr>
              <w:widowControl/>
              <w:jc w:val="center"/>
              <w:rPr>
                <w:rFonts w:ascii="Times New Roman" w:hAnsi="Times New Roman" w:eastAsia="宋体" w:cs="Times New Roman"/>
                <w:color w:val="FF0000"/>
                <w:szCs w:val="21"/>
              </w:rPr>
            </w:pPr>
            <w:r>
              <w:rPr>
                <w:rFonts w:hint="eastAsia" w:ascii="Times New Roman" w:hAnsi="Times New Roman" w:eastAsia="宋体"/>
                <w:color w:val="FF0000"/>
                <w:kern w:val="0"/>
                <w:szCs w:val="21"/>
              </w:rPr>
              <w:t>300t/h</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堆取料机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1533" w:type="dxa"/>
            <w:vAlign w:val="center"/>
          </w:tcPr>
          <w:p>
            <w:pPr>
              <w:widowControl/>
              <w:jc w:val="center"/>
              <w:textAlignment w:val="center"/>
              <w:rPr>
                <w:rFonts w:ascii="Times New Roman" w:hAnsi="Times New Roman" w:eastAsia="宋体" w:cs="Times New Roman"/>
                <w:color w:val="FF0000"/>
                <w:szCs w:val="21"/>
              </w:rPr>
            </w:pPr>
            <w:r>
              <w:rPr>
                <w:rFonts w:hint="eastAsia" w:ascii="Times New Roman" w:hAnsi="Times New Roman" w:eastAsia="宋体" w:cs="宋体"/>
                <w:color w:val="FF0000"/>
                <w:kern w:val="0"/>
                <w:szCs w:val="21"/>
              </w:rPr>
              <w:t>1200/200*40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2122" w:type="dxa"/>
            <w:vAlign w:val="center"/>
          </w:tcPr>
          <w:p>
            <w:pPr>
              <w:widowControl/>
              <w:jc w:val="center"/>
              <w:textAlignment w:val="center"/>
              <w:rPr>
                <w:rFonts w:ascii="Times New Roman" w:hAnsi="Times New Roman" w:eastAsia="宋体" w:cs="Times New Roman"/>
                <w:color w:val="FF0000"/>
                <w:szCs w:val="21"/>
              </w:rPr>
            </w:pPr>
            <w:r>
              <w:rPr>
                <w:rFonts w:hint="eastAsia" w:ascii="Times New Roman" w:hAnsi="Times New Roman" w:eastAsia="宋体" w:cs="宋体"/>
                <w:color w:val="FF0000"/>
                <w:kern w:val="0"/>
                <w:szCs w:val="21"/>
              </w:rPr>
              <w:t>1200/200*40</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w:t>
            </w:r>
          </w:p>
        </w:tc>
        <w:tc>
          <w:tcPr>
            <w:tcW w:w="10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球墨铸铁车间</w:t>
            </w: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混铁炉</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300t</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300t</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工频电炉</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15t</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8</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15t</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水冷离心机</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7</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热模法离心机</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水冷退火炉</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热模退火炉</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水冷涂衬机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热模涂衬机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水冷水压机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热模水压机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水冷喷锌机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热模喷锌机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水冷养生炉</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热模养生炉</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水冷内磨机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热模内磨机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水冷包装线</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热模包装线</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水冷制芯机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5</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5</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DN80-1200</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热模制芯机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DN1200-2600</w:t>
            </w:r>
          </w:p>
        </w:tc>
        <w:tc>
          <w:tcPr>
            <w:tcW w:w="2578" w:type="dxa"/>
            <w:vAlign w:val="center"/>
          </w:tcPr>
          <w:p>
            <w:pPr>
              <w:jc w:val="center"/>
              <w:rPr>
                <w:color w:val="FF0000"/>
                <w:szCs w:val="21"/>
              </w:rPr>
            </w:pPr>
            <w:r>
              <w:rPr>
                <w:rFonts w:ascii="Times New Roman" w:hAnsi="Times New Roman" w:eastAsia="宋体" w:cs="Times New Roman"/>
                <w:color w:val="FF0000"/>
                <w:szCs w:val="21"/>
              </w:rPr>
              <w:t>一致</w:t>
            </w:r>
          </w:p>
        </w:tc>
        <w:tc>
          <w:tcPr>
            <w:tcW w:w="2190" w:type="dxa"/>
            <w:vAlign w:val="center"/>
          </w:tcPr>
          <w:p>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6</w:t>
            </w:r>
          </w:p>
        </w:tc>
        <w:tc>
          <w:tcPr>
            <w:tcW w:w="10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炼钢车间</w:t>
            </w: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转炉</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120t</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120t</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LF炉</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120t</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120t</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RH真空精炼装置</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120t</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120t</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方坯连铸机</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10机10流</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10机10流</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已履行过环评手续</w:t>
            </w:r>
          </w:p>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（环行审[2017]109号）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圆坯连铸机</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4机3流</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4机4流</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kern w:val="0"/>
                <w:szCs w:val="21"/>
              </w:rPr>
              <w:t>特殊钢圆坯连铸机</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kern w:val="0"/>
                <w:szCs w:val="21"/>
              </w:rPr>
              <w:t>台</w:t>
            </w:r>
          </w:p>
        </w:tc>
        <w:tc>
          <w:tcPr>
            <w:tcW w:w="707"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153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6机6流</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6机6流</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精炼及地下料仓除尘风机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2240kw</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2240kw</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转炉二次除尘风机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2000</w:t>
            </w:r>
            <w:r>
              <w:rPr>
                <w:rFonts w:hint="eastAsia" w:ascii="Times New Roman" w:hAnsi="Times New Roman" w:eastAsia="宋体"/>
                <w:color w:val="FF0000"/>
                <w:szCs w:val="21"/>
              </w:rPr>
              <w:t>kw</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2000</w:t>
            </w:r>
            <w:r>
              <w:rPr>
                <w:rFonts w:hint="eastAsia" w:ascii="Times New Roman" w:hAnsi="Times New Roman" w:eastAsia="宋体"/>
                <w:color w:val="FF0000"/>
                <w:szCs w:val="21"/>
              </w:rPr>
              <w:t>kw</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转炉屋顶除尘风机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1600</w:t>
            </w:r>
            <w:r>
              <w:rPr>
                <w:rFonts w:hint="eastAsia" w:ascii="Times New Roman" w:hAnsi="Times New Roman" w:eastAsia="宋体"/>
                <w:color w:val="FF0000"/>
                <w:szCs w:val="21"/>
              </w:rPr>
              <w:t>kw</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1600</w:t>
            </w:r>
            <w:r>
              <w:rPr>
                <w:rFonts w:hint="eastAsia" w:ascii="Times New Roman" w:hAnsi="Times New Roman" w:eastAsia="宋体"/>
                <w:color w:val="FF0000"/>
                <w:szCs w:val="21"/>
              </w:rPr>
              <w:t>kw</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铁水预处理除尘风机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1400</w:t>
            </w:r>
            <w:r>
              <w:rPr>
                <w:rFonts w:hint="eastAsia" w:ascii="Times New Roman" w:hAnsi="Times New Roman" w:eastAsia="宋体"/>
                <w:color w:val="FF0000"/>
                <w:szCs w:val="21"/>
              </w:rPr>
              <w:t>kw</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1400</w:t>
            </w:r>
            <w:r>
              <w:rPr>
                <w:rFonts w:hint="eastAsia" w:ascii="Times New Roman" w:hAnsi="Times New Roman" w:eastAsia="宋体"/>
                <w:color w:val="FF0000"/>
                <w:szCs w:val="21"/>
              </w:rPr>
              <w:t>kw</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7</w:t>
            </w:r>
          </w:p>
        </w:tc>
        <w:tc>
          <w:tcPr>
            <w:tcW w:w="106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石灰窑</w:t>
            </w: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石灰回转窑</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座</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400t/d</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400t/d</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8</w:t>
            </w:r>
          </w:p>
        </w:tc>
        <w:tc>
          <w:tcPr>
            <w:tcW w:w="10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发电站</w:t>
            </w: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高温高压全燃煤气锅炉</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座</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130t/h</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130t/h</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已履行过环评手续</w:t>
            </w:r>
          </w:p>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（环行审[2015]281号）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鼓风机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88922m³/h</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88922m³/h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引风机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185650m³/h</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185650m³/h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过热锅炉</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60</w:t>
            </w:r>
            <w:r>
              <w:rPr>
                <w:rFonts w:ascii="Times New Roman" w:hAnsi="Times New Roman" w:eastAsia="宋体"/>
                <w:color w:val="FF0000"/>
                <w:kern w:val="0"/>
                <w:szCs w:val="21"/>
              </w:rPr>
              <w:t>t/h</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60</w:t>
            </w:r>
            <w:r>
              <w:rPr>
                <w:rFonts w:ascii="Times New Roman" w:hAnsi="Times New Roman" w:eastAsia="宋体"/>
                <w:color w:val="FF0000"/>
                <w:kern w:val="0"/>
                <w:szCs w:val="21"/>
              </w:rPr>
              <w:t>t/h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循环风机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2930m3/h</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2930m3/h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抽凝机组</w:t>
            </w:r>
          </w:p>
        </w:tc>
        <w:tc>
          <w:tcPr>
            <w:tcW w:w="708"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套</w:t>
            </w:r>
          </w:p>
        </w:tc>
        <w:tc>
          <w:tcPr>
            <w:tcW w:w="707"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153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25MW</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25MW</w:t>
            </w:r>
          </w:p>
        </w:tc>
        <w:tc>
          <w:tcPr>
            <w:tcW w:w="2578" w:type="dxa"/>
          </w:tcPr>
          <w:p>
            <w:pPr>
              <w:jc w:val="center"/>
              <w:rPr>
                <w:color w:val="FF0000"/>
              </w:rPr>
            </w:pPr>
            <w:r>
              <w:rPr>
                <w:rFonts w:ascii="Times New Roman" w:hAnsi="Times New Roman" w:eastAsia="宋体" w:cs="Times New Roman"/>
                <w:color w:val="FF0000"/>
                <w:szCs w:val="21"/>
              </w:rPr>
              <w:t>一致</w:t>
            </w:r>
          </w:p>
        </w:tc>
        <w:tc>
          <w:tcPr>
            <w:tcW w:w="2190"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已履行过环评手续</w:t>
            </w:r>
          </w:p>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（环行审[2015]281号）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纯凝机组</w:t>
            </w:r>
          </w:p>
        </w:tc>
        <w:tc>
          <w:tcPr>
            <w:tcW w:w="708"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套</w:t>
            </w:r>
          </w:p>
        </w:tc>
        <w:tc>
          <w:tcPr>
            <w:tcW w:w="707"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153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25MW</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25MW</w:t>
            </w:r>
          </w:p>
        </w:tc>
        <w:tc>
          <w:tcPr>
            <w:tcW w:w="2578" w:type="dxa"/>
          </w:tcPr>
          <w:p>
            <w:pPr>
              <w:jc w:val="center"/>
              <w:rPr>
                <w:color w:val="FF0000"/>
              </w:rPr>
            </w:pPr>
            <w:r>
              <w:rPr>
                <w:rFonts w:ascii="Times New Roman" w:hAnsi="Times New Roman" w:eastAsia="宋体" w:cs="Times New Roman"/>
                <w:color w:val="FF0000"/>
                <w:szCs w:val="21"/>
              </w:rPr>
              <w:t>一致</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kern w:val="0"/>
                <w:szCs w:val="21"/>
              </w:rPr>
              <w:t>燃煤气锅炉</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kern w:val="0"/>
                <w:szCs w:val="21"/>
              </w:rPr>
              <w:t>台</w:t>
            </w:r>
          </w:p>
        </w:tc>
        <w:tc>
          <w:tcPr>
            <w:tcW w:w="707"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153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35t/h</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35t/h</w:t>
            </w:r>
          </w:p>
        </w:tc>
        <w:tc>
          <w:tcPr>
            <w:tcW w:w="2578" w:type="dxa"/>
          </w:tcPr>
          <w:p>
            <w:pPr>
              <w:jc w:val="center"/>
              <w:rPr>
                <w:color w:val="FF0000"/>
              </w:rPr>
            </w:pPr>
            <w:r>
              <w:rPr>
                <w:rFonts w:ascii="Times New Roman" w:hAnsi="Times New Roman" w:eastAsia="宋体" w:cs="Times New Roman"/>
                <w:color w:val="FF0000"/>
                <w:szCs w:val="21"/>
              </w:rPr>
              <w:t>一致</w:t>
            </w:r>
            <w:r>
              <w:rPr>
                <w:rFonts w:hint="eastAsia" w:ascii="Times New Roman" w:hAnsi="Times New Roman" w:eastAsia="宋体" w:cs="Times New Roman"/>
                <w:color w:val="FF0000"/>
                <w:szCs w:val="21"/>
              </w:rPr>
              <w:t>（已</w:t>
            </w:r>
            <w:r>
              <w:rPr>
                <w:rFonts w:ascii="Times New Roman" w:hAnsi="Times New Roman" w:eastAsia="宋体" w:cs="Times New Roman"/>
                <w:color w:val="FF0000"/>
                <w:szCs w:val="21"/>
              </w:rPr>
              <w:t>停用</w:t>
            </w:r>
            <w:r>
              <w:rPr>
                <w:rFonts w:hint="eastAsia" w:ascii="Times New Roman" w:hAnsi="Times New Roman" w:eastAsia="宋体" w:cs="Times New Roman"/>
                <w:color w:val="FF0000"/>
                <w:szCs w:val="21"/>
              </w:rPr>
              <w:t>）</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抽凝式汽轮发电机组</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组</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30MW</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30MW</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减少2组</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w:t>
            </w:r>
          </w:p>
        </w:tc>
        <w:tc>
          <w:tcPr>
            <w:tcW w:w="10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氧气站</w:t>
            </w:r>
          </w:p>
        </w:tc>
        <w:tc>
          <w:tcPr>
            <w:tcW w:w="1768"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制氧机组</w:t>
            </w:r>
          </w:p>
        </w:tc>
        <w:tc>
          <w:tcPr>
            <w:tcW w:w="708"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组</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kern w:val="0"/>
                <w:szCs w:val="21"/>
              </w:rPr>
              <w:t>15000</w:t>
            </w:r>
            <w:r>
              <w:rPr>
                <w:rFonts w:ascii="Times New Roman" w:hAnsi="Times New Roman" w:eastAsia="宋体" w:cs="Times New Roman"/>
                <w:i/>
                <w:color w:val="FF0000"/>
                <w:szCs w:val="21"/>
              </w:rPr>
              <w:t>N</w:t>
            </w:r>
            <w:r>
              <w:rPr>
                <w:rFonts w:ascii="Times New Roman" w:hAnsi="Times New Roman" w:eastAsia="宋体" w:cs="Times New Roman"/>
                <w:color w:val="FF0000"/>
                <w:szCs w:val="21"/>
              </w:rPr>
              <w:t>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2</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15000</w:t>
            </w:r>
            <w:r>
              <w:rPr>
                <w:rFonts w:ascii="Times New Roman" w:hAnsi="Times New Roman" w:eastAsia="宋体" w:cs="Times New Roman"/>
                <w:i/>
                <w:color w:val="FF0000"/>
                <w:szCs w:val="21"/>
              </w:rPr>
              <w:t>N</w:t>
            </w:r>
            <w:r>
              <w:rPr>
                <w:rFonts w:ascii="Times New Roman" w:hAnsi="Times New Roman" w:eastAsia="宋体" w:cs="Times New Roman"/>
                <w:color w:val="FF0000"/>
                <w:szCs w:val="21"/>
              </w:rPr>
              <w:t>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Merge w:val="restart"/>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已履行过环评手续</w:t>
            </w:r>
          </w:p>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（环行审[2017]399号）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Merge w:val="continue"/>
            <w:vAlign w:val="center"/>
          </w:tcPr>
          <w:p>
            <w:pPr>
              <w:pStyle w:val="2"/>
              <w:spacing w:after="0"/>
              <w:jc w:val="center"/>
              <w:rPr>
                <w:rFonts w:ascii="Times New Roman" w:hAnsi="Times New Roman" w:eastAsia="宋体" w:cs="Times New Roman"/>
                <w:color w:val="FF0000"/>
                <w:szCs w:val="21"/>
              </w:rPr>
            </w:pPr>
          </w:p>
        </w:tc>
        <w:tc>
          <w:tcPr>
            <w:tcW w:w="708" w:type="dxa"/>
            <w:vMerge w:val="continue"/>
            <w:vAlign w:val="center"/>
          </w:tcPr>
          <w:p>
            <w:pPr>
              <w:pStyle w:val="2"/>
              <w:spacing w:after="0"/>
              <w:jc w:val="center"/>
              <w:rPr>
                <w:rFonts w:ascii="Times New Roman" w:hAnsi="Times New Roman" w:eastAsia="宋体" w:cs="Times New Roman"/>
                <w:color w:val="FF0000"/>
                <w:szCs w:val="21"/>
              </w:rPr>
            </w:pP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w:t>
            </w:r>
          </w:p>
        </w:tc>
        <w:tc>
          <w:tcPr>
            <w:tcW w:w="1533" w:type="dxa"/>
            <w:vAlign w:val="center"/>
          </w:tcPr>
          <w:p>
            <w:pPr>
              <w:pStyle w:val="2"/>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10000</w:t>
            </w:r>
            <w:r>
              <w:rPr>
                <w:rFonts w:ascii="Times New Roman" w:hAnsi="Times New Roman" w:eastAsia="宋体" w:cs="Times New Roman"/>
                <w:i/>
                <w:color w:val="FF0000"/>
                <w:szCs w:val="21"/>
              </w:rPr>
              <w:t>N</w:t>
            </w:r>
            <w:r>
              <w:rPr>
                <w:rFonts w:ascii="Times New Roman" w:hAnsi="Times New Roman" w:eastAsia="宋体" w:cs="Times New Roman"/>
                <w:color w:val="FF0000"/>
                <w:szCs w:val="21"/>
              </w:rPr>
              <w:t>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新增</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空压机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2</w:t>
            </w:r>
          </w:p>
        </w:tc>
        <w:tc>
          <w:tcPr>
            <w:tcW w:w="1533" w:type="dxa"/>
            <w:vAlign w:val="center"/>
          </w:tcPr>
          <w:p>
            <w:pPr>
              <w:pStyle w:val="2"/>
              <w:spacing w:after="0"/>
              <w:jc w:val="center"/>
              <w:rPr>
                <w:rFonts w:ascii="Times New Roman" w:hAnsi="Times New Roman" w:eastAsia="宋体" w:cs="Times New Roman"/>
                <w:color w:val="FF0000"/>
                <w:kern w:val="0"/>
                <w:szCs w:val="21"/>
              </w:rPr>
            </w:pPr>
            <w:r>
              <w:rPr>
                <w:rFonts w:hint="eastAsia" w:ascii="Times New Roman" w:hAnsi="Times New Roman" w:eastAsia="宋体"/>
                <w:color w:val="FF0000"/>
                <w:szCs w:val="21"/>
              </w:rPr>
              <w:t>85000</w:t>
            </w:r>
            <w:r>
              <w:rPr>
                <w:rFonts w:ascii="Times New Roman" w:hAnsi="Times New Roman" w:eastAsia="宋体"/>
                <w:color w:val="FF0000"/>
                <w:szCs w:val="21"/>
              </w:rPr>
              <w:t>m</w:t>
            </w:r>
            <w:r>
              <w:rPr>
                <w:rFonts w:hint="eastAsia" w:ascii="Times New Roman" w:hAnsi="Times New Roman" w:eastAsia="宋体"/>
                <w:color w:val="FF0000"/>
                <w:szCs w:val="21"/>
                <w:vertAlign w:val="superscript"/>
              </w:rPr>
              <w:t>3</w:t>
            </w:r>
            <w:r>
              <w:rPr>
                <w:rFonts w:hint="eastAsia" w:ascii="Times New Roman" w:hAnsi="Times New Roman" w:eastAsia="宋体"/>
                <w:color w:val="FF0000"/>
                <w:szCs w:val="21"/>
              </w:rPr>
              <w:t>/h</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3</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85000</w:t>
            </w:r>
            <w:r>
              <w:rPr>
                <w:rFonts w:ascii="Times New Roman" w:hAnsi="Times New Roman" w:eastAsia="宋体"/>
                <w:color w:val="FF0000"/>
                <w:szCs w:val="21"/>
              </w:rPr>
              <w:t>m</w:t>
            </w:r>
            <w:r>
              <w:rPr>
                <w:rFonts w:hint="eastAsia" w:ascii="Times New Roman" w:hAnsi="Times New Roman" w:eastAsia="宋体"/>
                <w:color w:val="FF0000"/>
                <w:szCs w:val="21"/>
                <w:vertAlign w:val="superscript"/>
              </w:rPr>
              <w:t>3</w:t>
            </w:r>
            <w:r>
              <w:rPr>
                <w:rFonts w:hint="eastAsia" w:ascii="Times New Roman" w:hAnsi="Times New Roman" w:eastAsia="宋体"/>
                <w:color w:val="FF0000"/>
                <w:szCs w:val="21"/>
              </w:rPr>
              <w:t>/h</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规格</w:t>
            </w:r>
            <w:r>
              <w:rPr>
                <w:rFonts w:ascii="Times New Roman" w:hAnsi="Times New Roman" w:eastAsia="宋体" w:cs="Times New Roman"/>
                <w:color w:val="FF0000"/>
                <w:szCs w:val="21"/>
              </w:rPr>
              <w:t>不变，数量</w:t>
            </w:r>
            <w:r>
              <w:rPr>
                <w:rFonts w:hint="eastAsia" w:ascii="Times New Roman" w:hAnsi="Times New Roman" w:eastAsia="宋体" w:cs="Times New Roman"/>
                <w:color w:val="FF0000"/>
                <w:szCs w:val="21"/>
              </w:rPr>
              <w:t>增加1台</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氧压机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ascii="Times New Roman" w:hAnsi="Times New Roman" w:eastAsia="宋体"/>
                <w:color w:val="FF0000"/>
                <w:kern w:val="0"/>
                <w:szCs w:val="21"/>
              </w:rPr>
              <w:t>3</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排气量84m</w:t>
            </w:r>
            <w:r>
              <w:rPr>
                <w:rFonts w:hint="eastAsia" w:ascii="Times New Roman" w:hAnsi="Times New Roman" w:eastAsia="宋体"/>
                <w:color w:val="FF0000"/>
                <w:szCs w:val="21"/>
                <w:vertAlign w:val="superscript"/>
              </w:rPr>
              <w:t>3</w:t>
            </w:r>
            <w:r>
              <w:rPr>
                <w:rFonts w:hint="eastAsia" w:ascii="Times New Roman" w:hAnsi="Times New Roman" w:eastAsia="宋体"/>
                <w:color w:val="FF0000"/>
                <w:szCs w:val="21"/>
              </w:rPr>
              <w:t>/min</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排气量84m</w:t>
            </w:r>
            <w:r>
              <w:rPr>
                <w:rFonts w:hint="eastAsia" w:ascii="Times New Roman" w:hAnsi="Times New Roman" w:eastAsia="宋体"/>
                <w:color w:val="FF0000"/>
                <w:szCs w:val="21"/>
                <w:vertAlign w:val="superscript"/>
              </w:rPr>
              <w:t>3</w:t>
            </w:r>
            <w:r>
              <w:rPr>
                <w:rFonts w:hint="eastAsia" w:ascii="Times New Roman" w:hAnsi="Times New Roman" w:eastAsia="宋体"/>
                <w:color w:val="FF0000"/>
                <w:szCs w:val="21"/>
              </w:rPr>
              <w:t>/min</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规格</w:t>
            </w:r>
            <w:r>
              <w:rPr>
                <w:rFonts w:ascii="Times New Roman" w:hAnsi="Times New Roman" w:eastAsia="宋体" w:cs="Times New Roman"/>
                <w:color w:val="FF0000"/>
                <w:szCs w:val="21"/>
              </w:rPr>
              <w:t>不变，数量</w:t>
            </w:r>
            <w:r>
              <w:rPr>
                <w:rFonts w:hint="eastAsia" w:ascii="Times New Roman" w:hAnsi="Times New Roman" w:eastAsia="宋体" w:cs="Times New Roman"/>
                <w:color w:val="FF0000"/>
                <w:szCs w:val="21"/>
              </w:rPr>
              <w:t>增加1台</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氮压机</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ascii="Times New Roman" w:hAnsi="Times New Roman" w:eastAsia="宋体"/>
                <w:color w:val="FF0000"/>
                <w:kern w:val="0"/>
                <w:szCs w:val="21"/>
              </w:rPr>
              <w:t>3</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排气量84m</w:t>
            </w:r>
            <w:r>
              <w:rPr>
                <w:rFonts w:hint="eastAsia" w:ascii="Times New Roman" w:hAnsi="Times New Roman" w:eastAsia="宋体"/>
                <w:color w:val="FF0000"/>
                <w:szCs w:val="21"/>
                <w:vertAlign w:val="superscript"/>
              </w:rPr>
              <w:t>3</w:t>
            </w:r>
            <w:r>
              <w:rPr>
                <w:rFonts w:hint="eastAsia" w:ascii="Times New Roman" w:hAnsi="Times New Roman" w:eastAsia="宋体"/>
                <w:color w:val="FF0000"/>
                <w:szCs w:val="21"/>
              </w:rPr>
              <w:t>/min</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4</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szCs w:val="21"/>
              </w:rPr>
              <w:t>排气量84m</w:t>
            </w:r>
            <w:r>
              <w:rPr>
                <w:rFonts w:hint="eastAsia" w:ascii="Times New Roman" w:hAnsi="Times New Roman" w:eastAsia="宋体"/>
                <w:color w:val="FF0000"/>
                <w:szCs w:val="21"/>
                <w:vertAlign w:val="superscript"/>
              </w:rPr>
              <w:t>3</w:t>
            </w:r>
            <w:r>
              <w:rPr>
                <w:rFonts w:hint="eastAsia" w:ascii="Times New Roman" w:hAnsi="Times New Roman" w:eastAsia="宋体"/>
                <w:color w:val="FF0000"/>
                <w:szCs w:val="21"/>
              </w:rPr>
              <w:t>/min</w:t>
            </w:r>
          </w:p>
        </w:tc>
        <w:tc>
          <w:tcPr>
            <w:tcW w:w="2578"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规格</w:t>
            </w:r>
            <w:r>
              <w:rPr>
                <w:rFonts w:ascii="Times New Roman" w:hAnsi="Times New Roman" w:eastAsia="宋体" w:cs="Times New Roman"/>
                <w:color w:val="FF0000"/>
                <w:szCs w:val="21"/>
              </w:rPr>
              <w:t>不变，数量</w:t>
            </w:r>
            <w:r>
              <w:rPr>
                <w:rFonts w:hint="eastAsia" w:ascii="Times New Roman" w:hAnsi="Times New Roman" w:eastAsia="宋体" w:cs="Times New Roman"/>
                <w:color w:val="FF0000"/>
                <w:szCs w:val="21"/>
              </w:rPr>
              <w:t>增加1台</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氧透</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0</w:t>
            </w:r>
          </w:p>
        </w:tc>
        <w:tc>
          <w:tcPr>
            <w:tcW w:w="1533" w:type="dxa"/>
            <w:vAlign w:val="center"/>
          </w:tcPr>
          <w:p>
            <w:pPr>
              <w:pStyle w:val="2"/>
              <w:spacing w:after="0"/>
              <w:jc w:val="center"/>
              <w:rPr>
                <w:rFonts w:ascii="Times New Roman" w:hAnsi="Times New Roman" w:eastAsia="宋体" w:cs="Times New Roman"/>
                <w:color w:val="FF0000"/>
                <w:kern w:val="0"/>
                <w:szCs w:val="21"/>
              </w:rPr>
            </w:pPr>
            <w:r>
              <w:rPr>
                <w:rFonts w:hint="eastAsia" w:ascii="Times New Roman" w:hAnsi="Times New Roman" w:eastAsia="宋体" w:cs="Times New Roman"/>
                <w:color w:val="FF0000"/>
                <w:kern w:val="0"/>
                <w:szCs w:val="21"/>
              </w:rPr>
              <w:t>/</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1</w:t>
            </w:r>
          </w:p>
        </w:tc>
        <w:tc>
          <w:tcPr>
            <w:tcW w:w="2122" w:type="dxa"/>
            <w:vAlign w:val="center"/>
          </w:tcPr>
          <w:p>
            <w:pPr>
              <w:widowControl/>
              <w:jc w:val="center"/>
              <w:rPr>
                <w:rFonts w:ascii="Times New Roman" w:hAnsi="Times New Roman" w:eastAsia="宋体"/>
                <w:color w:val="FF0000"/>
                <w:kern w:val="0"/>
                <w:szCs w:val="21"/>
              </w:rPr>
            </w:pPr>
            <w:r>
              <w:rPr>
                <w:rFonts w:ascii="Times New Roman" w:hAnsi="Times New Roman" w:eastAsia="宋体"/>
                <w:color w:val="FF0000"/>
                <w:kern w:val="0"/>
                <w:szCs w:val="21"/>
              </w:rPr>
              <w:t>15000</w:t>
            </w:r>
            <w:r>
              <w:rPr>
                <w:rFonts w:ascii="Times New Roman" w:hAnsi="Times New Roman" w:eastAsia="宋体" w:cs="Times New Roman"/>
                <w:i/>
                <w:color w:val="FF0000"/>
                <w:szCs w:val="21"/>
              </w:rPr>
              <w:t>N</w:t>
            </w:r>
            <w:r>
              <w:rPr>
                <w:rFonts w:ascii="Times New Roman" w:hAnsi="Times New Roman" w:eastAsia="宋体" w:cs="Times New Roman"/>
                <w:color w:val="FF0000"/>
                <w:szCs w:val="21"/>
              </w:rPr>
              <w:t>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新增</w:t>
            </w:r>
          </w:p>
        </w:tc>
        <w:tc>
          <w:tcPr>
            <w:tcW w:w="2190" w:type="dxa"/>
            <w:vMerge w:val="continue"/>
            <w:vAlign w:val="center"/>
          </w:tcPr>
          <w:p>
            <w:pPr>
              <w:pStyle w:val="2"/>
              <w:spacing w:after="0"/>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氮透</w:t>
            </w:r>
          </w:p>
        </w:tc>
        <w:tc>
          <w:tcPr>
            <w:tcW w:w="708"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台</w:t>
            </w:r>
          </w:p>
        </w:tc>
        <w:tc>
          <w:tcPr>
            <w:tcW w:w="707"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153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r>
              <w:rPr>
                <w:rFonts w:ascii="Times New Roman" w:hAnsi="Times New Roman" w:eastAsia="宋体"/>
                <w:color w:val="FF0000"/>
                <w:kern w:val="0"/>
                <w:szCs w:val="21"/>
              </w:rPr>
              <w:t>5000</w:t>
            </w:r>
            <w:r>
              <w:rPr>
                <w:rFonts w:ascii="Times New Roman" w:hAnsi="Times New Roman" w:eastAsia="宋体" w:cs="Times New Roman"/>
                <w:i/>
                <w:color w:val="FF0000"/>
                <w:szCs w:val="21"/>
              </w:rPr>
              <w:t>N</w:t>
            </w:r>
            <w:r>
              <w:rPr>
                <w:rFonts w:ascii="Times New Roman" w:hAnsi="Times New Roman" w:eastAsia="宋体" w:cs="Times New Roman"/>
                <w:color w:val="FF0000"/>
                <w:szCs w:val="21"/>
              </w:rPr>
              <w:t>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943"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p>
        </w:tc>
        <w:tc>
          <w:tcPr>
            <w:tcW w:w="2122" w:type="dxa"/>
            <w:vAlign w:val="center"/>
          </w:tcPr>
          <w:p>
            <w:pPr>
              <w:widowControl/>
              <w:jc w:val="center"/>
              <w:rPr>
                <w:rFonts w:ascii="Times New Roman" w:hAnsi="Times New Roman" w:eastAsia="宋体"/>
                <w:color w:val="FF0000"/>
                <w:kern w:val="0"/>
                <w:szCs w:val="21"/>
              </w:rPr>
            </w:pPr>
            <w:r>
              <w:rPr>
                <w:rFonts w:hint="eastAsia" w:ascii="Times New Roman" w:hAnsi="Times New Roman" w:eastAsia="宋体"/>
                <w:color w:val="FF0000"/>
                <w:kern w:val="0"/>
                <w:szCs w:val="21"/>
              </w:rPr>
              <w:t>2</w:t>
            </w:r>
            <w:r>
              <w:rPr>
                <w:rFonts w:ascii="Times New Roman" w:hAnsi="Times New Roman" w:eastAsia="宋体"/>
                <w:color w:val="FF0000"/>
                <w:kern w:val="0"/>
                <w:szCs w:val="21"/>
              </w:rPr>
              <w:t>5000</w:t>
            </w:r>
            <w:r>
              <w:rPr>
                <w:rFonts w:ascii="Times New Roman" w:hAnsi="Times New Roman" w:eastAsia="宋体" w:cs="Times New Roman"/>
                <w:i/>
                <w:color w:val="FF0000"/>
                <w:szCs w:val="21"/>
              </w:rPr>
              <w:t>N</w:t>
            </w:r>
            <w:r>
              <w:rPr>
                <w:rFonts w:ascii="Times New Roman" w:hAnsi="Times New Roman" w:eastAsia="宋体" w:cs="Times New Roman"/>
                <w:color w:val="FF0000"/>
                <w:szCs w:val="21"/>
              </w:rPr>
              <w:t>m</w:t>
            </w:r>
            <w:r>
              <w:rPr>
                <w:rFonts w:ascii="Times New Roman" w:hAnsi="Times New Roman" w:eastAsia="宋体" w:cs="Times New Roman"/>
                <w:color w:val="FF0000"/>
                <w:szCs w:val="21"/>
                <w:vertAlign w:val="superscript"/>
              </w:rPr>
              <w:t>3</w:t>
            </w:r>
            <w:r>
              <w:rPr>
                <w:rFonts w:ascii="Times New Roman" w:hAnsi="Times New Roman" w:eastAsia="宋体" w:cs="Times New Roman"/>
                <w:color w:val="FF0000"/>
                <w:szCs w:val="21"/>
              </w:rPr>
              <w:t>/h</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9</w:t>
            </w:r>
          </w:p>
        </w:tc>
        <w:tc>
          <w:tcPr>
            <w:tcW w:w="1062" w:type="dxa"/>
            <w:vMerge w:val="restart"/>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煤气设施</w:t>
            </w: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高炉煤气柜</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座</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20万m</w:t>
            </w:r>
            <w:r>
              <w:rPr>
                <w:rFonts w:ascii="Times New Roman" w:hAnsi="Times New Roman" w:eastAsia="宋体" w:cs="Times New Roman"/>
                <w:color w:val="FF0000"/>
                <w:szCs w:val="21"/>
                <w:vertAlign w:val="superscript"/>
              </w:rPr>
              <w:t>3</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20万m</w:t>
            </w:r>
            <w:r>
              <w:rPr>
                <w:rFonts w:ascii="Times New Roman" w:hAnsi="Times New Roman" w:eastAsia="宋体" w:cs="Times New Roman"/>
                <w:color w:val="FF0000"/>
                <w:szCs w:val="21"/>
                <w:vertAlign w:val="superscript"/>
              </w:rPr>
              <w:t>3</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焦炉煤气柜</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座</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10万m</w:t>
            </w:r>
            <w:r>
              <w:rPr>
                <w:rFonts w:ascii="Times New Roman" w:hAnsi="Times New Roman" w:eastAsia="宋体" w:cs="Times New Roman"/>
                <w:color w:val="FF0000"/>
                <w:szCs w:val="21"/>
                <w:vertAlign w:val="superscript"/>
              </w:rPr>
              <w:t>3</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szCs w:val="21"/>
              </w:rPr>
              <w:t>10万m</w:t>
            </w:r>
            <w:r>
              <w:rPr>
                <w:rFonts w:ascii="Times New Roman" w:hAnsi="Times New Roman" w:eastAsia="宋体" w:cs="Times New Roman"/>
                <w:color w:val="FF0000"/>
                <w:szCs w:val="21"/>
                <w:vertAlign w:val="superscript"/>
              </w:rPr>
              <w:t>3</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转炉煤气柜</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座</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10</w:t>
            </w:r>
            <w:r>
              <w:rPr>
                <w:rFonts w:ascii="Times New Roman" w:hAnsi="Times New Roman" w:eastAsia="宋体" w:cs="Times New Roman"/>
                <w:color w:val="FF0000"/>
                <w:szCs w:val="21"/>
              </w:rPr>
              <w:t>万m</w:t>
            </w:r>
            <w:r>
              <w:rPr>
                <w:rFonts w:ascii="Times New Roman" w:hAnsi="Times New Roman" w:eastAsia="宋体" w:cs="Times New Roman"/>
                <w:color w:val="FF0000"/>
                <w:szCs w:val="21"/>
                <w:vertAlign w:val="superscript"/>
              </w:rPr>
              <w:t>3</w:t>
            </w:r>
          </w:p>
        </w:tc>
        <w:tc>
          <w:tcPr>
            <w:tcW w:w="943"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1</w:t>
            </w:r>
          </w:p>
        </w:tc>
        <w:tc>
          <w:tcPr>
            <w:tcW w:w="2122"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pStyle w:val="2"/>
              <w:spacing w:after="0"/>
              <w:jc w:val="center"/>
              <w:rPr>
                <w:rFonts w:ascii="Times New Roman" w:hAnsi="Times New Roman" w:eastAsia="宋体" w:cs="Times New Roman"/>
                <w:color w:val="FF0000"/>
                <w:szCs w:val="21"/>
              </w:rPr>
            </w:pPr>
          </w:p>
        </w:tc>
        <w:tc>
          <w:tcPr>
            <w:tcW w:w="1062" w:type="dxa"/>
            <w:vMerge w:val="continue"/>
            <w:vAlign w:val="center"/>
          </w:tcPr>
          <w:p>
            <w:pPr>
              <w:pStyle w:val="2"/>
              <w:spacing w:after="0"/>
              <w:jc w:val="center"/>
              <w:rPr>
                <w:rFonts w:ascii="Times New Roman" w:hAnsi="Times New Roman" w:eastAsia="宋体" w:cs="Times New Roman"/>
                <w:color w:val="FF0000"/>
                <w:szCs w:val="21"/>
              </w:rPr>
            </w:pPr>
          </w:p>
        </w:tc>
        <w:tc>
          <w:tcPr>
            <w:tcW w:w="176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转炉煤气加压站</w:t>
            </w:r>
          </w:p>
        </w:tc>
        <w:tc>
          <w:tcPr>
            <w:tcW w:w="70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座</w:t>
            </w:r>
          </w:p>
        </w:tc>
        <w:tc>
          <w:tcPr>
            <w:tcW w:w="707"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33"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943"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1</w:t>
            </w:r>
          </w:p>
        </w:tc>
        <w:tc>
          <w:tcPr>
            <w:tcW w:w="2122" w:type="dxa"/>
            <w:vAlign w:val="center"/>
          </w:tcPr>
          <w:p>
            <w:pPr>
              <w:widowControl/>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w:t>
            </w:r>
          </w:p>
        </w:tc>
        <w:tc>
          <w:tcPr>
            <w:tcW w:w="2578" w:type="dxa"/>
            <w:vAlign w:val="center"/>
          </w:tcPr>
          <w:p>
            <w:pPr>
              <w:pStyle w:val="2"/>
              <w:spacing w:after="0"/>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一致</w:t>
            </w:r>
          </w:p>
        </w:tc>
        <w:tc>
          <w:tcPr>
            <w:tcW w:w="2190" w:type="dxa"/>
            <w:vAlign w:val="center"/>
          </w:tcPr>
          <w:p>
            <w:pPr>
              <w:pStyle w:val="2"/>
              <w:spacing w:after="0"/>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w:t>
            </w:r>
          </w:p>
        </w:tc>
      </w:tr>
    </w:tbl>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ascii="Times New Roman" w:hAnsi="Times New Roman" w:eastAsia="宋体" w:cs="Times New Roman"/>
          <w:color w:val="FF0000"/>
          <w:sz w:val="24"/>
        </w:rPr>
        <w:t>由上表可知，</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相比，部分主要设备设置情况发生了变化，这是由于后评价阶段实际产能发生变化所致</w:t>
      </w:r>
      <w:r>
        <w:rPr>
          <w:rFonts w:ascii="Times New Roman" w:hAnsi="Times New Roman" w:eastAsia="宋体" w:cs="Times New Roman"/>
          <w:sz w:val="24"/>
        </w:rPr>
        <w:t>。</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spacing w:before="156" w:beforeLines="50" w:after="156" w:afterLines="50" w:line="360" w:lineRule="auto"/>
        <w:outlineLvl w:val="2"/>
        <w:rPr>
          <w:rFonts w:ascii="Times New Roman" w:hAnsi="Times New Roman" w:eastAsia="黑体" w:cs="Times New Roman"/>
          <w:color w:val="FF0000"/>
          <w:sz w:val="24"/>
          <w:szCs w:val="24"/>
        </w:rPr>
      </w:pPr>
      <w:r>
        <w:rPr>
          <w:rFonts w:ascii="Times New Roman" w:hAnsi="Times New Roman" w:eastAsia="黑体" w:cs="Times New Roman"/>
          <w:color w:val="FF0000"/>
          <w:sz w:val="24"/>
          <w:szCs w:val="24"/>
        </w:rPr>
        <w:t>3.4.4工艺流程变化情况</w:t>
      </w:r>
    </w:p>
    <w:p>
      <w:pPr>
        <w:pStyle w:val="2"/>
        <w:spacing w:after="0" w:line="360" w:lineRule="auto"/>
        <w:ind w:firstLine="480" w:firstLineChars="200"/>
        <w:rPr>
          <w:rFonts w:ascii="Times New Roman" w:hAnsi="Times New Roman" w:eastAsia="宋体" w:cs="Times New Roman"/>
          <w:color w:val="FF0000"/>
          <w:sz w:val="24"/>
        </w:rPr>
      </w:pP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相比，工序工艺流程均未发生变化。</w:t>
      </w:r>
    </w:p>
    <w:p>
      <w:pPr>
        <w:spacing w:before="156" w:beforeLines="50" w:after="156" w:afterLines="50" w:line="360" w:lineRule="auto"/>
        <w:outlineLvl w:val="2"/>
        <w:rPr>
          <w:rFonts w:ascii="Times New Roman" w:hAnsi="Times New Roman" w:eastAsia="黑体" w:cs="Times New Roman"/>
          <w:color w:val="FF0000"/>
          <w:sz w:val="24"/>
          <w:szCs w:val="24"/>
        </w:rPr>
      </w:pPr>
      <w:r>
        <w:rPr>
          <w:rFonts w:ascii="Times New Roman" w:hAnsi="Times New Roman" w:eastAsia="黑体" w:cs="Times New Roman"/>
          <w:color w:val="FF0000"/>
          <w:sz w:val="24"/>
          <w:szCs w:val="24"/>
        </w:rPr>
        <w:t>3.4.5污染防治措施变化情况</w:t>
      </w:r>
    </w:p>
    <w:p>
      <w:pPr>
        <w:pStyle w:val="2"/>
        <w:spacing w:after="0" w:line="360" w:lineRule="auto"/>
        <w:ind w:firstLine="480" w:firstLineChars="200"/>
        <w:rPr>
          <w:rFonts w:ascii="Times New Roman" w:hAnsi="Times New Roman" w:eastAsia="宋体" w:cs="Times New Roman"/>
          <w:color w:val="FF0000"/>
          <w:sz w:val="24"/>
        </w:rPr>
      </w:pP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相比，项目采用的污染防治措施变化情况对比见表3.4-4。</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表3.4-4  项目污染防治措施变化情况一览表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1"/>
        <w:gridCol w:w="850"/>
        <w:gridCol w:w="1094"/>
        <w:gridCol w:w="1943"/>
        <w:gridCol w:w="2020"/>
        <w:gridCol w:w="1398"/>
        <w:gridCol w:w="1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5" w:type="dxa"/>
            <w:gridSpan w:val="3"/>
            <w:vMerge w:val="restart"/>
            <w:vAlign w:val="center"/>
          </w:tcPr>
          <w:p>
            <w:pPr>
              <w:pStyle w:val="2"/>
              <w:spacing w:after="0"/>
              <w:jc w:val="center"/>
              <w:rPr>
                <w:rFonts w:ascii="Times New Roman" w:hAnsi="Times New Roman" w:eastAsia="宋体"/>
                <w:b/>
                <w:color w:val="FF0000"/>
              </w:rPr>
            </w:pPr>
            <w:r>
              <w:rPr>
                <w:rFonts w:hint="eastAsia" w:ascii="Times New Roman" w:hAnsi="Times New Roman" w:eastAsia="宋体"/>
                <w:b/>
                <w:color w:val="FF0000"/>
              </w:rPr>
              <w:t>类别</w:t>
            </w:r>
          </w:p>
        </w:tc>
        <w:tc>
          <w:tcPr>
            <w:tcW w:w="3963" w:type="dxa"/>
            <w:gridSpan w:val="2"/>
            <w:vAlign w:val="center"/>
          </w:tcPr>
          <w:p>
            <w:pPr>
              <w:pStyle w:val="2"/>
              <w:spacing w:after="0"/>
              <w:jc w:val="center"/>
              <w:rPr>
                <w:rFonts w:ascii="Times New Roman" w:hAnsi="Times New Roman" w:eastAsia="宋体"/>
                <w:b/>
                <w:color w:val="FF0000"/>
              </w:rPr>
            </w:pPr>
            <w:r>
              <w:rPr>
                <w:rFonts w:hint="eastAsia" w:ascii="Times New Roman" w:hAnsi="Times New Roman" w:eastAsia="宋体"/>
                <w:b/>
                <w:color w:val="FF0000"/>
              </w:rPr>
              <w:t>污染防治</w:t>
            </w:r>
            <w:r>
              <w:rPr>
                <w:rFonts w:ascii="Times New Roman" w:hAnsi="Times New Roman" w:eastAsia="宋体"/>
                <w:b/>
                <w:color w:val="FF0000"/>
              </w:rPr>
              <w:t>措施</w:t>
            </w:r>
          </w:p>
        </w:tc>
        <w:tc>
          <w:tcPr>
            <w:tcW w:w="1398" w:type="dxa"/>
            <w:vMerge w:val="restart"/>
            <w:vAlign w:val="center"/>
          </w:tcPr>
          <w:p>
            <w:pPr>
              <w:pStyle w:val="2"/>
              <w:spacing w:after="0"/>
              <w:jc w:val="center"/>
              <w:rPr>
                <w:rFonts w:ascii="Times New Roman" w:hAnsi="Times New Roman" w:eastAsia="宋体"/>
                <w:b/>
                <w:color w:val="FF0000"/>
              </w:rPr>
            </w:pPr>
            <w:r>
              <w:rPr>
                <w:rFonts w:hint="eastAsia" w:ascii="Times New Roman" w:hAnsi="Times New Roman" w:eastAsia="宋体"/>
                <w:b/>
                <w:color w:val="FF0000"/>
              </w:rPr>
              <w:t>变化</w:t>
            </w:r>
            <w:r>
              <w:rPr>
                <w:rFonts w:ascii="Times New Roman" w:hAnsi="Times New Roman" w:eastAsia="宋体"/>
                <w:b/>
                <w:color w:val="FF0000"/>
              </w:rPr>
              <w:t>情况</w:t>
            </w:r>
          </w:p>
        </w:tc>
        <w:tc>
          <w:tcPr>
            <w:tcW w:w="1195" w:type="dxa"/>
            <w:vMerge w:val="restart"/>
            <w:vAlign w:val="center"/>
          </w:tcPr>
          <w:p>
            <w:pPr>
              <w:pStyle w:val="2"/>
              <w:spacing w:after="0"/>
              <w:jc w:val="center"/>
              <w:rPr>
                <w:rFonts w:ascii="Times New Roman" w:hAnsi="Times New Roman" w:eastAsia="宋体"/>
                <w:b/>
                <w:color w:val="FF0000"/>
              </w:rPr>
            </w:pPr>
            <w:r>
              <w:rPr>
                <w:rFonts w:hint="eastAsia" w:ascii="Times New Roman" w:hAnsi="Times New Roman" w:eastAsia="宋体"/>
                <w:b/>
                <w:color w:val="FF0000"/>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5" w:type="dxa"/>
            <w:gridSpan w:val="3"/>
            <w:vMerge w:val="continue"/>
            <w:vAlign w:val="center"/>
          </w:tcPr>
          <w:p>
            <w:pPr>
              <w:pStyle w:val="2"/>
              <w:spacing w:after="0"/>
              <w:jc w:val="center"/>
              <w:rPr>
                <w:rFonts w:ascii="Times New Roman" w:hAnsi="Times New Roman" w:eastAsia="宋体"/>
                <w:color w:val="FF0000"/>
              </w:rPr>
            </w:pPr>
          </w:p>
        </w:tc>
        <w:tc>
          <w:tcPr>
            <w:tcW w:w="1943" w:type="dxa"/>
            <w:vAlign w:val="center"/>
          </w:tcPr>
          <w:p>
            <w:pPr>
              <w:pStyle w:val="2"/>
              <w:spacing w:after="0"/>
              <w:jc w:val="center"/>
              <w:rPr>
                <w:rFonts w:ascii="Times New Roman" w:hAnsi="Times New Roman" w:eastAsia="宋体"/>
                <w:b/>
                <w:color w:val="FF0000"/>
              </w:rPr>
            </w:pPr>
            <w:r>
              <w:rPr>
                <w:rFonts w:hint="eastAsia" w:ascii="Times New Roman" w:hAnsi="Times New Roman" w:eastAsia="宋体"/>
                <w:b/>
                <w:color w:val="FF0000"/>
              </w:rPr>
              <w:t>现状评价</w:t>
            </w:r>
            <w:r>
              <w:rPr>
                <w:rFonts w:ascii="Times New Roman" w:hAnsi="Times New Roman" w:eastAsia="宋体"/>
                <w:b/>
                <w:color w:val="FF0000"/>
              </w:rPr>
              <w:t>阶段</w:t>
            </w:r>
          </w:p>
        </w:tc>
        <w:tc>
          <w:tcPr>
            <w:tcW w:w="2020" w:type="dxa"/>
            <w:vAlign w:val="center"/>
          </w:tcPr>
          <w:p>
            <w:pPr>
              <w:pStyle w:val="2"/>
              <w:spacing w:after="0"/>
              <w:jc w:val="center"/>
              <w:rPr>
                <w:rFonts w:ascii="Times New Roman" w:hAnsi="Times New Roman" w:eastAsia="宋体"/>
                <w:b/>
                <w:color w:val="FF0000"/>
              </w:rPr>
            </w:pPr>
            <w:r>
              <w:rPr>
                <w:rFonts w:hint="eastAsia" w:ascii="Times New Roman" w:hAnsi="Times New Roman" w:eastAsia="宋体"/>
                <w:b/>
                <w:color w:val="FF0000"/>
              </w:rPr>
              <w:t>后评价</w:t>
            </w:r>
            <w:r>
              <w:rPr>
                <w:rFonts w:ascii="Times New Roman" w:hAnsi="Times New Roman" w:eastAsia="宋体"/>
                <w:b/>
                <w:color w:val="FF0000"/>
              </w:rPr>
              <w:t>阶段</w:t>
            </w:r>
          </w:p>
        </w:tc>
        <w:tc>
          <w:tcPr>
            <w:tcW w:w="1398" w:type="dxa"/>
            <w:vMerge w:val="continue"/>
            <w:vAlign w:val="center"/>
          </w:tcPr>
          <w:p>
            <w:pPr>
              <w:pStyle w:val="2"/>
              <w:spacing w:after="0"/>
              <w:jc w:val="center"/>
              <w:rPr>
                <w:rFonts w:ascii="Times New Roman" w:hAnsi="Times New Roman" w:eastAsia="宋体"/>
                <w:color w:val="FF0000"/>
              </w:rPr>
            </w:pPr>
          </w:p>
        </w:tc>
        <w:tc>
          <w:tcPr>
            <w:tcW w:w="1195" w:type="dxa"/>
            <w:vMerge w:val="continue"/>
            <w:vAlign w:val="center"/>
          </w:tcPr>
          <w:p>
            <w:pPr>
              <w:pStyle w:val="2"/>
              <w:spacing w:after="0"/>
              <w:jc w:val="center"/>
              <w:rPr>
                <w:rFonts w:ascii="Times New Roman" w:hAnsi="Times New Roman" w:eastAsia="宋体"/>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废气</w:t>
            </w: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原料场</w:t>
            </w: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转运站除尘</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15m高烟囱排放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15m高烟囱排放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地下料仓上料除尘</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22m高烟囱排放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22m高烟囱排放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石灰窑</w:t>
            </w: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原料上料</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袋式除尘器净化后经高</w:t>
            </w:r>
            <w:r>
              <w:rPr>
                <w:rFonts w:ascii="Times New Roman" w:hAnsi="Times New Roman" w:eastAsia="宋体"/>
                <w:color w:val="FF0000"/>
              </w:rPr>
              <w:t>20m烟囱排放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袋式除尘器净化后经高</w:t>
            </w:r>
            <w:r>
              <w:rPr>
                <w:rFonts w:ascii="Times New Roman" w:hAnsi="Times New Roman" w:eastAsia="宋体"/>
                <w:color w:val="FF0000"/>
              </w:rPr>
              <w:t>20m烟囱排放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回转窑焙烧</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净化后经40m高烟囱</w:t>
            </w:r>
            <w:r>
              <w:rPr>
                <w:rFonts w:hint="eastAsia"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净化后经40m高烟囱</w:t>
            </w:r>
            <w:r>
              <w:rPr>
                <w:rFonts w:hint="eastAsia"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成品冷却</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净化后经20m高烟囱</w:t>
            </w:r>
            <w:r>
              <w:rPr>
                <w:rFonts w:hint="eastAsia"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净化后经20m高烟囱</w:t>
            </w:r>
            <w:r>
              <w:rPr>
                <w:rFonts w:hint="eastAsia"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成品卸料、破碎</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净化后经20m高烟囱</w:t>
            </w:r>
            <w:r>
              <w:rPr>
                <w:rFonts w:hint="eastAsia"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净化后经20m高烟囱</w:t>
            </w:r>
            <w:r>
              <w:rPr>
                <w:rFonts w:hint="eastAsia"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成品</w:t>
            </w:r>
            <w:r>
              <w:rPr>
                <w:rFonts w:ascii="Times New Roman" w:hAnsi="Times New Roman" w:eastAsia="宋体"/>
                <w:color w:val="FF0000"/>
              </w:rPr>
              <w:t>卸料除尘排口</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净化后经20m高烟囱</w:t>
            </w:r>
            <w:r>
              <w:rPr>
                <w:rFonts w:hint="eastAsia"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净化后经20m高烟囱</w:t>
            </w:r>
            <w:r>
              <w:rPr>
                <w:rFonts w:hint="eastAsia"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 w:hRule="atLeast"/>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烧结</w:t>
            </w:r>
            <w:r>
              <w:rPr>
                <w:rFonts w:ascii="Times New Roman" w:hAnsi="Times New Roman" w:eastAsia="宋体"/>
                <w:color w:val="FF0000"/>
              </w:rPr>
              <w:t>车间</w:t>
            </w: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配料及各转运站除尘系统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净化后经40m高烟囱</w:t>
            </w:r>
            <w:r>
              <w:rPr>
                <w:rFonts w:hint="eastAsia"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净化后经40m高烟囱</w:t>
            </w:r>
            <w:r>
              <w:rPr>
                <w:rFonts w:hint="eastAsia"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燃料除尘系统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防爆型袋式除尘器</w:t>
            </w:r>
            <w:r>
              <w:rPr>
                <w:rFonts w:ascii="Times New Roman" w:hAnsi="Times New Roman" w:eastAsia="宋体"/>
                <w:color w:val="FF0000"/>
              </w:rPr>
              <w:t>净化后经40m高烟囱</w:t>
            </w:r>
            <w:r>
              <w:rPr>
                <w:rFonts w:hint="eastAsia"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防爆型袋式除尘器</w:t>
            </w:r>
            <w:r>
              <w:rPr>
                <w:rFonts w:ascii="Times New Roman" w:hAnsi="Times New Roman" w:eastAsia="宋体"/>
                <w:color w:val="FF0000"/>
              </w:rPr>
              <w:t>净化后经40m高烟囱</w:t>
            </w:r>
            <w:r>
              <w:rPr>
                <w:rFonts w:hint="eastAsia"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1#2#烧结机机头</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低氮燃烧</w:t>
            </w:r>
            <w:r>
              <w:rPr>
                <w:rFonts w:ascii="Times New Roman" w:hAnsi="Times New Roman" w:eastAsia="宋体"/>
                <w:color w:val="FF0000"/>
              </w:rPr>
              <w:t>+H</w:t>
            </w:r>
            <w:r>
              <w:rPr>
                <w:rFonts w:ascii="Times New Roman" w:hAnsi="Times New Roman" w:eastAsia="宋体"/>
                <w:color w:val="FF0000"/>
                <w:vertAlign w:val="subscript"/>
              </w:rPr>
              <w:t>2</w:t>
            </w:r>
            <w:r>
              <w:rPr>
                <w:rFonts w:ascii="Times New Roman" w:hAnsi="Times New Roman" w:eastAsia="宋体"/>
                <w:color w:val="FF0000"/>
              </w:rPr>
              <w:t>-SCR脱硝</w:t>
            </w:r>
            <w:r>
              <w:rPr>
                <w:rFonts w:hint="eastAsia" w:ascii="Times New Roman" w:hAnsi="Times New Roman" w:eastAsia="宋体"/>
                <w:color w:val="FF0000"/>
              </w:rPr>
              <w:t>+双室四电场静电除尘器+湿式石灰石</w:t>
            </w:r>
            <w:r>
              <w:rPr>
                <w:rFonts w:ascii="Times New Roman" w:hAnsi="Times New Roman" w:eastAsia="宋体"/>
                <w:color w:val="FF0000"/>
              </w:rPr>
              <w:t>-石膏法脱硫</w:t>
            </w:r>
            <w:r>
              <w:rPr>
                <w:rFonts w:hint="eastAsia" w:ascii="Times New Roman" w:hAnsi="Times New Roman" w:eastAsia="宋体"/>
                <w:color w:val="FF0000"/>
              </w:rPr>
              <w:t>处理后分别</w:t>
            </w:r>
            <w:r>
              <w:rPr>
                <w:rFonts w:ascii="Times New Roman" w:hAnsi="Times New Roman" w:eastAsia="宋体"/>
                <w:color w:val="FF0000"/>
              </w:rPr>
              <w:t>经</w:t>
            </w:r>
            <w:r>
              <w:rPr>
                <w:rFonts w:hint="eastAsia" w:ascii="Times New Roman" w:hAnsi="Times New Roman" w:eastAsia="宋体"/>
                <w:color w:val="FF0000"/>
              </w:rPr>
              <w:t>2根70</w:t>
            </w:r>
            <w:r>
              <w:rPr>
                <w:rFonts w:ascii="Times New Roman" w:hAnsi="Times New Roman" w:eastAsia="宋体"/>
                <w:color w:val="FF0000"/>
              </w:rPr>
              <w:t>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低氮燃烧</w:t>
            </w:r>
            <w:r>
              <w:rPr>
                <w:rFonts w:ascii="Times New Roman" w:hAnsi="Times New Roman" w:eastAsia="宋体"/>
                <w:color w:val="FF0000"/>
              </w:rPr>
              <w:t>+H</w:t>
            </w:r>
            <w:r>
              <w:rPr>
                <w:rFonts w:ascii="Times New Roman" w:hAnsi="Times New Roman" w:eastAsia="宋体"/>
                <w:color w:val="FF0000"/>
                <w:vertAlign w:val="subscript"/>
              </w:rPr>
              <w:t>2</w:t>
            </w:r>
            <w:r>
              <w:rPr>
                <w:rFonts w:ascii="Times New Roman" w:hAnsi="Times New Roman" w:eastAsia="宋体"/>
                <w:color w:val="FF0000"/>
              </w:rPr>
              <w:t>-SCR脱硝</w:t>
            </w:r>
            <w:r>
              <w:rPr>
                <w:rFonts w:hint="eastAsia" w:ascii="Times New Roman" w:hAnsi="Times New Roman" w:eastAsia="宋体"/>
                <w:color w:val="FF0000"/>
              </w:rPr>
              <w:t>+双室四电场静电除尘器+湿式石灰石</w:t>
            </w:r>
            <w:r>
              <w:rPr>
                <w:rFonts w:ascii="Times New Roman" w:hAnsi="Times New Roman" w:eastAsia="宋体"/>
                <w:color w:val="FF0000"/>
              </w:rPr>
              <w:t>-石膏法脱硫</w:t>
            </w:r>
            <w:r>
              <w:rPr>
                <w:rFonts w:hint="eastAsia" w:ascii="Times New Roman" w:hAnsi="Times New Roman" w:eastAsia="宋体"/>
                <w:color w:val="FF0000"/>
              </w:rPr>
              <w:t>处理后分别</w:t>
            </w:r>
            <w:r>
              <w:rPr>
                <w:rFonts w:ascii="Times New Roman" w:hAnsi="Times New Roman" w:eastAsia="宋体"/>
                <w:color w:val="FF0000"/>
              </w:rPr>
              <w:t>经</w:t>
            </w:r>
            <w:r>
              <w:rPr>
                <w:rFonts w:hint="eastAsia" w:ascii="Times New Roman" w:hAnsi="Times New Roman" w:eastAsia="宋体"/>
                <w:color w:val="FF0000"/>
              </w:rPr>
              <w:t>2根70</w:t>
            </w:r>
            <w:r>
              <w:rPr>
                <w:rFonts w:ascii="Times New Roman" w:hAnsi="Times New Roman" w:eastAsia="宋体"/>
                <w:color w:val="FF0000"/>
              </w:rPr>
              <w:t>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1#2#烧结机机尾</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电袋复合除尘器</w:t>
            </w:r>
            <w:r>
              <w:rPr>
                <w:rFonts w:ascii="Times New Roman" w:hAnsi="Times New Roman" w:eastAsia="宋体"/>
                <w:color w:val="FF0000"/>
              </w:rPr>
              <w:t>(1电+3布袋)</w:t>
            </w:r>
            <w:r>
              <w:rPr>
                <w:rFonts w:hint="eastAsia" w:ascii="Times New Roman" w:hAnsi="Times New Roman" w:eastAsia="宋体"/>
                <w:color w:val="FF0000"/>
              </w:rPr>
              <w:t>处理后分别</w:t>
            </w:r>
            <w:r>
              <w:rPr>
                <w:rFonts w:ascii="Times New Roman" w:hAnsi="Times New Roman" w:eastAsia="宋体"/>
                <w:color w:val="FF0000"/>
              </w:rPr>
              <w:t>经</w:t>
            </w:r>
            <w:r>
              <w:rPr>
                <w:rFonts w:hint="eastAsia" w:ascii="Times New Roman" w:hAnsi="Times New Roman" w:eastAsia="宋体"/>
                <w:color w:val="FF0000"/>
              </w:rPr>
              <w:t>2根</w:t>
            </w:r>
            <w:r>
              <w:rPr>
                <w:rFonts w:ascii="Times New Roman" w:hAnsi="Times New Roman" w:eastAsia="宋体"/>
                <w:color w:val="FF0000"/>
              </w:rPr>
              <w:t>45m烟囱排放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电袋复合除尘器</w:t>
            </w:r>
            <w:r>
              <w:rPr>
                <w:rFonts w:ascii="Times New Roman" w:hAnsi="Times New Roman" w:eastAsia="宋体"/>
                <w:color w:val="FF0000"/>
              </w:rPr>
              <w:t>(1电+3布袋)</w:t>
            </w:r>
            <w:r>
              <w:rPr>
                <w:rFonts w:hint="eastAsia" w:ascii="Times New Roman" w:hAnsi="Times New Roman" w:eastAsia="宋体"/>
                <w:color w:val="FF0000"/>
              </w:rPr>
              <w:t>处理后分别</w:t>
            </w:r>
            <w:r>
              <w:rPr>
                <w:rFonts w:ascii="Times New Roman" w:hAnsi="Times New Roman" w:eastAsia="宋体"/>
                <w:color w:val="FF0000"/>
              </w:rPr>
              <w:t>经</w:t>
            </w:r>
            <w:r>
              <w:rPr>
                <w:rFonts w:hint="eastAsia" w:ascii="Times New Roman" w:hAnsi="Times New Roman" w:eastAsia="宋体"/>
                <w:color w:val="FF0000"/>
              </w:rPr>
              <w:t>2根</w:t>
            </w:r>
            <w:r>
              <w:rPr>
                <w:rFonts w:ascii="Times New Roman" w:hAnsi="Times New Roman" w:eastAsia="宋体"/>
                <w:color w:val="FF0000"/>
              </w:rPr>
              <w:t>45m烟囱排放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整粒及转运站除尘系统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净化后经21m高烟囱</w:t>
            </w:r>
            <w:r>
              <w:rPr>
                <w:rFonts w:hint="eastAsia"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净化后经21m高烟囱</w:t>
            </w:r>
            <w:r>
              <w:rPr>
                <w:rFonts w:hint="eastAsia"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焦化</w:t>
            </w:r>
            <w:r>
              <w:rPr>
                <w:rFonts w:ascii="Times New Roman" w:hAnsi="Times New Roman" w:eastAsia="宋体"/>
                <w:color w:val="FF0000"/>
              </w:rPr>
              <w:t>车间</w:t>
            </w: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备煤预粉碎除尘系统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w:t>
            </w:r>
            <w:r>
              <w:rPr>
                <w:rFonts w:hint="eastAsia" w:ascii="Times New Roman" w:hAnsi="Times New Roman" w:eastAsia="宋体"/>
                <w:color w:val="FF0000"/>
              </w:rPr>
              <w:t>2根</w:t>
            </w:r>
            <w:r>
              <w:rPr>
                <w:rFonts w:ascii="Times New Roman" w:hAnsi="Times New Roman" w:eastAsia="宋体"/>
                <w:color w:val="FF0000"/>
              </w:rPr>
              <w:t>32m烟囱排放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w:t>
            </w:r>
            <w:r>
              <w:rPr>
                <w:rFonts w:hint="eastAsia" w:ascii="Times New Roman" w:hAnsi="Times New Roman" w:eastAsia="宋体"/>
                <w:color w:val="FF0000"/>
              </w:rPr>
              <w:t>2根</w:t>
            </w:r>
            <w:r>
              <w:rPr>
                <w:rFonts w:ascii="Times New Roman" w:hAnsi="Times New Roman" w:eastAsia="宋体"/>
                <w:color w:val="FF0000"/>
              </w:rPr>
              <w:t>32m烟囱排放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装煤、出焦除尘地面站</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净化后经20m烟囱排放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焦炉烟囱</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由</w:t>
            </w:r>
            <w:r>
              <w:rPr>
                <w:rFonts w:ascii="Times New Roman" w:hAnsi="Times New Roman" w:eastAsia="宋体"/>
                <w:color w:val="FF0000"/>
              </w:rPr>
              <w:t>135m高烟囱排放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由</w:t>
            </w:r>
            <w:r>
              <w:rPr>
                <w:rFonts w:ascii="Times New Roman" w:hAnsi="Times New Roman" w:eastAsia="宋体"/>
                <w:color w:val="FF0000"/>
              </w:rPr>
              <w:t>135m高烟囱排放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干熄焦除尘</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净化后经24m烟囱排放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净化后经24m烟囱排放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筛贮焦楼除尘系统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净化后经27m烟囱排放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净化后经27m烟囱排放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熄焦塔</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水雾捕集和双层木结构捕尘装置经55</w:t>
            </w:r>
            <w:r>
              <w:rPr>
                <w:rFonts w:ascii="Times New Roman" w:hAnsi="Times New Roman" w:eastAsia="宋体"/>
                <w:color w:val="FF0000"/>
              </w:rPr>
              <w:t>m高</w:t>
            </w:r>
            <w:r>
              <w:rPr>
                <w:rFonts w:hint="eastAsia" w:ascii="Times New Roman" w:hAnsi="Times New Roman" w:eastAsia="宋体"/>
                <w:color w:val="FF0000"/>
              </w:rPr>
              <w:t>烟囱</w:t>
            </w:r>
            <w:r>
              <w:rPr>
                <w:rFonts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水雾捕集和双层木结构捕尘装置经55</w:t>
            </w:r>
            <w:r>
              <w:rPr>
                <w:rFonts w:ascii="Times New Roman" w:hAnsi="Times New Roman" w:eastAsia="宋体"/>
                <w:color w:val="FF0000"/>
              </w:rPr>
              <w:t>m高</w:t>
            </w:r>
            <w:r>
              <w:rPr>
                <w:rFonts w:hint="eastAsia" w:ascii="Times New Roman" w:hAnsi="Times New Roman" w:eastAsia="宋体"/>
                <w:color w:val="FF0000"/>
              </w:rPr>
              <w:t>烟囱</w:t>
            </w:r>
            <w:r>
              <w:rPr>
                <w:rFonts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硫铵干燥</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干式旋风除尘</w:t>
            </w:r>
            <w:r>
              <w:rPr>
                <w:rFonts w:ascii="Times New Roman" w:hAnsi="Times New Roman" w:eastAsia="宋体"/>
                <w:color w:val="FF0000"/>
              </w:rPr>
              <w:t>+湿式净化洗涤</w:t>
            </w:r>
            <w:r>
              <w:rPr>
                <w:rFonts w:hint="eastAsia" w:ascii="Times New Roman" w:hAnsi="Times New Roman" w:eastAsia="宋体"/>
                <w:color w:val="FF0000"/>
              </w:rPr>
              <w:t>两级</w:t>
            </w:r>
            <w:r>
              <w:rPr>
                <w:rFonts w:ascii="Times New Roman" w:hAnsi="Times New Roman" w:eastAsia="宋体"/>
                <w:color w:val="FF0000"/>
              </w:rPr>
              <w:t>净化后经</w:t>
            </w:r>
            <w:r>
              <w:rPr>
                <w:rFonts w:hint="eastAsia" w:ascii="Times New Roman" w:hAnsi="Times New Roman" w:eastAsia="宋体"/>
                <w:color w:val="FF0000"/>
              </w:rPr>
              <w:t>23</w:t>
            </w:r>
            <w:r>
              <w:rPr>
                <w:rFonts w:ascii="Times New Roman" w:hAnsi="Times New Roman" w:eastAsia="宋体"/>
                <w:color w:val="FF0000"/>
              </w:rPr>
              <w:t>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干式旋风除尘</w:t>
            </w:r>
            <w:r>
              <w:rPr>
                <w:rFonts w:ascii="Times New Roman" w:hAnsi="Times New Roman" w:eastAsia="宋体"/>
                <w:color w:val="FF0000"/>
              </w:rPr>
              <w:t>+湿式净化洗涤</w:t>
            </w:r>
            <w:r>
              <w:rPr>
                <w:rFonts w:hint="eastAsia" w:ascii="Times New Roman" w:hAnsi="Times New Roman" w:eastAsia="宋体"/>
                <w:color w:val="FF0000"/>
              </w:rPr>
              <w:t>两级</w:t>
            </w:r>
            <w:r>
              <w:rPr>
                <w:rFonts w:ascii="Times New Roman" w:hAnsi="Times New Roman" w:eastAsia="宋体"/>
                <w:color w:val="FF0000"/>
              </w:rPr>
              <w:t>净化后经</w:t>
            </w:r>
            <w:r>
              <w:rPr>
                <w:rFonts w:hint="eastAsia" w:ascii="Times New Roman" w:hAnsi="Times New Roman" w:eastAsia="宋体"/>
                <w:color w:val="FF0000"/>
              </w:rPr>
              <w:t>23</w:t>
            </w:r>
            <w:r>
              <w:rPr>
                <w:rFonts w:ascii="Times New Roman" w:hAnsi="Times New Roman" w:eastAsia="宋体"/>
                <w:color w:val="FF0000"/>
              </w:rPr>
              <w:t>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粗苯管式炉</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27m烟囱</w:t>
            </w:r>
            <w:r>
              <w:rPr>
                <w:rFonts w:hint="eastAsia"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27m烟囱</w:t>
            </w:r>
            <w:r>
              <w:rPr>
                <w:rFonts w:hint="eastAsia"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焦炉煤气净化尾气回收</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煤气</w:t>
            </w:r>
            <w:r>
              <w:rPr>
                <w:rFonts w:ascii="Times New Roman" w:hAnsi="Times New Roman" w:eastAsia="宋体"/>
                <w:color w:val="FF0000"/>
              </w:rPr>
              <w:t>KXTT脱硫</w:t>
            </w:r>
            <w:r>
              <w:rPr>
                <w:rFonts w:hint="eastAsia" w:ascii="Times New Roman" w:hAnsi="Times New Roman" w:eastAsia="宋体"/>
                <w:color w:val="FF0000"/>
              </w:rPr>
              <w:t>净化后经</w:t>
            </w:r>
            <w:r>
              <w:rPr>
                <w:rFonts w:ascii="Times New Roman" w:hAnsi="Times New Roman" w:eastAsia="宋体"/>
                <w:color w:val="FF0000"/>
              </w:rPr>
              <w:t>30m烟囱排放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水喷淋</w:t>
            </w:r>
            <w:r>
              <w:rPr>
                <w:rFonts w:ascii="Times New Roman" w:hAnsi="Times New Roman" w:eastAsia="宋体"/>
                <w:color w:val="FF0000"/>
              </w:rPr>
              <w:t>净化后经30m烟囱排放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增加</w:t>
            </w:r>
            <w:r>
              <w:rPr>
                <w:rFonts w:ascii="Times New Roman" w:hAnsi="Times New Roman" w:eastAsia="宋体"/>
                <w:color w:val="FF0000"/>
              </w:rPr>
              <w:t>了</w:t>
            </w:r>
            <w:r>
              <w:rPr>
                <w:rFonts w:hint="eastAsia" w:ascii="Times New Roman" w:hAnsi="Times New Roman" w:eastAsia="宋体"/>
                <w:color w:val="FF0000"/>
              </w:rPr>
              <w:t>水喷淋</w:t>
            </w:r>
            <w:r>
              <w:rPr>
                <w:rFonts w:ascii="Times New Roman" w:hAnsi="Times New Roman" w:eastAsia="宋体"/>
                <w:color w:val="FF0000"/>
              </w:rPr>
              <w:t>除尘措施</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已履行环评手续（环行审[2016]78号）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炼铁</w:t>
            </w:r>
            <w:r>
              <w:rPr>
                <w:rFonts w:ascii="Times New Roman" w:hAnsi="Times New Roman" w:eastAsia="宋体"/>
                <w:color w:val="FF0000"/>
              </w:rPr>
              <w:t>车间</w:t>
            </w: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1</w:t>
            </w:r>
            <w:r>
              <w:rPr>
                <w:rFonts w:ascii="Times New Roman" w:hAnsi="Times New Roman" w:eastAsia="宋体"/>
                <w:color w:val="FF0000"/>
              </w:rPr>
              <w:t>#2#3#</w:t>
            </w:r>
            <w:r>
              <w:rPr>
                <w:rFonts w:hint="eastAsia" w:ascii="Times New Roman" w:hAnsi="Times New Roman" w:eastAsia="宋体"/>
                <w:color w:val="FF0000"/>
              </w:rPr>
              <w:t>上料转运</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经3</w:t>
            </w:r>
            <w:r>
              <w:rPr>
                <w:rFonts w:hint="eastAsia" w:ascii="Times New Roman" w:hAnsi="Times New Roman" w:eastAsia="宋体"/>
                <w:color w:val="FF0000"/>
              </w:rPr>
              <w:t>根</w:t>
            </w:r>
            <w:r>
              <w:rPr>
                <w:rFonts w:ascii="Times New Roman" w:hAnsi="Times New Roman" w:eastAsia="宋体"/>
                <w:color w:val="FF0000"/>
              </w:rPr>
              <w:t>25m烟囱排放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经3</w:t>
            </w:r>
            <w:r>
              <w:rPr>
                <w:rFonts w:hint="eastAsia" w:ascii="Times New Roman" w:hAnsi="Times New Roman" w:eastAsia="宋体"/>
                <w:color w:val="FF0000"/>
              </w:rPr>
              <w:t>根</w:t>
            </w:r>
            <w:r>
              <w:rPr>
                <w:rFonts w:ascii="Times New Roman" w:hAnsi="Times New Roman" w:eastAsia="宋体"/>
                <w:color w:val="FF0000"/>
              </w:rPr>
              <w:t>25m烟囱排放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1#2#高炉矿槽除尘系统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经2</w:t>
            </w:r>
            <w:r>
              <w:rPr>
                <w:rFonts w:hint="eastAsia" w:ascii="Times New Roman" w:hAnsi="Times New Roman" w:eastAsia="宋体"/>
                <w:color w:val="FF0000"/>
              </w:rPr>
              <w:t>根2</w:t>
            </w:r>
            <w:r>
              <w:rPr>
                <w:rFonts w:ascii="Times New Roman" w:hAnsi="Times New Roman" w:eastAsia="宋体"/>
                <w:color w:val="FF0000"/>
              </w:rPr>
              <w:t>3m烟囱排放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经2</w:t>
            </w:r>
            <w:r>
              <w:rPr>
                <w:rFonts w:hint="eastAsia" w:ascii="Times New Roman" w:hAnsi="Times New Roman" w:eastAsia="宋体"/>
                <w:color w:val="FF0000"/>
              </w:rPr>
              <w:t>根2</w:t>
            </w:r>
            <w:r>
              <w:rPr>
                <w:rFonts w:ascii="Times New Roman" w:hAnsi="Times New Roman" w:eastAsia="宋体"/>
                <w:color w:val="FF0000"/>
              </w:rPr>
              <w:t>3m烟囱排放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1#2#高炉出铁场除尘系统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经2</w:t>
            </w:r>
            <w:r>
              <w:rPr>
                <w:rFonts w:hint="eastAsia" w:ascii="Times New Roman" w:hAnsi="Times New Roman" w:eastAsia="宋体"/>
                <w:color w:val="FF0000"/>
              </w:rPr>
              <w:t>根2</w:t>
            </w:r>
            <w:r>
              <w:rPr>
                <w:rFonts w:ascii="Times New Roman" w:hAnsi="Times New Roman" w:eastAsia="宋体"/>
                <w:color w:val="FF0000"/>
              </w:rPr>
              <w:t>5m烟囱排放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经2</w:t>
            </w:r>
            <w:r>
              <w:rPr>
                <w:rFonts w:hint="eastAsia" w:ascii="Times New Roman" w:hAnsi="Times New Roman" w:eastAsia="宋体"/>
                <w:color w:val="FF0000"/>
              </w:rPr>
              <w:t>根</w:t>
            </w:r>
            <w:r>
              <w:rPr>
                <w:rFonts w:ascii="Times New Roman" w:hAnsi="Times New Roman" w:eastAsia="宋体"/>
                <w:color w:val="FF0000"/>
              </w:rPr>
              <w:t>25m烟囱排放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1#2#高炉热风炉</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分别经2根</w:t>
            </w:r>
            <w:r>
              <w:rPr>
                <w:rFonts w:ascii="Times New Roman" w:hAnsi="Times New Roman" w:eastAsia="宋体"/>
                <w:color w:val="FF0000"/>
              </w:rPr>
              <w:t>60m高烟囱</w:t>
            </w:r>
            <w:r>
              <w:rPr>
                <w:rFonts w:hint="eastAsia" w:ascii="Times New Roman" w:hAnsi="Times New Roman" w:eastAsia="宋体"/>
                <w:color w:val="FF0000"/>
              </w:rPr>
              <w:t>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分别经2根</w:t>
            </w:r>
            <w:r>
              <w:rPr>
                <w:rFonts w:ascii="Times New Roman" w:hAnsi="Times New Roman" w:eastAsia="宋体"/>
                <w:color w:val="FF0000"/>
              </w:rPr>
              <w:t>60m高烟囱</w:t>
            </w:r>
            <w:r>
              <w:rPr>
                <w:rFonts w:hint="eastAsia" w:ascii="Times New Roman" w:hAnsi="Times New Roman" w:eastAsia="宋体"/>
                <w:color w:val="FF0000"/>
              </w:rPr>
              <w:t>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煤粉制备除尘系统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w:t>
            </w:r>
            <w:r>
              <w:rPr>
                <w:rFonts w:hint="eastAsia" w:ascii="Times New Roman" w:hAnsi="Times New Roman" w:eastAsia="宋体"/>
                <w:color w:val="FF0000"/>
              </w:rPr>
              <w:t>2根</w:t>
            </w:r>
            <w:r>
              <w:rPr>
                <w:rFonts w:ascii="Times New Roman" w:hAnsi="Times New Roman" w:eastAsia="宋体"/>
                <w:color w:val="FF0000"/>
              </w:rPr>
              <w:t>40m烟囱排放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w:t>
            </w:r>
            <w:r>
              <w:rPr>
                <w:rFonts w:hint="eastAsia" w:ascii="Times New Roman" w:hAnsi="Times New Roman" w:eastAsia="宋体"/>
                <w:color w:val="FF0000"/>
              </w:rPr>
              <w:t>2根</w:t>
            </w:r>
            <w:r>
              <w:rPr>
                <w:rFonts w:ascii="Times New Roman" w:hAnsi="Times New Roman" w:eastAsia="宋体"/>
                <w:color w:val="FF0000"/>
              </w:rPr>
              <w:t>40m烟囱排放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41" w:hRule="atLeast"/>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1</w:t>
            </w:r>
            <w:r>
              <w:rPr>
                <w:rFonts w:ascii="Times New Roman" w:hAnsi="Times New Roman" w:eastAsia="宋体"/>
                <w:color w:val="FF0000"/>
              </w:rPr>
              <w:t>#2#</w:t>
            </w:r>
            <w:r>
              <w:rPr>
                <w:rFonts w:hint="eastAsia" w:ascii="Times New Roman" w:hAnsi="Times New Roman" w:eastAsia="宋体"/>
                <w:color w:val="FF0000"/>
              </w:rPr>
              <w:t>高炉炉顶皮带卸料</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w:t>
            </w:r>
            <w:r>
              <w:rPr>
                <w:rFonts w:hint="eastAsia" w:ascii="Times New Roman" w:hAnsi="Times New Roman" w:eastAsia="宋体"/>
                <w:color w:val="FF0000"/>
              </w:rPr>
              <w:t>2根</w:t>
            </w:r>
            <w:r>
              <w:rPr>
                <w:rFonts w:ascii="Times New Roman" w:hAnsi="Times New Roman" w:eastAsia="宋体"/>
                <w:color w:val="FF0000"/>
              </w:rPr>
              <w:t>20m烟囱排放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w:t>
            </w:r>
            <w:r>
              <w:rPr>
                <w:rFonts w:hint="eastAsia" w:ascii="Times New Roman" w:hAnsi="Times New Roman" w:eastAsia="宋体"/>
                <w:color w:val="FF0000"/>
              </w:rPr>
              <w:t>分别</w:t>
            </w:r>
            <w:r>
              <w:rPr>
                <w:rFonts w:ascii="Times New Roman" w:hAnsi="Times New Roman" w:eastAsia="宋体"/>
                <w:color w:val="FF0000"/>
              </w:rPr>
              <w:t>经</w:t>
            </w:r>
            <w:r>
              <w:rPr>
                <w:rFonts w:hint="eastAsia" w:ascii="Times New Roman" w:hAnsi="Times New Roman" w:eastAsia="宋体"/>
                <w:color w:val="FF0000"/>
              </w:rPr>
              <w:t>2根</w:t>
            </w:r>
            <w:r>
              <w:rPr>
                <w:rFonts w:ascii="Times New Roman" w:hAnsi="Times New Roman" w:eastAsia="宋体"/>
                <w:color w:val="FF0000"/>
              </w:rPr>
              <w:t>20m烟囱排放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铸管</w:t>
            </w:r>
            <w:r>
              <w:rPr>
                <w:rFonts w:ascii="Times New Roman" w:hAnsi="Times New Roman" w:eastAsia="宋体"/>
                <w:color w:val="FF0000"/>
              </w:rPr>
              <w:t>车间</w:t>
            </w: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混铁炉</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净化后经29m烟囱排放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净化后经29m烟囱排放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工频炉</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w:t>
            </w:r>
            <w:r>
              <w:rPr>
                <w:rFonts w:hint="eastAsia" w:ascii="Times New Roman" w:hAnsi="Times New Roman" w:eastAsia="宋体"/>
                <w:color w:val="FF0000"/>
              </w:rPr>
              <w:t>2根</w:t>
            </w:r>
            <w:r>
              <w:rPr>
                <w:rFonts w:ascii="Times New Roman" w:hAnsi="Times New Roman" w:eastAsia="宋体"/>
                <w:color w:val="FF0000"/>
              </w:rPr>
              <w:t>27m烟囱排放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w:t>
            </w:r>
            <w:r>
              <w:rPr>
                <w:rFonts w:hint="eastAsia" w:ascii="Times New Roman" w:hAnsi="Times New Roman" w:eastAsia="宋体"/>
                <w:color w:val="FF0000"/>
              </w:rPr>
              <w:t>2根</w:t>
            </w:r>
            <w:r>
              <w:rPr>
                <w:rFonts w:ascii="Times New Roman" w:hAnsi="Times New Roman" w:eastAsia="宋体"/>
                <w:color w:val="FF0000"/>
              </w:rPr>
              <w:t>27m烟囱排放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喂丝</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净化后经27m烟囱排放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净化后经27m烟囱排放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中小线三磨</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净化后经25m烟囱排放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净化后经25m烟囱排放</w:t>
            </w:r>
          </w:p>
        </w:tc>
        <w:tc>
          <w:tcPr>
            <w:tcW w:w="1398"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大线三磨</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净化后经25m烟囱排放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w:t>
            </w:r>
            <w:r>
              <w:rPr>
                <w:rFonts w:ascii="Times New Roman" w:hAnsi="Times New Roman" w:eastAsia="宋体"/>
                <w:color w:val="FF0000"/>
              </w:rPr>
              <w:t>净化后经25m烟囱排放</w:t>
            </w:r>
          </w:p>
        </w:tc>
        <w:tc>
          <w:tcPr>
            <w:tcW w:w="1398"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小线喷锌</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重力除尘</w:t>
            </w:r>
            <w:r>
              <w:rPr>
                <w:rFonts w:ascii="Times New Roman" w:hAnsi="Times New Roman" w:eastAsia="宋体"/>
                <w:color w:val="FF0000"/>
              </w:rPr>
              <w:t>+袋式除尘</w:t>
            </w:r>
            <w:r>
              <w:rPr>
                <w:rFonts w:hint="eastAsia" w:ascii="Times New Roman" w:hAnsi="Times New Roman" w:eastAsia="宋体"/>
                <w:color w:val="FF0000"/>
              </w:rPr>
              <w:t>净化后经</w:t>
            </w:r>
            <w:r>
              <w:rPr>
                <w:rFonts w:ascii="Times New Roman" w:hAnsi="Times New Roman" w:eastAsia="宋体"/>
                <w:color w:val="FF0000"/>
              </w:rPr>
              <w:t>21m烟囱排放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重力除尘</w:t>
            </w:r>
            <w:r>
              <w:rPr>
                <w:rFonts w:ascii="Times New Roman" w:hAnsi="Times New Roman" w:eastAsia="宋体"/>
                <w:color w:val="FF0000"/>
              </w:rPr>
              <w:t>+袋式除尘</w:t>
            </w:r>
            <w:r>
              <w:rPr>
                <w:rFonts w:hint="eastAsia" w:ascii="Times New Roman" w:hAnsi="Times New Roman" w:eastAsia="宋体"/>
                <w:color w:val="FF0000"/>
              </w:rPr>
              <w:t>净化后经</w:t>
            </w:r>
            <w:r>
              <w:rPr>
                <w:rFonts w:ascii="Times New Roman" w:hAnsi="Times New Roman" w:eastAsia="宋体"/>
                <w:color w:val="FF0000"/>
              </w:rPr>
              <w:t>21m烟囱排放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中线喷锌</w:t>
            </w:r>
          </w:p>
        </w:tc>
        <w:tc>
          <w:tcPr>
            <w:tcW w:w="1943"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重力除尘</w:t>
            </w:r>
            <w:r>
              <w:rPr>
                <w:rFonts w:ascii="Times New Roman" w:hAnsi="Times New Roman" w:eastAsia="宋体"/>
                <w:color w:val="FF0000"/>
              </w:rPr>
              <w:t>+袋式除尘</w:t>
            </w:r>
            <w:r>
              <w:rPr>
                <w:rFonts w:hint="eastAsia" w:ascii="Times New Roman" w:hAnsi="Times New Roman" w:eastAsia="宋体"/>
                <w:color w:val="FF0000"/>
              </w:rPr>
              <w:t>净化后经</w:t>
            </w:r>
            <w:r>
              <w:rPr>
                <w:rFonts w:ascii="Times New Roman" w:hAnsi="Times New Roman" w:eastAsia="宋体"/>
                <w:color w:val="FF0000"/>
              </w:rPr>
              <w:t>27m烟囱排放</w:t>
            </w:r>
          </w:p>
        </w:tc>
        <w:tc>
          <w:tcPr>
            <w:tcW w:w="202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重力除尘</w:t>
            </w:r>
            <w:r>
              <w:rPr>
                <w:rFonts w:ascii="Times New Roman" w:hAnsi="Times New Roman" w:eastAsia="宋体"/>
                <w:color w:val="FF0000"/>
              </w:rPr>
              <w:t>+袋式除尘</w:t>
            </w:r>
            <w:r>
              <w:rPr>
                <w:rFonts w:hint="eastAsia" w:ascii="Times New Roman" w:hAnsi="Times New Roman" w:eastAsia="宋体"/>
                <w:color w:val="FF0000"/>
              </w:rPr>
              <w:t>净化后经</w:t>
            </w:r>
            <w:r>
              <w:rPr>
                <w:rFonts w:ascii="Times New Roman" w:hAnsi="Times New Roman" w:eastAsia="宋体"/>
                <w:color w:val="FF0000"/>
              </w:rPr>
              <w:t>27m烟囱排放</w:t>
            </w:r>
          </w:p>
        </w:tc>
        <w:tc>
          <w:tcPr>
            <w:tcW w:w="1398"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Merge w:val="continue"/>
            <w:vAlign w:val="center"/>
          </w:tcPr>
          <w:p>
            <w:pPr>
              <w:pStyle w:val="2"/>
              <w:spacing w:after="0"/>
              <w:jc w:val="center"/>
              <w:rPr>
                <w:rFonts w:ascii="Times New Roman" w:hAnsi="Times New Roman" w:eastAsia="宋体"/>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大线喷锌</w:t>
            </w:r>
          </w:p>
        </w:tc>
        <w:tc>
          <w:tcPr>
            <w:tcW w:w="1943" w:type="dxa"/>
            <w:vMerge w:val="continue"/>
            <w:vAlign w:val="center"/>
          </w:tcPr>
          <w:p>
            <w:pPr>
              <w:pStyle w:val="2"/>
              <w:spacing w:after="0"/>
              <w:jc w:val="center"/>
              <w:rPr>
                <w:rFonts w:ascii="Times New Roman" w:hAnsi="Times New Roman" w:eastAsia="宋体"/>
                <w:color w:val="FF0000"/>
              </w:rPr>
            </w:pPr>
          </w:p>
        </w:tc>
        <w:tc>
          <w:tcPr>
            <w:tcW w:w="2020" w:type="dxa"/>
            <w:vMerge w:val="continue"/>
            <w:vAlign w:val="center"/>
          </w:tcPr>
          <w:p>
            <w:pPr>
              <w:pStyle w:val="2"/>
              <w:spacing w:after="0"/>
              <w:jc w:val="center"/>
              <w:rPr>
                <w:rFonts w:ascii="Times New Roman" w:hAnsi="Times New Roman" w:eastAsia="宋体"/>
                <w:color w:val="FF0000"/>
              </w:rPr>
            </w:pPr>
          </w:p>
        </w:tc>
        <w:tc>
          <w:tcPr>
            <w:tcW w:w="1398" w:type="dxa"/>
            <w:vMerge w:val="continue"/>
            <w:vAlign w:val="center"/>
          </w:tcPr>
          <w:p>
            <w:pPr>
              <w:pStyle w:val="2"/>
              <w:spacing w:after="0"/>
              <w:jc w:val="center"/>
              <w:rPr>
                <w:rFonts w:ascii="Times New Roman" w:hAnsi="Times New Roman" w:eastAsia="宋体"/>
                <w:color w:val="FF0000"/>
              </w:rPr>
            </w:pPr>
          </w:p>
        </w:tc>
        <w:tc>
          <w:tcPr>
            <w:tcW w:w="1195" w:type="dxa"/>
            <w:vMerge w:val="continue"/>
            <w:vAlign w:val="center"/>
          </w:tcPr>
          <w:p>
            <w:pPr>
              <w:pStyle w:val="2"/>
              <w:spacing w:after="0"/>
              <w:jc w:val="center"/>
              <w:rPr>
                <w:rFonts w:ascii="Times New Roman" w:hAnsi="Times New Roman" w:eastAsia="宋体"/>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热膜喷锌</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重力除尘</w:t>
            </w:r>
            <w:r>
              <w:rPr>
                <w:rFonts w:ascii="Times New Roman" w:hAnsi="Times New Roman" w:eastAsia="宋体"/>
                <w:color w:val="FF0000"/>
              </w:rPr>
              <w:t>+袋式除尘</w:t>
            </w:r>
            <w:r>
              <w:rPr>
                <w:rFonts w:hint="eastAsia" w:ascii="Times New Roman" w:hAnsi="Times New Roman" w:eastAsia="宋体"/>
                <w:color w:val="FF0000"/>
              </w:rPr>
              <w:t>净化后经</w:t>
            </w:r>
            <w:r>
              <w:rPr>
                <w:rFonts w:ascii="Times New Roman" w:hAnsi="Times New Roman" w:eastAsia="宋体"/>
                <w:color w:val="FF0000"/>
              </w:rPr>
              <w:t>18m烟囱排放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重力除尘</w:t>
            </w:r>
            <w:r>
              <w:rPr>
                <w:rFonts w:ascii="Times New Roman" w:hAnsi="Times New Roman" w:eastAsia="宋体"/>
                <w:color w:val="FF0000"/>
              </w:rPr>
              <w:t>+袋式除尘</w:t>
            </w:r>
            <w:r>
              <w:rPr>
                <w:rFonts w:hint="eastAsia" w:ascii="Times New Roman" w:hAnsi="Times New Roman" w:eastAsia="宋体"/>
                <w:color w:val="FF0000"/>
              </w:rPr>
              <w:t>净化后经</w:t>
            </w:r>
            <w:r>
              <w:rPr>
                <w:rFonts w:ascii="Times New Roman" w:hAnsi="Times New Roman" w:eastAsia="宋体"/>
                <w:color w:val="FF0000"/>
              </w:rPr>
              <w:t>18m烟囱排放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热膜离心机</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26m烟囱排放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26m烟囱排放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制芯烘砂</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湿法</w:t>
            </w:r>
            <w:r>
              <w:rPr>
                <w:rFonts w:ascii="Times New Roman" w:hAnsi="Times New Roman" w:eastAsia="宋体"/>
                <w:color w:val="FF0000"/>
              </w:rPr>
              <w:t>+旋风除尘除尘器净化</w:t>
            </w:r>
            <w:r>
              <w:rPr>
                <w:rFonts w:hint="eastAsia" w:ascii="Times New Roman" w:hAnsi="Times New Roman" w:eastAsia="宋体"/>
                <w:color w:val="FF0000"/>
              </w:rPr>
              <w:t>经</w:t>
            </w:r>
            <w:r>
              <w:rPr>
                <w:rFonts w:ascii="Times New Roman" w:hAnsi="Times New Roman" w:eastAsia="宋体"/>
                <w:color w:val="FF0000"/>
              </w:rPr>
              <w:t>15m烟囱排放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湿法</w:t>
            </w:r>
            <w:r>
              <w:rPr>
                <w:rFonts w:ascii="Times New Roman" w:hAnsi="Times New Roman" w:eastAsia="宋体"/>
                <w:color w:val="FF0000"/>
              </w:rPr>
              <w:t>+旋风除尘除尘器净化</w:t>
            </w:r>
            <w:r>
              <w:rPr>
                <w:rFonts w:hint="eastAsia" w:ascii="Times New Roman" w:hAnsi="Times New Roman" w:eastAsia="宋体"/>
                <w:color w:val="FF0000"/>
              </w:rPr>
              <w:t>经</w:t>
            </w:r>
            <w:r>
              <w:rPr>
                <w:rFonts w:ascii="Times New Roman" w:hAnsi="Times New Roman" w:eastAsia="宋体"/>
                <w:color w:val="FF0000"/>
              </w:rPr>
              <w:t>15m烟囱排放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热膜三磨</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20m烟囱排放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20m烟囱排放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3台热膜退火炉</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20m烟囱排放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20m烟囱排放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2台</w:t>
            </w:r>
            <w:r>
              <w:rPr>
                <w:rFonts w:ascii="Times New Roman" w:hAnsi="Times New Roman" w:eastAsia="宋体"/>
                <w:color w:val="FF0000"/>
              </w:rPr>
              <w:t>水冷退火炉</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20m烟囱排放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20m烟囱排放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三乙胺尾气净化</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稀磷酸溶液吸收后</w:t>
            </w:r>
            <w:r>
              <w:rPr>
                <w:rFonts w:ascii="Times New Roman" w:hAnsi="Times New Roman" w:eastAsia="宋体"/>
                <w:color w:val="FF0000"/>
              </w:rPr>
              <w:t>经15m烟囱排放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稀磷酸溶液吸收后</w:t>
            </w:r>
            <w:r>
              <w:rPr>
                <w:rFonts w:ascii="Times New Roman" w:hAnsi="Times New Roman" w:eastAsia="宋体"/>
                <w:color w:val="FF0000"/>
              </w:rPr>
              <w:t>经15m烟囱排放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转炉炼钢车间</w:t>
            </w: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1#2#铁水预处理、连铸中间罐倾翻</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35m烟囱排放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35m烟囱排放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1#2#转炉二次烟气除尘系统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35m烟囱排放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35m烟囱排放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9" w:hRule="atLeast"/>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1#转炉烟气净化系统放散</w:t>
            </w:r>
          </w:p>
        </w:tc>
        <w:tc>
          <w:tcPr>
            <w:tcW w:w="1943"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LT法干式电除尘净化</w:t>
            </w:r>
            <w:r>
              <w:rPr>
                <w:rFonts w:hint="eastAsia" w:ascii="Times New Roman" w:hAnsi="Times New Roman" w:eastAsia="宋体"/>
                <w:color w:val="FF0000"/>
              </w:rPr>
              <w:t>后经</w:t>
            </w:r>
            <w:r>
              <w:rPr>
                <w:rFonts w:ascii="Times New Roman" w:hAnsi="Times New Roman" w:eastAsia="宋体"/>
                <w:color w:val="FF0000"/>
              </w:rPr>
              <w:t>80m烟囱排放</w:t>
            </w:r>
          </w:p>
        </w:tc>
        <w:tc>
          <w:tcPr>
            <w:tcW w:w="2020"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LT法干式电除尘净化</w:t>
            </w:r>
            <w:r>
              <w:rPr>
                <w:rFonts w:hint="eastAsia" w:ascii="Times New Roman" w:hAnsi="Times New Roman" w:eastAsia="宋体"/>
                <w:color w:val="FF0000"/>
              </w:rPr>
              <w:t>后经</w:t>
            </w:r>
            <w:r>
              <w:rPr>
                <w:rFonts w:ascii="Times New Roman" w:hAnsi="Times New Roman" w:eastAsia="宋体"/>
                <w:color w:val="FF0000"/>
              </w:rPr>
              <w:t>80m烟囱排放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2#转炉烟气净化系统放散</w:t>
            </w:r>
          </w:p>
        </w:tc>
        <w:tc>
          <w:tcPr>
            <w:tcW w:w="1943"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LT法干式电除尘净化</w:t>
            </w:r>
            <w:r>
              <w:rPr>
                <w:rFonts w:hint="eastAsia" w:ascii="Times New Roman" w:hAnsi="Times New Roman" w:eastAsia="宋体"/>
                <w:color w:val="FF0000"/>
              </w:rPr>
              <w:t>后经</w:t>
            </w:r>
            <w:r>
              <w:rPr>
                <w:rFonts w:ascii="Times New Roman" w:hAnsi="Times New Roman" w:eastAsia="宋体"/>
                <w:color w:val="FF0000"/>
              </w:rPr>
              <w:t>80m烟囱排放</w:t>
            </w:r>
          </w:p>
        </w:tc>
        <w:tc>
          <w:tcPr>
            <w:tcW w:w="2020"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rPr>
              <w:t>LT法干式电除尘净化</w:t>
            </w:r>
            <w:r>
              <w:rPr>
                <w:rFonts w:hint="eastAsia" w:ascii="Times New Roman" w:hAnsi="Times New Roman" w:eastAsia="宋体"/>
                <w:color w:val="FF0000"/>
              </w:rPr>
              <w:t>后经</w:t>
            </w:r>
            <w:r>
              <w:rPr>
                <w:rFonts w:ascii="Times New Roman" w:hAnsi="Times New Roman" w:eastAsia="宋体"/>
                <w:color w:val="FF0000"/>
              </w:rPr>
              <w:t>80m烟囱排放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精炼装置及地下料仓</w:t>
            </w:r>
          </w:p>
        </w:tc>
        <w:tc>
          <w:tcPr>
            <w:tcW w:w="1943"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35m烟囱排放</w:t>
            </w:r>
          </w:p>
        </w:tc>
        <w:tc>
          <w:tcPr>
            <w:tcW w:w="202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35m烟囱排放</w:t>
            </w:r>
          </w:p>
        </w:tc>
        <w:tc>
          <w:tcPr>
            <w:tcW w:w="1398"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转炉屋顶除尘</w:t>
            </w:r>
          </w:p>
        </w:tc>
        <w:tc>
          <w:tcPr>
            <w:tcW w:w="1943" w:type="dxa"/>
            <w:vMerge w:val="continue"/>
            <w:vAlign w:val="center"/>
          </w:tcPr>
          <w:p>
            <w:pPr>
              <w:pStyle w:val="2"/>
              <w:spacing w:after="0"/>
              <w:jc w:val="center"/>
              <w:rPr>
                <w:rFonts w:ascii="Times New Roman" w:hAnsi="Times New Roman" w:eastAsia="宋体"/>
                <w:color w:val="FF0000"/>
              </w:rPr>
            </w:pPr>
          </w:p>
        </w:tc>
        <w:tc>
          <w:tcPr>
            <w:tcW w:w="2020" w:type="dxa"/>
            <w:vMerge w:val="continue"/>
            <w:vAlign w:val="center"/>
          </w:tcPr>
          <w:p>
            <w:pPr>
              <w:pStyle w:val="2"/>
              <w:spacing w:after="0"/>
              <w:jc w:val="center"/>
              <w:rPr>
                <w:rFonts w:ascii="Times New Roman" w:hAnsi="Times New Roman" w:eastAsia="宋体"/>
                <w:color w:val="FF0000"/>
              </w:rPr>
            </w:pPr>
          </w:p>
        </w:tc>
        <w:tc>
          <w:tcPr>
            <w:tcW w:w="1398" w:type="dxa"/>
            <w:vMerge w:val="continue"/>
            <w:vAlign w:val="center"/>
          </w:tcPr>
          <w:p>
            <w:pPr>
              <w:pStyle w:val="2"/>
              <w:spacing w:after="0"/>
              <w:jc w:val="center"/>
              <w:rPr>
                <w:rFonts w:ascii="Times New Roman" w:hAnsi="Times New Roman" w:eastAsia="宋体"/>
                <w:color w:val="FF0000"/>
              </w:rPr>
            </w:pP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轧钢</w:t>
            </w:r>
            <w:r>
              <w:rPr>
                <w:rFonts w:ascii="Times New Roman" w:hAnsi="Times New Roman" w:eastAsia="宋体"/>
                <w:color w:val="FF0000"/>
              </w:rPr>
              <w:t>车间</w:t>
            </w: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小棒材加热炉（空废）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经25</w:t>
            </w:r>
            <w:r>
              <w:rPr>
                <w:rFonts w:ascii="Times New Roman" w:hAnsi="Times New Roman" w:eastAsia="宋体"/>
                <w:color w:val="FF0000"/>
              </w:rPr>
              <w:t>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经25</w:t>
            </w:r>
            <w:r>
              <w:rPr>
                <w:rFonts w:ascii="Times New Roman" w:hAnsi="Times New Roman" w:eastAsia="宋体"/>
                <w:color w:val="FF0000"/>
              </w:rPr>
              <w:t>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小棒加热炉（煤废）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经25</w:t>
            </w:r>
            <w:r>
              <w:rPr>
                <w:rFonts w:ascii="Times New Roman" w:hAnsi="Times New Roman" w:eastAsia="宋体"/>
                <w:color w:val="FF0000"/>
              </w:rPr>
              <w:t>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经25</w:t>
            </w:r>
            <w:r>
              <w:rPr>
                <w:rFonts w:ascii="Times New Roman" w:hAnsi="Times New Roman" w:eastAsia="宋体"/>
                <w:color w:val="FF0000"/>
              </w:rPr>
              <w:t>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中棒材加热炉（空废）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中棒加热炉（煤废）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大棒材加热炉（空废）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大棒加热炉（煤废）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普通高线加热炉（空废）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普通高线加热炉（煤废）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精品高线加热炉（空废）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精品高线加热炉（煤废）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30m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矿渣微粉生产线</w:t>
            </w:r>
          </w:p>
        </w:tc>
        <w:tc>
          <w:tcPr>
            <w:tcW w:w="1094" w:type="dxa"/>
            <w:vAlign w:val="center"/>
          </w:tcPr>
          <w:p>
            <w:pPr>
              <w:pStyle w:val="2"/>
              <w:spacing w:after="0"/>
              <w:jc w:val="center"/>
              <w:rPr>
                <w:rFonts w:ascii="Times New Roman" w:hAnsi="Times New Roman" w:eastAsia="宋体"/>
                <w:color w:val="FF0000"/>
              </w:rPr>
            </w:pPr>
            <w:r>
              <w:rPr>
                <w:rFonts w:ascii="Times New Roman" w:hAnsi="Times New Roman" w:eastAsia="宋体"/>
                <w:color w:val="FF0000"/>
                <w:szCs w:val="21"/>
              </w:rPr>
              <w:t>矿渣微粉</w:t>
            </w:r>
            <w:r>
              <w:rPr>
                <w:rFonts w:hint="eastAsia" w:ascii="Times New Roman" w:hAnsi="Times New Roman" w:eastAsia="宋体"/>
                <w:color w:val="FF0000"/>
                <w:szCs w:val="21"/>
              </w:rPr>
              <w:t>除尘</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50m烟囱排放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袋式除尘器净化后经</w:t>
            </w:r>
            <w:r>
              <w:rPr>
                <w:rFonts w:ascii="Times New Roman" w:hAnsi="Times New Roman" w:eastAsia="宋体"/>
                <w:color w:val="FF0000"/>
              </w:rPr>
              <w:t>50m烟囱排放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发电站</w:t>
            </w: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煤气发电锅炉</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60m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60m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35t/h锅炉</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25m</w:t>
            </w:r>
            <w:r>
              <w:rPr>
                <w:rFonts w:hint="eastAsia" w:ascii="Times New Roman" w:hAnsi="Times New Roman" w:eastAsia="宋体"/>
                <w:color w:val="FF0000"/>
              </w:rPr>
              <w:t>高</w:t>
            </w:r>
            <w:r>
              <w:rPr>
                <w:rFonts w:ascii="Times New Roman" w:hAnsi="Times New Roman" w:eastAsia="宋体"/>
                <w:color w:val="FF0000"/>
              </w:rPr>
              <w:t>烟囱排放</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w:t>
            </w:r>
            <w:r>
              <w:rPr>
                <w:rFonts w:ascii="Times New Roman" w:hAnsi="Times New Roman" w:eastAsia="宋体"/>
                <w:color w:val="FF0000"/>
              </w:rPr>
              <w:t>25m</w:t>
            </w:r>
            <w:r>
              <w:rPr>
                <w:rFonts w:hint="eastAsia" w:ascii="Times New Roman" w:hAnsi="Times New Roman" w:eastAsia="宋体"/>
                <w:color w:val="FF0000"/>
              </w:rPr>
              <w:t>高</w:t>
            </w:r>
            <w:r>
              <w:rPr>
                <w:rFonts w:ascii="Times New Roman" w:hAnsi="Times New Roman" w:eastAsia="宋体"/>
                <w:color w:val="FF0000"/>
              </w:rPr>
              <w:t>烟囱排放</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一致（已停用）</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废水</w:t>
            </w:r>
          </w:p>
        </w:tc>
        <w:tc>
          <w:tcPr>
            <w:tcW w:w="1944" w:type="dxa"/>
            <w:gridSpan w:val="2"/>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生产</w:t>
            </w:r>
            <w:r>
              <w:rPr>
                <w:rFonts w:ascii="Times New Roman" w:hAnsi="Times New Roman" w:eastAsia="宋体"/>
                <w:color w:val="FF0000"/>
              </w:rPr>
              <w:t>废水</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经各生产工序的水处理设施处理后大部分循环使用，少量废水排入全厂综合污水处理站处理后</w:t>
            </w:r>
            <w:r>
              <w:rPr>
                <w:rFonts w:ascii="Times New Roman" w:hAnsi="Times New Roman" w:eastAsia="宋体"/>
                <w:color w:val="FF0000"/>
              </w:rPr>
              <w:t>全部回用</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经各生产工序的水处理设施处理后大部分循环使用，少量废水排入全厂综合污水处理站处理后</w:t>
            </w:r>
            <w:r>
              <w:rPr>
                <w:rFonts w:ascii="Times New Roman" w:hAnsi="Times New Roman" w:eastAsia="宋体"/>
                <w:color w:val="FF0000"/>
              </w:rPr>
              <w:t>全部回用</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1944" w:type="dxa"/>
            <w:gridSpan w:val="2"/>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生活污水</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经化粪池</w:t>
            </w:r>
            <w:r>
              <w:rPr>
                <w:rFonts w:ascii="Times New Roman" w:hAnsi="Times New Roman" w:eastAsia="宋体"/>
                <w:color w:val="FF0000"/>
              </w:rPr>
              <w:t>进入</w:t>
            </w:r>
            <w:r>
              <w:rPr>
                <w:rFonts w:hint="eastAsia" w:ascii="Times New Roman" w:hAnsi="Times New Roman" w:eastAsia="宋体"/>
                <w:color w:val="FF0000"/>
              </w:rPr>
              <w:t>全厂综合污水处理站处理后</w:t>
            </w:r>
            <w:r>
              <w:rPr>
                <w:rFonts w:ascii="Times New Roman" w:hAnsi="Times New Roman" w:eastAsia="宋体"/>
                <w:color w:val="FF0000"/>
              </w:rPr>
              <w:t>全部回用</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经化粪池</w:t>
            </w:r>
            <w:r>
              <w:rPr>
                <w:rFonts w:ascii="Times New Roman" w:hAnsi="Times New Roman" w:eastAsia="宋体"/>
                <w:color w:val="FF0000"/>
              </w:rPr>
              <w:t>进入</w:t>
            </w:r>
            <w:r>
              <w:rPr>
                <w:rFonts w:hint="eastAsia" w:ascii="Times New Roman" w:hAnsi="Times New Roman" w:eastAsia="宋体"/>
                <w:color w:val="FF0000"/>
              </w:rPr>
              <w:t>全厂综合污水处理站处理后</w:t>
            </w:r>
            <w:r>
              <w:rPr>
                <w:rFonts w:ascii="Times New Roman" w:hAnsi="Times New Roman" w:eastAsia="宋体"/>
                <w:color w:val="FF0000"/>
              </w:rPr>
              <w:t>全部回用</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5" w:type="dxa"/>
            <w:gridSpan w:val="3"/>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噪声</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消声</w:t>
            </w:r>
            <w:r>
              <w:rPr>
                <w:rFonts w:ascii="Times New Roman" w:hAnsi="Times New Roman" w:eastAsia="宋体"/>
                <w:color w:val="FF0000"/>
              </w:rPr>
              <w:t>、基础减振、封闭车间</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消声</w:t>
            </w:r>
            <w:r>
              <w:rPr>
                <w:rFonts w:ascii="Times New Roman" w:hAnsi="Times New Roman" w:eastAsia="宋体"/>
                <w:color w:val="FF0000"/>
              </w:rPr>
              <w:t>、基础减振、封闭车间</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固废</w:t>
            </w: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一般工业固体废物</w:t>
            </w:r>
          </w:p>
          <w:p>
            <w:pPr>
              <w:pStyle w:val="2"/>
              <w:spacing w:after="0"/>
              <w:jc w:val="center"/>
              <w:rPr>
                <w:rFonts w:ascii="Times New Roman" w:hAnsi="Times New Roman" w:eastAsia="宋体"/>
                <w:color w:val="FF0000"/>
              </w:rPr>
            </w:pPr>
            <w:r>
              <w:rPr>
                <w:rFonts w:ascii="Times New Roman" w:hAnsi="Times New Roman" w:eastAsia="宋体"/>
                <w:color w:val="FF0000"/>
              </w:rPr>
              <w:t>(I类)</w:t>
            </w:r>
          </w:p>
        </w:tc>
        <w:tc>
          <w:tcPr>
            <w:tcW w:w="1094" w:type="dxa"/>
            <w:vAlign w:val="center"/>
          </w:tcPr>
          <w:p>
            <w:pPr>
              <w:pStyle w:val="41"/>
              <w:spacing w:line="240" w:lineRule="auto"/>
              <w:rPr>
                <w:color w:val="FF0000"/>
              </w:rPr>
            </w:pPr>
            <w:r>
              <w:rPr>
                <w:color w:val="FF0000"/>
              </w:rPr>
              <w:t>高炉渣</w:t>
            </w:r>
            <w:r>
              <w:rPr>
                <w:rFonts w:hint="eastAsia"/>
                <w:color w:val="FF0000"/>
              </w:rPr>
              <w:t>(水渣)</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送矿渣微粉生产线加工</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送矿渣微粉生产线加工</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高炉瓦斯灰、</w:t>
            </w:r>
            <w:r>
              <w:rPr>
                <w:color w:val="FF0000"/>
              </w:rPr>
              <w:t>除尘灰</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送烧结作配料</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送烧结作配料</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color w:val="FF0000"/>
              </w:rPr>
              <w:t>氧化铁皮</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送烧结作配料</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送烧结作配料</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切头尾等轧废</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返炼钢冶炼</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返炼钢冶炼</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球化渣</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返工频炉重熔</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返工频炉重熔</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color w:val="FF0000"/>
              </w:rPr>
              <w:t>废轧辊</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外售铜陵市大成轧辊有限责任公司</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外售铜陵市大成轧辊有限责任公司</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水泥砂浆</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外售做建筑用砂</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外售做建筑用砂</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溜槽铁</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返回工频炉重熔</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返回工频炉重熔</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不含树脂废砂芯</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做建筑材料外售</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做建筑材料外售</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污水处理站污泥</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送烧结作配料</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送烧结作配料</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焦粉和煤尘</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煤尘送备煤系统回用，焦粉收集后送烧结作配料</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煤尘送备煤系统回用，焦粉收集后送烧结作配料</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废耐火材料等工业垃圾</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回收可利用部分，其余送耐火材料厂作为骨料或用于填坑铺路</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回收可利用部分，其余送耐火材料厂作为骨料或用于填坑铺路</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一般工业固体废物</w:t>
            </w:r>
          </w:p>
          <w:p>
            <w:pPr>
              <w:pStyle w:val="2"/>
              <w:spacing w:after="0"/>
              <w:jc w:val="center"/>
              <w:rPr>
                <w:rFonts w:ascii="Times New Roman" w:hAnsi="Times New Roman" w:eastAsia="宋体"/>
                <w:color w:val="FF0000"/>
              </w:rPr>
            </w:pPr>
            <w:r>
              <w:rPr>
                <w:rFonts w:ascii="Times New Roman" w:hAnsi="Times New Roman" w:eastAsia="宋体"/>
                <w:color w:val="FF0000"/>
              </w:rPr>
              <w:t>(</w:t>
            </w:r>
            <w:r>
              <w:rPr>
                <w:rFonts w:hint="eastAsia" w:ascii="Times New Roman" w:hAnsi="Times New Roman" w:eastAsia="宋体" w:cs="宋体"/>
                <w:color w:val="FF0000"/>
              </w:rPr>
              <w:t>Ⅱ</w:t>
            </w:r>
            <w:r>
              <w:rPr>
                <w:rFonts w:ascii="Times New Roman" w:hAnsi="Times New Roman" w:eastAsia="宋体"/>
                <w:color w:val="FF0000"/>
              </w:rPr>
              <w:t>类)</w:t>
            </w:r>
          </w:p>
        </w:tc>
        <w:tc>
          <w:tcPr>
            <w:tcW w:w="1094" w:type="dxa"/>
            <w:vAlign w:val="center"/>
          </w:tcPr>
          <w:p>
            <w:pPr>
              <w:pStyle w:val="41"/>
              <w:spacing w:line="240" w:lineRule="auto"/>
              <w:rPr>
                <w:color w:val="FF0000"/>
              </w:rPr>
            </w:pPr>
            <w:r>
              <w:rPr>
                <w:rFonts w:hint="eastAsia"/>
                <w:color w:val="FF0000"/>
              </w:rPr>
              <w:t>钢</w:t>
            </w:r>
            <w:r>
              <w:rPr>
                <w:color w:val="FF0000"/>
              </w:rPr>
              <w:t>渣</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经破碎，筛分、磁选处理后废钢返生产系统，尾渣作为建筑材料外销润江新型环保建材有限公司</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经破碎，筛分、磁选处理后废钢返生产系统，尾渣作为建筑材料外销润江新型环保建材有限公司</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烧结脱硫渣</w:t>
            </w:r>
          </w:p>
        </w:tc>
        <w:tc>
          <w:tcPr>
            <w:tcW w:w="1943" w:type="dxa"/>
            <w:vAlign w:val="center"/>
          </w:tcPr>
          <w:p>
            <w:pPr>
              <w:pStyle w:val="2"/>
              <w:spacing w:after="0"/>
              <w:jc w:val="center"/>
              <w:rPr>
                <w:rFonts w:ascii="Times New Roman" w:hAnsi="Times New Roman" w:eastAsia="宋体"/>
                <w:color w:val="FF0000"/>
              </w:rPr>
            </w:pPr>
            <w:r>
              <w:rPr>
                <w:rFonts w:ascii="Times New Roman" w:hAnsi="Times New Roman" w:eastAsia="宋体" w:cs="Times New Roman"/>
                <w:color w:val="FF0000"/>
              </w:rPr>
              <w:t>作为水泥原料外销芜湖市晟世成商贸有限公司</w:t>
            </w:r>
          </w:p>
        </w:tc>
        <w:tc>
          <w:tcPr>
            <w:tcW w:w="2020" w:type="dxa"/>
            <w:vAlign w:val="center"/>
          </w:tcPr>
          <w:p>
            <w:pPr>
              <w:pStyle w:val="2"/>
              <w:spacing w:after="0"/>
              <w:jc w:val="center"/>
              <w:rPr>
                <w:rFonts w:ascii="Times New Roman" w:hAnsi="Times New Roman" w:eastAsia="宋体"/>
                <w:color w:val="FF0000"/>
              </w:rPr>
            </w:pPr>
            <w:r>
              <w:rPr>
                <w:rFonts w:ascii="Times New Roman" w:hAnsi="Times New Roman" w:eastAsia="宋体" w:cs="Times New Roman"/>
                <w:color w:val="FF0000"/>
              </w:rPr>
              <w:t>作为水泥原料外销芜湖市晟世成商贸有限公司</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restart"/>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危险废物</w:t>
            </w:r>
          </w:p>
        </w:tc>
        <w:tc>
          <w:tcPr>
            <w:tcW w:w="1094" w:type="dxa"/>
            <w:vAlign w:val="center"/>
          </w:tcPr>
          <w:p>
            <w:pPr>
              <w:pStyle w:val="41"/>
              <w:spacing w:line="240" w:lineRule="auto"/>
              <w:rPr>
                <w:color w:val="FF0000"/>
              </w:rPr>
            </w:pPr>
            <w:r>
              <w:rPr>
                <w:rFonts w:hint="eastAsia"/>
                <w:color w:val="FF0000"/>
              </w:rPr>
              <w:t>焦油渣</w:t>
            </w:r>
            <w:r>
              <w:rPr>
                <w:color w:val="FF0000"/>
              </w:rPr>
              <w:t>(HW11)</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返回炼焦备煤系统，掺入炼焦煤炼焦</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返回炼焦备煤系统，掺入炼焦煤炼焦</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再生器残渣</w:t>
            </w:r>
            <w:r>
              <w:rPr>
                <w:color w:val="FF0000"/>
              </w:rPr>
              <w:t>(HW11)</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送油库焦油槽</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送油库焦油槽</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沥青渣</w:t>
            </w:r>
            <w:r>
              <w:rPr>
                <w:color w:val="FF0000"/>
              </w:rPr>
              <w:t>(HW11)</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返回炼焦备煤系统，掺入炼焦煤炼焦</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返回炼焦备煤系统，掺入炼焦煤炼焦</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生化污泥</w:t>
            </w:r>
            <w:r>
              <w:rPr>
                <w:color w:val="FF0000"/>
              </w:rPr>
              <w:t>(HW38)</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脱水后掺入炼焦煤炼焦，掺入炼焦煤炼焦</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脱水后掺入炼焦煤炼焦，掺入炼焦煤炼焦</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废油</w:t>
            </w:r>
            <w:r>
              <w:rPr>
                <w:color w:val="FF0000"/>
              </w:rPr>
              <w:t>(HW08)</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外送芜湖正昊燃油厂处置</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交马鞍山市关东润滑油有限责任公司处置</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处置</w:t>
            </w:r>
            <w:r>
              <w:rPr>
                <w:rFonts w:ascii="Times New Roman" w:hAnsi="Times New Roman" w:eastAsia="宋体"/>
                <w:color w:val="FF0000"/>
              </w:rPr>
              <w:t>单位发生变化</w:t>
            </w:r>
          </w:p>
        </w:tc>
        <w:tc>
          <w:tcPr>
            <w:tcW w:w="1195" w:type="dxa"/>
            <w:vAlign w:val="center"/>
          </w:tcPr>
          <w:p>
            <w:pPr>
              <w:pStyle w:val="2"/>
              <w:spacing w:after="0"/>
              <w:jc w:val="center"/>
              <w:rPr>
                <w:rFonts w:ascii="Times New Roman" w:hAnsi="Times New Roman" w:eastAsia="宋体"/>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color w:val="FF0000"/>
              </w:rPr>
              <w:t>锌粉/泥(HW23)</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外售河北振兴锌业有限公司</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送芜湖市易晖金属有限公司</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处置</w:t>
            </w:r>
            <w:r>
              <w:rPr>
                <w:rFonts w:ascii="Times New Roman" w:hAnsi="Times New Roman" w:eastAsia="宋体"/>
                <w:color w:val="FF0000"/>
              </w:rPr>
              <w:t>单位发生变化</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highlight w:val="yellow"/>
              </w:rPr>
            </w:pPr>
            <w:r>
              <w:rPr>
                <w:color w:val="FF0000"/>
              </w:rPr>
              <w:t>废催化剂(HW50)</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由厂家回收</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由厂家回收</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废沥青漆</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返回炼焦备煤系统，掺入炼焦煤炼焦</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后评价</w:t>
            </w:r>
            <w:r>
              <w:rPr>
                <w:rFonts w:ascii="Times New Roman" w:hAnsi="Times New Roman" w:eastAsia="宋体"/>
                <w:color w:val="FF0000"/>
              </w:rPr>
              <w:t>阶段不产生</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废活性炭</w:t>
            </w:r>
            <w:r>
              <w:rPr>
                <w:color w:val="FF0000"/>
              </w:rPr>
              <w:t>(HW49)</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返回炼焦备煤系统，掺入炼焦煤炼焦</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返回炼焦备煤系统，掺入炼焦煤炼焦</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850" w:type="dxa"/>
            <w:vMerge w:val="continue"/>
            <w:vAlign w:val="center"/>
          </w:tcPr>
          <w:p>
            <w:pPr>
              <w:pStyle w:val="2"/>
              <w:spacing w:after="0"/>
              <w:jc w:val="center"/>
              <w:rPr>
                <w:rFonts w:ascii="Times New Roman" w:hAnsi="Times New Roman" w:eastAsia="宋体"/>
                <w:color w:val="FF0000"/>
              </w:rPr>
            </w:pPr>
          </w:p>
        </w:tc>
        <w:tc>
          <w:tcPr>
            <w:tcW w:w="1094" w:type="dxa"/>
            <w:vAlign w:val="center"/>
          </w:tcPr>
          <w:p>
            <w:pPr>
              <w:pStyle w:val="41"/>
              <w:spacing w:line="240" w:lineRule="auto"/>
              <w:rPr>
                <w:color w:val="FF0000"/>
              </w:rPr>
            </w:pPr>
            <w:r>
              <w:rPr>
                <w:rFonts w:hint="eastAsia"/>
                <w:color w:val="FF0000"/>
              </w:rPr>
              <w:t>含树脂废砂芯</w:t>
            </w:r>
            <w:r>
              <w:rPr>
                <w:color w:val="FF0000"/>
              </w:rPr>
              <w:t>(HW13)</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送铜陵市正源环境工程技术有限公司</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送芜湖海创环保科技有限责任公司</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处置</w:t>
            </w:r>
            <w:r>
              <w:rPr>
                <w:rFonts w:ascii="Times New Roman" w:hAnsi="Times New Roman" w:eastAsia="宋体"/>
                <w:color w:val="FF0000"/>
              </w:rPr>
              <w:t>单位发生变化</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1" w:type="dxa"/>
            <w:vMerge w:val="continue"/>
            <w:vAlign w:val="center"/>
          </w:tcPr>
          <w:p>
            <w:pPr>
              <w:pStyle w:val="2"/>
              <w:spacing w:after="0"/>
              <w:jc w:val="center"/>
              <w:rPr>
                <w:rFonts w:ascii="Times New Roman" w:hAnsi="Times New Roman" w:eastAsia="宋体"/>
                <w:color w:val="FF0000"/>
              </w:rPr>
            </w:pPr>
          </w:p>
        </w:tc>
        <w:tc>
          <w:tcPr>
            <w:tcW w:w="1944" w:type="dxa"/>
            <w:gridSpan w:val="2"/>
            <w:vAlign w:val="center"/>
          </w:tcPr>
          <w:p>
            <w:pPr>
              <w:pStyle w:val="41"/>
              <w:spacing w:line="240" w:lineRule="auto"/>
              <w:rPr>
                <w:color w:val="FF0000"/>
              </w:rPr>
            </w:pPr>
            <w:r>
              <w:rPr>
                <w:rFonts w:hint="eastAsia"/>
                <w:color w:val="FF0000"/>
              </w:rPr>
              <w:t>生活垃圾</w:t>
            </w:r>
          </w:p>
        </w:tc>
        <w:tc>
          <w:tcPr>
            <w:tcW w:w="1943"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环卫部门统一清运</w:t>
            </w:r>
          </w:p>
        </w:tc>
        <w:tc>
          <w:tcPr>
            <w:tcW w:w="2020"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环卫部门统一清运</w:t>
            </w:r>
          </w:p>
        </w:tc>
        <w:tc>
          <w:tcPr>
            <w:tcW w:w="1398"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一致</w:t>
            </w:r>
          </w:p>
        </w:tc>
        <w:tc>
          <w:tcPr>
            <w:tcW w:w="1195" w:type="dxa"/>
            <w:vAlign w:val="center"/>
          </w:tcPr>
          <w:p>
            <w:pPr>
              <w:pStyle w:val="2"/>
              <w:spacing w:after="0"/>
              <w:jc w:val="center"/>
              <w:rPr>
                <w:rFonts w:ascii="Times New Roman" w:hAnsi="Times New Roman" w:eastAsia="宋体"/>
                <w:color w:val="FF0000"/>
              </w:rPr>
            </w:pPr>
            <w:r>
              <w:rPr>
                <w:rFonts w:hint="eastAsia" w:ascii="Times New Roman" w:hAnsi="Times New Roman" w:eastAsia="宋体"/>
                <w:color w:val="FF0000"/>
              </w:rPr>
              <w:t>/</w:t>
            </w:r>
          </w:p>
        </w:tc>
      </w:tr>
    </w:tbl>
    <w:p>
      <w:pPr>
        <w:spacing w:before="156" w:beforeLines="50" w:after="156" w:afterLines="50" w:line="360" w:lineRule="auto"/>
        <w:outlineLvl w:val="2"/>
        <w:rPr>
          <w:rFonts w:ascii="Times New Roman" w:hAnsi="Times New Roman" w:eastAsia="宋体" w:cs="Times New Roman"/>
          <w:b/>
          <w:color w:val="FF0000"/>
          <w:sz w:val="24"/>
          <w:szCs w:val="24"/>
        </w:rPr>
      </w:pPr>
      <w:r>
        <w:rPr>
          <w:rFonts w:ascii="Times New Roman" w:hAnsi="Times New Roman" w:eastAsia="宋体" w:cs="Times New Roman"/>
          <w:b/>
          <w:color w:val="FF0000"/>
          <w:sz w:val="24"/>
          <w:szCs w:val="24"/>
        </w:rPr>
        <w:t>3.4.6主要污染物排放量变化情况</w:t>
      </w:r>
    </w:p>
    <w:p>
      <w:pPr>
        <w:pStyle w:val="2"/>
        <w:spacing w:after="0" w:line="360" w:lineRule="auto"/>
        <w:ind w:firstLine="480" w:firstLineChars="200"/>
        <w:rPr>
          <w:rFonts w:ascii="Times New Roman" w:hAnsi="Times New Roman" w:eastAsia="宋体" w:cs="Times New Roman"/>
          <w:color w:val="FF0000"/>
          <w:sz w:val="24"/>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相比，项目各污染物排放量变化情况见表3.4-5。</w:t>
      </w:r>
    </w:p>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表3.4-5  各污染物排放变化情况汇总一览表（单位：t/a）</w:t>
      </w:r>
    </w:p>
    <w:tbl>
      <w:tblPr>
        <w:tblStyle w:val="22"/>
        <w:tblW w:w="141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5"/>
        <w:gridCol w:w="1672"/>
        <w:gridCol w:w="1466"/>
        <w:gridCol w:w="1673"/>
        <w:gridCol w:w="1673"/>
        <w:gridCol w:w="1673"/>
        <w:gridCol w:w="1675"/>
        <w:gridCol w:w="1877"/>
        <w:gridCol w:w="12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restart"/>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ascii="Times New Roman" w:hAnsi="Times New Roman" w:eastAsia="宋体" w:cs="Times New Roman"/>
                <w:b/>
                <w:color w:val="FF0000"/>
                <w:sz w:val="21"/>
                <w:szCs w:val="21"/>
              </w:rPr>
              <w:t>污染类别</w:t>
            </w:r>
          </w:p>
        </w:tc>
        <w:tc>
          <w:tcPr>
            <w:tcW w:w="1672" w:type="dxa"/>
            <w:vMerge w:val="restart"/>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ascii="Times New Roman" w:hAnsi="Times New Roman" w:eastAsia="宋体" w:cs="Times New Roman"/>
                <w:b/>
                <w:color w:val="FF0000"/>
                <w:sz w:val="21"/>
                <w:szCs w:val="21"/>
              </w:rPr>
              <w:t>项目</w:t>
            </w:r>
          </w:p>
        </w:tc>
        <w:tc>
          <w:tcPr>
            <w:tcW w:w="10037" w:type="dxa"/>
            <w:gridSpan w:val="6"/>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ascii="Times New Roman" w:hAnsi="Times New Roman" w:eastAsia="宋体" w:cs="Times New Roman"/>
                <w:b/>
                <w:color w:val="FF0000"/>
                <w:sz w:val="21"/>
                <w:szCs w:val="21"/>
              </w:rPr>
              <w:t>排放量</w:t>
            </w:r>
          </w:p>
        </w:tc>
        <w:tc>
          <w:tcPr>
            <w:tcW w:w="1270" w:type="dxa"/>
            <w:vMerge w:val="restart"/>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ascii="Times New Roman" w:hAnsi="Times New Roman" w:eastAsia="宋体" w:cs="Times New Roman"/>
                <w:b/>
                <w:color w:val="FF0000"/>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3139" w:type="dxa"/>
            <w:gridSpan w:val="2"/>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hint="eastAsia" w:ascii="Times New Roman" w:hAnsi="Times New Roman" w:eastAsia="宋体" w:cs="Times New Roman"/>
                <w:b/>
                <w:color w:val="FF0000"/>
                <w:sz w:val="21"/>
                <w:szCs w:val="21"/>
              </w:rPr>
              <w:t>现状评价阶段</w:t>
            </w:r>
          </w:p>
        </w:tc>
        <w:tc>
          <w:tcPr>
            <w:tcW w:w="3346" w:type="dxa"/>
            <w:gridSpan w:val="2"/>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ascii="Times New Roman" w:hAnsi="Times New Roman" w:eastAsia="宋体" w:cs="Times New Roman"/>
                <w:b/>
                <w:color w:val="FF0000"/>
                <w:sz w:val="21"/>
                <w:szCs w:val="21"/>
              </w:rPr>
              <w:t>后评价阶段</w:t>
            </w:r>
          </w:p>
        </w:tc>
        <w:tc>
          <w:tcPr>
            <w:tcW w:w="3552" w:type="dxa"/>
            <w:gridSpan w:val="2"/>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hint="eastAsia" w:ascii="Times New Roman" w:hAnsi="Times New Roman" w:eastAsia="宋体" w:cs="Times New Roman"/>
                <w:b/>
                <w:color w:val="FF0000"/>
                <w:sz w:val="21"/>
                <w:szCs w:val="21"/>
              </w:rPr>
              <w:t>后评价</w:t>
            </w:r>
            <w:r>
              <w:rPr>
                <w:rFonts w:ascii="Times New Roman" w:hAnsi="Times New Roman" w:eastAsia="宋体" w:cs="Times New Roman"/>
                <w:b/>
                <w:color w:val="FF0000"/>
                <w:sz w:val="21"/>
                <w:szCs w:val="21"/>
              </w:rPr>
              <w:t>阶段与现状评价阶段相比增减量</w:t>
            </w:r>
          </w:p>
        </w:tc>
        <w:tc>
          <w:tcPr>
            <w:tcW w:w="1270"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hint="eastAsia" w:ascii="Times New Roman" w:hAnsi="Times New Roman" w:eastAsia="宋体" w:cs="Times New Roman"/>
                <w:b/>
                <w:color w:val="FF0000"/>
                <w:sz w:val="21"/>
                <w:szCs w:val="21"/>
              </w:rPr>
              <w:t>实际</w:t>
            </w:r>
            <w:r>
              <w:rPr>
                <w:rFonts w:ascii="Times New Roman" w:hAnsi="Times New Roman" w:eastAsia="宋体" w:cs="Times New Roman"/>
                <w:b/>
                <w:color w:val="FF0000"/>
                <w:sz w:val="21"/>
                <w:szCs w:val="21"/>
              </w:rPr>
              <w:t>产能</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hint="eastAsia" w:ascii="Times New Roman" w:hAnsi="Times New Roman" w:eastAsia="宋体" w:cs="Times New Roman"/>
                <w:b/>
                <w:color w:val="FF0000"/>
                <w:sz w:val="21"/>
                <w:szCs w:val="21"/>
              </w:rPr>
              <w:t>产能满负荷</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hint="eastAsia" w:ascii="Times New Roman" w:hAnsi="Times New Roman" w:eastAsia="宋体" w:cs="Times New Roman"/>
                <w:b/>
                <w:color w:val="FF0000"/>
                <w:sz w:val="21"/>
                <w:szCs w:val="21"/>
              </w:rPr>
              <w:t>实际</w:t>
            </w:r>
            <w:r>
              <w:rPr>
                <w:rFonts w:ascii="Times New Roman" w:hAnsi="Times New Roman" w:eastAsia="宋体" w:cs="Times New Roman"/>
                <w:b/>
                <w:color w:val="FF0000"/>
                <w:sz w:val="21"/>
                <w:szCs w:val="21"/>
              </w:rPr>
              <w:t>产能</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hint="eastAsia" w:ascii="Times New Roman" w:hAnsi="Times New Roman" w:eastAsia="宋体" w:cs="Times New Roman"/>
                <w:b/>
                <w:color w:val="FF0000"/>
                <w:sz w:val="21"/>
                <w:szCs w:val="21"/>
              </w:rPr>
              <w:t>产能满负荷</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hint="eastAsia" w:ascii="Times New Roman" w:hAnsi="Times New Roman" w:eastAsia="宋体" w:cs="Times New Roman"/>
                <w:b/>
                <w:color w:val="FF0000"/>
                <w:sz w:val="21"/>
                <w:szCs w:val="21"/>
              </w:rPr>
              <w:t>实际</w:t>
            </w:r>
            <w:r>
              <w:rPr>
                <w:rFonts w:ascii="Times New Roman" w:hAnsi="Times New Roman" w:eastAsia="宋体" w:cs="Times New Roman"/>
                <w:b/>
                <w:color w:val="FF0000"/>
                <w:sz w:val="21"/>
                <w:szCs w:val="21"/>
              </w:rPr>
              <w:t>产能</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b/>
                <w:color w:val="FF0000"/>
                <w:sz w:val="21"/>
                <w:szCs w:val="21"/>
              </w:rPr>
            </w:pPr>
            <w:r>
              <w:rPr>
                <w:rFonts w:hint="eastAsia" w:ascii="Times New Roman" w:hAnsi="Times New Roman" w:eastAsia="宋体" w:cs="Times New Roman"/>
                <w:b/>
                <w:color w:val="FF0000"/>
                <w:sz w:val="21"/>
                <w:szCs w:val="21"/>
              </w:rPr>
              <w:t>产能满负荷</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restart"/>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废气</w:t>
            </w: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烟/粉尘</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1456.86</w:t>
            </w:r>
          </w:p>
        </w:tc>
        <w:tc>
          <w:tcPr>
            <w:tcW w:w="167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s="宋体"/>
                <w:color w:val="FF0000"/>
                <w:kern w:val="0"/>
                <w:sz w:val="21"/>
                <w:szCs w:val="21"/>
              </w:rPr>
            </w:pPr>
            <w:r>
              <w:rPr>
                <w:rFonts w:hint="eastAsia" w:ascii="Times New Roman" w:hAnsi="Times New Roman" w:eastAsia="宋体"/>
                <w:color w:val="FF0000"/>
                <w:sz w:val="21"/>
                <w:szCs w:val="21"/>
              </w:rPr>
              <w:t>1521.565</w:t>
            </w:r>
          </w:p>
        </w:tc>
        <w:tc>
          <w:tcPr>
            <w:tcW w:w="167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s="宋体"/>
                <w:color w:val="FF0000"/>
                <w:kern w:val="0"/>
                <w:sz w:val="21"/>
                <w:szCs w:val="21"/>
              </w:rPr>
            </w:pPr>
            <w:r>
              <w:rPr>
                <w:rFonts w:hint="eastAsia" w:ascii="Times New Roman" w:hAnsi="Times New Roman" w:eastAsia="宋体"/>
                <w:color w:val="FF0000"/>
                <w:sz w:val="21"/>
                <w:szCs w:val="21"/>
              </w:rPr>
              <w:t>1560.382</w:t>
            </w:r>
          </w:p>
        </w:tc>
        <w:tc>
          <w:tcPr>
            <w:tcW w:w="167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s="宋体"/>
                <w:color w:val="FF0000"/>
                <w:kern w:val="0"/>
                <w:sz w:val="21"/>
                <w:szCs w:val="21"/>
              </w:rPr>
            </w:pPr>
            <w:r>
              <w:rPr>
                <w:rFonts w:ascii="Times New Roman" w:hAnsi="Times New Roman" w:eastAsia="宋体" w:cs="宋体"/>
                <w:color w:val="FF0000"/>
                <w:kern w:val="0"/>
                <w:sz w:val="21"/>
                <w:szCs w:val="21"/>
              </w:rPr>
              <w:t>1574.697</w:t>
            </w:r>
          </w:p>
        </w:tc>
        <w:tc>
          <w:tcPr>
            <w:tcW w:w="1675"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s="宋体"/>
                <w:color w:val="FF0000"/>
                <w:kern w:val="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103.522</w:t>
            </w:r>
          </w:p>
        </w:tc>
        <w:tc>
          <w:tcPr>
            <w:tcW w:w="1877"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s="宋体"/>
                <w:color w:val="FF0000"/>
                <w:kern w:val="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53.132</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SO</w:t>
            </w:r>
            <w:r>
              <w:rPr>
                <w:rFonts w:ascii="Times New Roman" w:hAnsi="Times New Roman" w:eastAsia="宋体" w:cs="Times New Roman"/>
                <w:color w:val="FF0000"/>
                <w:sz w:val="21"/>
                <w:szCs w:val="21"/>
                <w:vertAlign w:val="subscript"/>
              </w:rPr>
              <w:t>2</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994.69</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1038.868</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FF0000"/>
                <w:sz w:val="21"/>
                <w:szCs w:val="21"/>
              </w:rPr>
            </w:pPr>
            <w:r>
              <w:rPr>
                <w:rFonts w:hint="eastAsia" w:ascii="Times New Roman" w:hAnsi="Times New Roman" w:eastAsia="宋体"/>
                <w:color w:val="FF0000"/>
                <w:sz w:val="21"/>
                <w:szCs w:val="21"/>
              </w:rPr>
              <w:t>1065.371</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1075.145</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70.681</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36.277</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NO</w:t>
            </w:r>
            <w:r>
              <w:rPr>
                <w:rFonts w:ascii="Times New Roman" w:hAnsi="Times New Roman" w:eastAsia="宋体" w:cs="Times New Roman"/>
                <w:color w:val="FF0000"/>
                <w:sz w:val="21"/>
                <w:szCs w:val="21"/>
                <w:vertAlign w:val="subscript"/>
              </w:rPr>
              <w:t>x</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2368.98</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2474.196</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FF0000"/>
                <w:sz w:val="21"/>
                <w:szCs w:val="21"/>
              </w:rPr>
            </w:pPr>
            <w:r>
              <w:rPr>
                <w:rFonts w:hint="eastAsia" w:ascii="Times New Roman" w:hAnsi="Times New Roman" w:eastAsia="宋体"/>
                <w:color w:val="FF0000"/>
                <w:sz w:val="21"/>
                <w:szCs w:val="21"/>
              </w:rPr>
              <w:t>2537.315</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2560.593</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168.335</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86.397</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氨气</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0.690</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0.721</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1.051</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1.061</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0.361</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0.34</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苯</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0.138</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0.144</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0.143</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0.14</w:t>
            </w:r>
            <w:r>
              <w:rPr>
                <w:rFonts w:ascii="Times New Roman" w:hAnsi="Times New Roman" w:eastAsia="宋体"/>
                <w:color w:val="FF0000"/>
                <w:sz w:val="21"/>
                <w:szCs w:val="21"/>
              </w:rPr>
              <w:t>5</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0.</w:t>
            </w:r>
            <w:r>
              <w:rPr>
                <w:rFonts w:ascii="Times New Roman" w:hAnsi="Times New Roman" w:eastAsia="宋体"/>
                <w:color w:val="FF0000"/>
                <w:sz w:val="21"/>
                <w:szCs w:val="21"/>
              </w:rPr>
              <w:t>001</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0.</w:t>
            </w:r>
            <w:r>
              <w:rPr>
                <w:rFonts w:ascii="Times New Roman" w:hAnsi="Times New Roman" w:eastAsia="宋体"/>
                <w:color w:val="FF0000"/>
                <w:sz w:val="21"/>
                <w:szCs w:val="21"/>
              </w:rPr>
              <w:t>001</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苯并[a]芘</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0.0015</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0.0016</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0.00000051</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 xml:space="preserve">0.00000051 </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-0.001499</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-0.00159949</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二噁英</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0.0000051</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0.0000053</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0.000000</w:t>
            </w:r>
            <w:r>
              <w:rPr>
                <w:rFonts w:ascii="Times New Roman" w:hAnsi="Times New Roman" w:eastAsia="宋体" w:cs="Times New Roman"/>
                <w:color w:val="FF0000"/>
                <w:sz w:val="21"/>
                <w:szCs w:val="21"/>
              </w:rPr>
              <w:t>20</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 xml:space="preserve">0.0000002 </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 xml:space="preserve">-0.000005 </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 xml:space="preserve">-0.000005 </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二甲苯</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0.0017</w:t>
            </w:r>
            <w:r>
              <w:rPr>
                <w:rFonts w:ascii="Times New Roman" w:hAnsi="Times New Roman" w:eastAsia="宋体" w:cs="Times New Roman"/>
                <w:color w:val="FF0000"/>
                <w:sz w:val="21"/>
                <w:szCs w:val="21"/>
              </w:rPr>
              <w:t>0</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0.00</w:t>
            </w:r>
            <w:r>
              <w:rPr>
                <w:rFonts w:ascii="Times New Roman" w:hAnsi="Times New Roman" w:eastAsia="宋体"/>
                <w:color w:val="FF0000"/>
                <w:sz w:val="21"/>
                <w:szCs w:val="21"/>
              </w:rPr>
              <w:t>177</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0.00176</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w:t>
            </w:r>
            <w:r>
              <w:rPr>
                <w:rFonts w:ascii="Times New Roman" w:hAnsi="Times New Roman" w:eastAsia="宋体"/>
                <w:color w:val="FF0000"/>
                <w:sz w:val="21"/>
                <w:szCs w:val="21"/>
              </w:rPr>
              <w:t>0178</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0.</w:t>
            </w:r>
            <w:r>
              <w:rPr>
                <w:rFonts w:ascii="Times New Roman" w:hAnsi="Times New Roman" w:eastAsia="宋体"/>
                <w:color w:val="FF0000"/>
                <w:sz w:val="21"/>
                <w:szCs w:val="21"/>
              </w:rPr>
              <w:t>00006</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0.0</w:t>
            </w:r>
            <w:r>
              <w:rPr>
                <w:rFonts w:ascii="Times New Roman" w:hAnsi="Times New Roman" w:eastAsia="宋体"/>
                <w:color w:val="FF0000"/>
                <w:sz w:val="21"/>
                <w:szCs w:val="21"/>
              </w:rPr>
              <w:t>0001</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氟化物</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3.632</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3.793</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3.759</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3.79</w:t>
            </w:r>
            <w:r>
              <w:rPr>
                <w:rFonts w:ascii="Times New Roman" w:hAnsi="Times New Roman" w:eastAsia="宋体"/>
                <w:color w:val="FF0000"/>
                <w:sz w:val="21"/>
                <w:szCs w:val="21"/>
              </w:rPr>
              <w:t>4</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+0.127</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+0.001</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甲苯</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0.630</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0.658</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0.652</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0.65</w:t>
            </w:r>
            <w:r>
              <w:rPr>
                <w:rFonts w:ascii="Times New Roman" w:hAnsi="Times New Roman" w:eastAsia="宋体"/>
                <w:color w:val="FF0000"/>
                <w:sz w:val="21"/>
                <w:szCs w:val="21"/>
              </w:rPr>
              <w:t>9</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w:t>
            </w:r>
            <w:r>
              <w:rPr>
                <w:rFonts w:ascii="Times New Roman" w:hAnsi="Times New Roman" w:eastAsia="宋体"/>
                <w:color w:val="FF0000"/>
                <w:sz w:val="21"/>
                <w:szCs w:val="21"/>
              </w:rPr>
              <w:t>022</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+0.001</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沥青烟</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4.81</w:t>
            </w:r>
            <w:r>
              <w:rPr>
                <w:rFonts w:ascii="Times New Roman" w:hAnsi="Times New Roman" w:eastAsia="宋体" w:cs="Times New Roman"/>
                <w:color w:val="FF0000"/>
                <w:sz w:val="21"/>
                <w:szCs w:val="21"/>
              </w:rPr>
              <w:t>0</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5.024</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5.024</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5.199</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0.</w:t>
            </w:r>
            <w:r>
              <w:rPr>
                <w:rFonts w:ascii="Times New Roman" w:hAnsi="Times New Roman" w:eastAsia="宋体"/>
                <w:color w:val="FF0000"/>
                <w:sz w:val="21"/>
                <w:szCs w:val="21"/>
              </w:rPr>
              <w:t>214</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+0.175</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硫化氢</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0.0027</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0.0028</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0.0028</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0.0029</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0.</w:t>
            </w:r>
            <w:r>
              <w:rPr>
                <w:rFonts w:ascii="Times New Roman" w:hAnsi="Times New Roman" w:eastAsia="宋体"/>
                <w:color w:val="FF0000"/>
                <w:sz w:val="21"/>
                <w:szCs w:val="21"/>
              </w:rPr>
              <w:t>0001</w:t>
            </w:r>
          </w:p>
        </w:tc>
        <w:tc>
          <w:tcPr>
            <w:tcW w:w="1877"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ascii="Times New Roman" w:hAnsi="Times New Roman" w:eastAsia="宋体"/>
                <w:color w:val="FF0000"/>
                <w:sz w:val="21"/>
                <w:szCs w:val="21"/>
              </w:rPr>
              <w:t>+</w:t>
            </w:r>
            <w:r>
              <w:rPr>
                <w:rFonts w:hint="eastAsia" w:ascii="Times New Roman" w:hAnsi="Times New Roman" w:eastAsia="宋体"/>
                <w:color w:val="FF0000"/>
                <w:sz w:val="21"/>
                <w:szCs w:val="21"/>
              </w:rPr>
              <w:t>0.</w:t>
            </w:r>
            <w:r>
              <w:rPr>
                <w:rFonts w:ascii="Times New Roman" w:hAnsi="Times New Roman" w:eastAsia="宋体"/>
                <w:color w:val="FF0000"/>
                <w:sz w:val="21"/>
                <w:szCs w:val="21"/>
              </w:rPr>
              <w:t>0001</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三乙胺</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0.288</w:t>
            </w:r>
          </w:p>
        </w:tc>
        <w:tc>
          <w:tcPr>
            <w:tcW w:w="1673"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s="宋体"/>
                <w:color w:val="FF0000"/>
                <w:kern w:val="0"/>
                <w:sz w:val="21"/>
                <w:szCs w:val="21"/>
              </w:rPr>
            </w:pPr>
            <w:r>
              <w:rPr>
                <w:rFonts w:hint="eastAsia" w:ascii="Times New Roman" w:hAnsi="Times New Roman" w:eastAsia="宋体" w:cs="宋体"/>
                <w:color w:val="FF0000"/>
                <w:kern w:val="0"/>
                <w:sz w:val="21"/>
                <w:szCs w:val="21"/>
              </w:rPr>
              <w:t>0.301</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0.298</w:t>
            </w:r>
          </w:p>
        </w:tc>
        <w:tc>
          <w:tcPr>
            <w:tcW w:w="1673"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0.302</w:t>
            </w:r>
          </w:p>
        </w:tc>
        <w:tc>
          <w:tcPr>
            <w:tcW w:w="1675" w:type="dxa"/>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olor w:val="FF0000"/>
                <w:sz w:val="21"/>
                <w:szCs w:val="21"/>
              </w:rPr>
            </w:pPr>
            <w:r>
              <w:rPr>
                <w:rFonts w:hint="eastAsia" w:ascii="Times New Roman" w:hAnsi="Times New Roman" w:eastAsia="宋体"/>
                <w:color w:val="FF0000"/>
                <w:sz w:val="21"/>
                <w:szCs w:val="21"/>
              </w:rPr>
              <w:t>+0.010</w:t>
            </w:r>
          </w:p>
        </w:tc>
        <w:tc>
          <w:tcPr>
            <w:tcW w:w="1877" w:type="dxa"/>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s="宋体"/>
                <w:color w:val="FF0000"/>
                <w:kern w:val="0"/>
                <w:sz w:val="21"/>
                <w:szCs w:val="21"/>
              </w:rPr>
            </w:pPr>
            <w:r>
              <w:rPr>
                <w:rFonts w:hint="eastAsia" w:ascii="Times New Roman" w:hAnsi="Times New Roman" w:eastAsia="宋体" w:cs="宋体"/>
                <w:color w:val="FF0000"/>
                <w:kern w:val="0"/>
                <w:sz w:val="21"/>
                <w:szCs w:val="21"/>
              </w:rPr>
              <w:t>+0.001</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hint="eastAsia"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restart"/>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废水</w:t>
            </w: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废水量</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COD</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BOD</w:t>
            </w:r>
            <w:r>
              <w:rPr>
                <w:rFonts w:ascii="Times New Roman" w:hAnsi="Times New Roman" w:eastAsia="宋体" w:cs="Times New Roman"/>
                <w:color w:val="FF0000"/>
                <w:sz w:val="21"/>
                <w:szCs w:val="21"/>
                <w:vertAlign w:val="subscript"/>
              </w:rPr>
              <w:t>5</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NH</w:t>
            </w:r>
            <w:r>
              <w:rPr>
                <w:rFonts w:ascii="Times New Roman" w:hAnsi="Times New Roman" w:eastAsia="宋体" w:cs="Times New Roman"/>
                <w:color w:val="FF0000"/>
                <w:sz w:val="21"/>
                <w:szCs w:val="21"/>
                <w:vertAlign w:val="subscript"/>
              </w:rPr>
              <w:t>3</w:t>
            </w:r>
            <w:r>
              <w:rPr>
                <w:rFonts w:ascii="Times New Roman" w:hAnsi="Times New Roman" w:eastAsia="宋体" w:cs="Times New Roman"/>
                <w:color w:val="FF0000"/>
                <w:sz w:val="21"/>
                <w:szCs w:val="21"/>
              </w:rPr>
              <w:t>-N</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SS</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TP</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石油类</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挥发酚类</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氰化物</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硫化物</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动植物油</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restart"/>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固废</w:t>
            </w:r>
          </w:p>
        </w:tc>
        <w:tc>
          <w:tcPr>
            <w:tcW w:w="1672" w:type="dxa"/>
            <w:vAlign w:val="center"/>
          </w:tcPr>
          <w:p>
            <w:pPr>
              <w:pStyle w:val="88"/>
              <w:keepNext w:val="0"/>
              <w:keepLines w:val="0"/>
              <w:pageBreakBefore w:val="0"/>
              <w:widowControl w:val="0"/>
              <w:kinsoku/>
              <w:wordWrap/>
              <w:overflowPunct/>
              <w:topLinePunct w:val="0"/>
              <w:autoSpaceDE/>
              <w:autoSpaceDN/>
              <w:bidi w:val="0"/>
              <w:adjustRightInd/>
              <w:snapToGrid/>
              <w:textAlignment w:val="auto"/>
              <w:rPr>
                <w:rFonts w:cs="Times New Roman"/>
                <w:color w:val="FF0000"/>
                <w:sz w:val="21"/>
                <w:szCs w:val="21"/>
              </w:rPr>
            </w:pPr>
            <w:r>
              <w:rPr>
                <w:rFonts w:cs="Times New Roman"/>
                <w:color w:val="FF0000"/>
                <w:sz w:val="21"/>
                <w:szCs w:val="21"/>
              </w:rPr>
              <w:t>一般工业固体废物(I类)</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一般工业固体废物(</w:t>
            </w:r>
            <w:r>
              <w:rPr>
                <w:rFonts w:hint="eastAsia" w:ascii="Times New Roman" w:hAnsi="Times New Roman" w:eastAsia="宋体" w:cs="宋体"/>
                <w:color w:val="FF0000"/>
                <w:sz w:val="21"/>
                <w:szCs w:val="21"/>
              </w:rPr>
              <w:t>Ⅱ</w:t>
            </w:r>
            <w:r>
              <w:rPr>
                <w:rFonts w:ascii="Times New Roman" w:hAnsi="Times New Roman" w:eastAsia="宋体" w:cs="Times New Roman"/>
                <w:color w:val="FF0000"/>
                <w:sz w:val="21"/>
                <w:szCs w:val="21"/>
              </w:rPr>
              <w:t>类)</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危险废物</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195" w:type="dxa"/>
            <w:vMerge w:val="continue"/>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p>
        </w:tc>
        <w:tc>
          <w:tcPr>
            <w:tcW w:w="1672"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生活垃圾</w:t>
            </w:r>
          </w:p>
        </w:tc>
        <w:tc>
          <w:tcPr>
            <w:tcW w:w="1466"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3"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675"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877"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0</w:t>
            </w:r>
          </w:p>
        </w:tc>
        <w:tc>
          <w:tcPr>
            <w:tcW w:w="1270" w:type="dxa"/>
            <w:vAlign w:val="center"/>
          </w:tcPr>
          <w:p>
            <w:pPr>
              <w:pStyle w:val="2"/>
              <w:keepNext w:val="0"/>
              <w:keepLines w:val="0"/>
              <w:pageBreakBefore w:val="0"/>
              <w:kinsoku/>
              <w:wordWrap/>
              <w:overflowPunct/>
              <w:topLinePunct w:val="0"/>
              <w:autoSpaceDE/>
              <w:autoSpaceDN/>
              <w:bidi w:val="0"/>
              <w:adjustRightInd/>
              <w:snapToGrid/>
              <w:spacing w:after="0"/>
              <w:jc w:val="center"/>
              <w:textAlignment w:val="auto"/>
              <w:rPr>
                <w:rFonts w:ascii="Times New Roman" w:hAnsi="Times New Roman" w:eastAsia="宋体" w:cs="Times New Roman"/>
                <w:color w:val="FF0000"/>
                <w:sz w:val="21"/>
                <w:szCs w:val="21"/>
              </w:rPr>
            </w:pPr>
            <w:r>
              <w:rPr>
                <w:rFonts w:ascii="Times New Roman" w:hAnsi="Times New Roman" w:eastAsia="宋体" w:cs="Times New Roman"/>
                <w:color w:val="FF0000"/>
                <w:sz w:val="21"/>
                <w:szCs w:val="21"/>
              </w:rPr>
              <w:t>/</w:t>
            </w:r>
          </w:p>
        </w:tc>
      </w:tr>
    </w:tbl>
    <w:p>
      <w:pPr>
        <w:pStyle w:val="2"/>
        <w:keepNext w:val="0"/>
        <w:keepLines w:val="0"/>
        <w:pageBreakBefore w:val="0"/>
        <w:widowControl w:val="0"/>
        <w:kinsoku/>
        <w:wordWrap/>
        <w:overflowPunct/>
        <w:topLinePunct w:val="0"/>
        <w:autoSpaceDE/>
        <w:autoSpaceDN/>
        <w:bidi w:val="0"/>
        <w:adjustRightInd/>
        <w:snapToGrid/>
        <w:spacing w:after="0"/>
        <w:ind w:firstLine="0" w:firstLineChars="0"/>
        <w:textAlignment w:val="auto"/>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注</w:t>
      </w:r>
      <w:r>
        <w:rPr>
          <w:rFonts w:ascii="Times New Roman" w:hAnsi="Times New Roman" w:eastAsia="宋体" w:cs="Times New Roman"/>
          <w:color w:val="FF0000"/>
          <w:sz w:val="18"/>
          <w:szCs w:val="18"/>
        </w:rPr>
        <w:t>：</w:t>
      </w:r>
      <w:r>
        <w:rPr>
          <w:rFonts w:hint="eastAsia" w:ascii="Times New Roman" w:hAnsi="Times New Roman" w:eastAsia="宋体" w:cs="Times New Roman"/>
          <w:color w:val="FF0000"/>
          <w:sz w:val="18"/>
          <w:szCs w:val="18"/>
        </w:rPr>
        <w:t>上表</w:t>
      </w:r>
      <w:r>
        <w:rPr>
          <w:rFonts w:ascii="Times New Roman" w:hAnsi="Times New Roman" w:eastAsia="宋体" w:cs="Times New Roman"/>
          <w:color w:val="FF0000"/>
          <w:sz w:val="18"/>
          <w:szCs w:val="18"/>
        </w:rPr>
        <w:t>中</w:t>
      </w:r>
      <w:r>
        <w:rPr>
          <w:rFonts w:hint="eastAsia" w:ascii="Times New Roman" w:hAnsi="Times New Roman" w:eastAsia="宋体" w:cs="Times New Roman"/>
          <w:color w:val="FF0000"/>
          <w:sz w:val="18"/>
          <w:szCs w:val="18"/>
        </w:rPr>
        <w:t>废气排放量</w:t>
      </w:r>
      <w:r>
        <w:rPr>
          <w:rFonts w:ascii="Times New Roman" w:hAnsi="Times New Roman" w:eastAsia="宋体" w:cs="Times New Roman"/>
          <w:color w:val="FF0000"/>
          <w:sz w:val="18"/>
          <w:szCs w:val="18"/>
        </w:rPr>
        <w:t>仅为厂区有组织排放的废气污染物量。</w:t>
      </w:r>
    </w:p>
    <w:p>
      <w:pPr>
        <w:pStyle w:val="2"/>
        <w:spacing w:after="0" w:line="360" w:lineRule="auto"/>
        <w:ind w:firstLine="480" w:firstLineChars="200"/>
        <w:rPr>
          <w:rFonts w:ascii="Times New Roman" w:hAnsi="Times New Roman" w:eastAsia="宋体" w:cs="Times New Roman"/>
          <w:color w:val="FF0000"/>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2"/>
        <w:spacing w:after="0" w:line="360" w:lineRule="auto"/>
        <w:ind w:firstLine="480" w:firstLineChars="200"/>
        <w:rPr>
          <w:rFonts w:ascii="Times New Roman" w:hAnsi="Times New Roman" w:eastAsia="宋体" w:cs="Times New Roman"/>
          <w:color w:val="FF0000"/>
          <w:sz w:val="24"/>
        </w:rPr>
      </w:pPr>
      <w:r>
        <w:rPr>
          <w:rFonts w:ascii="Times New Roman" w:hAnsi="Times New Roman" w:eastAsia="宋体" w:cs="Times New Roman"/>
          <w:color w:val="FF0000"/>
          <w:sz w:val="24"/>
        </w:rPr>
        <w:t>根据不同工序，</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核算废气源强时</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年工作时间设定为7920h、5840h、1460h、8760h、8280h等，</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（后评价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hint="eastAsia" w:ascii="Times New Roman" w:hAnsi="Times New Roman" w:eastAsia="宋体" w:cs="Times New Roman"/>
          <w:color w:val="FF0000"/>
          <w:sz w:val="24"/>
        </w:rPr>
        <w:t>除了线材</w:t>
      </w:r>
      <w:r>
        <w:rPr>
          <w:rFonts w:ascii="Times New Roman" w:hAnsi="Times New Roman" w:eastAsia="宋体" w:cs="Times New Roman"/>
          <w:color w:val="FF0000"/>
          <w:sz w:val="24"/>
        </w:rPr>
        <w:t>生产线工作时间由</w:t>
      </w:r>
      <w:r>
        <w:rPr>
          <w:rFonts w:hint="eastAsia" w:ascii="Times New Roman" w:hAnsi="Times New Roman" w:eastAsia="宋体" w:cs="Times New Roman"/>
          <w:color w:val="FF0000"/>
          <w:sz w:val="24"/>
        </w:rPr>
        <w:t>7000h/a增加</w:t>
      </w:r>
      <w:r>
        <w:rPr>
          <w:rFonts w:ascii="Times New Roman" w:hAnsi="Times New Roman" w:eastAsia="宋体" w:cs="Times New Roman"/>
          <w:color w:val="FF0000"/>
          <w:sz w:val="24"/>
        </w:rPr>
        <w:t>至8</w:t>
      </w:r>
      <w:r>
        <w:rPr>
          <w:rFonts w:hint="eastAsia" w:ascii="Times New Roman" w:hAnsi="Times New Roman" w:eastAsia="宋体" w:cs="Times New Roman"/>
          <w:color w:val="FF0000"/>
          <w:sz w:val="24"/>
        </w:rPr>
        <w:t>000h/a</w:t>
      </w:r>
      <w:r>
        <w:rPr>
          <w:rFonts w:ascii="Times New Roman" w:hAnsi="Times New Roman" w:eastAsia="宋体" w:cs="Times New Roman"/>
          <w:color w:val="FF0000"/>
          <w:sz w:val="24"/>
        </w:rPr>
        <w:t>，其他车间年工作时间均</w:t>
      </w:r>
      <w:r>
        <w:rPr>
          <w:rFonts w:hint="eastAsia" w:ascii="Times New Roman" w:hAnsi="Times New Roman" w:eastAsia="宋体" w:cs="Times New Roman"/>
          <w:color w:val="FF0000"/>
          <w:sz w:val="24"/>
        </w:rPr>
        <w:t>不变</w:t>
      </w:r>
      <w:r>
        <w:rPr>
          <w:rFonts w:ascii="Times New Roman" w:hAnsi="Times New Roman" w:eastAsia="宋体" w:cs="Times New Roman"/>
          <w:color w:val="FF0000"/>
          <w:sz w:val="24"/>
        </w:rPr>
        <w:t>。因此，后评价阶段</w:t>
      </w:r>
      <w:r>
        <w:rPr>
          <w:rFonts w:hint="eastAsia" w:ascii="Times New Roman" w:hAnsi="Times New Roman" w:eastAsia="宋体" w:cs="Times New Roman"/>
          <w:color w:val="FF0000"/>
          <w:sz w:val="24"/>
        </w:rPr>
        <w:t>烟/粉尘、</w:t>
      </w:r>
      <w:r>
        <w:rPr>
          <w:rFonts w:ascii="Times New Roman" w:hAnsi="Times New Roman" w:eastAsia="宋体" w:cs="Times New Roman"/>
          <w:color w:val="FF0000"/>
          <w:sz w:val="24"/>
        </w:rPr>
        <w:t>SO</w:t>
      </w:r>
      <w:r>
        <w:rPr>
          <w:rFonts w:ascii="Times New Roman" w:hAnsi="Times New Roman" w:eastAsia="宋体" w:cs="Times New Roman"/>
          <w:color w:val="FF0000"/>
          <w:sz w:val="24"/>
          <w:vertAlign w:val="subscript"/>
        </w:rPr>
        <w:t>2</w:t>
      </w:r>
      <w:r>
        <w:rPr>
          <w:rFonts w:ascii="Times New Roman" w:hAnsi="Times New Roman" w:eastAsia="宋体" w:cs="Times New Roman"/>
          <w:color w:val="FF0000"/>
          <w:sz w:val="24"/>
        </w:rPr>
        <w:t>、NOx等废气污染物排放量</w:t>
      </w:r>
      <w:r>
        <w:rPr>
          <w:rFonts w:hint="eastAsia" w:ascii="Times New Roman" w:hAnsi="Times New Roman" w:eastAsia="宋体" w:cs="Times New Roman"/>
          <w:color w:val="FF0000"/>
          <w:sz w:val="24"/>
          <w:lang w:eastAsia="zh-CN"/>
        </w:rPr>
        <w:t>要略高于</w:t>
      </w:r>
      <w:r>
        <w:rPr>
          <w:rFonts w:hint="eastAsia" w:ascii="Times New Roman" w:hAnsi="Times New Roman" w:eastAsia="宋体" w:cs="Times New Roman"/>
          <w:color w:val="FF0000"/>
          <w:sz w:val="24"/>
        </w:rPr>
        <w:t>现状评价阶段</w:t>
      </w:r>
      <w:r>
        <w:rPr>
          <w:rFonts w:hint="eastAsia" w:ascii="Times New Roman" w:hAnsi="Times New Roman" w:eastAsia="宋体" w:cs="Times New Roman"/>
          <w:color w:val="FF0000"/>
          <w:sz w:val="24"/>
          <w:lang w:eastAsia="zh-CN"/>
        </w:rPr>
        <w:t>污染物年排放汇总数据</w:t>
      </w:r>
      <w:r>
        <w:rPr>
          <w:rFonts w:ascii="Times New Roman" w:hAnsi="Times New Roman" w:eastAsia="宋体" w:cs="Times New Roman"/>
          <w:color w:val="FF0000"/>
          <w:sz w:val="24"/>
        </w:rPr>
        <w:t>。根据根据安徽世标检测技术有限公司于2019年4月8日~10日对现有厂区废气的检测报告和企业近期日常检测报告，各个工序废气经处理后可满足相应排放标准限值。</w:t>
      </w:r>
    </w:p>
    <w:p>
      <w:pPr>
        <w:spacing w:before="156" w:beforeLines="50" w:after="156" w:afterLines="50" w:line="360" w:lineRule="auto"/>
        <w:outlineLvl w:val="2"/>
        <w:rPr>
          <w:rFonts w:hint="eastAsia" w:ascii="Times New Roman" w:hAnsi="Times New Roman" w:eastAsia="宋体" w:cs="Times New Roman"/>
          <w:b/>
          <w:color w:val="FF0000"/>
          <w:sz w:val="24"/>
          <w:szCs w:val="24"/>
        </w:rPr>
      </w:pPr>
      <w:r>
        <w:rPr>
          <w:rFonts w:ascii="Times New Roman" w:hAnsi="Times New Roman" w:eastAsia="宋体" w:cs="Times New Roman"/>
          <w:b/>
          <w:color w:val="FF0000"/>
          <w:sz w:val="24"/>
          <w:szCs w:val="24"/>
        </w:rPr>
        <w:t>3.4.7</w:t>
      </w:r>
      <w:r>
        <w:rPr>
          <w:rFonts w:hint="eastAsia" w:ascii="Times New Roman" w:hAnsi="Times New Roman" w:eastAsia="宋体" w:cs="Times New Roman"/>
          <w:b/>
          <w:color w:val="FF0000"/>
          <w:sz w:val="24"/>
          <w:szCs w:val="24"/>
        </w:rPr>
        <w:t>后评价</w:t>
      </w:r>
      <w:r>
        <w:rPr>
          <w:rFonts w:ascii="Times New Roman" w:hAnsi="Times New Roman" w:eastAsia="宋体" w:cs="Times New Roman"/>
          <w:b/>
          <w:color w:val="FF0000"/>
          <w:sz w:val="24"/>
          <w:szCs w:val="24"/>
        </w:rPr>
        <w:t>阶段</w:t>
      </w:r>
      <w:r>
        <w:rPr>
          <w:rFonts w:hint="eastAsia" w:ascii="Times New Roman" w:hAnsi="Times New Roman" w:eastAsia="宋体" w:cs="Times New Roman"/>
          <w:b/>
          <w:color w:val="FF0000"/>
          <w:sz w:val="24"/>
          <w:szCs w:val="24"/>
        </w:rPr>
        <w:t>存在</w:t>
      </w:r>
      <w:r>
        <w:rPr>
          <w:rFonts w:ascii="Times New Roman" w:hAnsi="Times New Roman" w:eastAsia="宋体" w:cs="Times New Roman"/>
          <w:b/>
          <w:color w:val="FF0000"/>
          <w:sz w:val="24"/>
          <w:szCs w:val="24"/>
        </w:rPr>
        <w:t>主要问题及整改措施</w:t>
      </w:r>
    </w:p>
    <w:p>
      <w:pPr>
        <w:pStyle w:val="2"/>
        <w:spacing w:after="0" w:line="360" w:lineRule="auto"/>
        <w:ind w:firstLine="480" w:firstLineChars="200"/>
        <w:rPr>
          <w:rFonts w:hint="default" w:ascii="Times New Roman" w:hAnsi="Times New Roman" w:eastAsia="宋体" w:cs="Times New Roman"/>
          <w:color w:val="FF0000"/>
          <w:sz w:val="24"/>
          <w:lang w:val="en-US" w:eastAsia="zh-CN"/>
        </w:rPr>
      </w:pPr>
      <w:r>
        <w:rPr>
          <w:rFonts w:ascii="Times New Roman" w:hAnsi="Times New Roman" w:eastAsia="宋体" w:cs="Times New Roman"/>
          <w:color w:val="FF0000"/>
          <w:sz w:val="24"/>
          <w:szCs w:val="24"/>
        </w:rPr>
        <w:t>根据</w:t>
      </w:r>
      <w:r>
        <w:rPr>
          <w:rFonts w:ascii="Times New Roman" w:hAnsi="Times New Roman" w:eastAsia="宋体" w:cs="Times New Roman"/>
          <w:color w:val="FF0000"/>
          <w:sz w:val="24"/>
        </w:rPr>
        <w:t>《关于推进实施钢铁行业超低排放的意见》中内容：“推动现有钢铁企业超低排放改造，到2020年底前，重点区域（包括安徽省）钢铁企业超低排放改造取得明显进展，力争60%左右产能完成改造，有序推进其他地区钢铁企业超低排放改造工作；到2025年底前，重点区域钢铁企业超低排放改造基本完成，全国力争80%以上产能完成改造”。本次评价中提出芜湖新兴铸管需在2020年底前，完成厂区超低排放改造</w:t>
      </w:r>
      <w:r>
        <w:rPr>
          <w:rFonts w:hint="eastAsia" w:ascii="Times New Roman" w:hAnsi="Times New Roman" w:eastAsia="宋体" w:cs="Times New Roman"/>
          <w:color w:val="FF0000"/>
          <w:sz w:val="24"/>
          <w:lang w:eastAsia="zh-CN"/>
        </w:rPr>
        <w:t>，</w:t>
      </w:r>
      <w:r>
        <w:rPr>
          <w:rFonts w:hint="eastAsia" w:ascii="Times New Roman" w:hAnsi="Times New Roman" w:eastAsia="宋体" w:cs="Times New Roman"/>
          <w:color w:val="FF0000"/>
          <w:sz w:val="24"/>
        </w:rPr>
        <w:t>具体</w:t>
      </w:r>
      <w:r>
        <w:rPr>
          <w:rFonts w:ascii="Times New Roman" w:hAnsi="Times New Roman" w:eastAsia="宋体" w:cs="Times New Roman"/>
          <w:color w:val="FF0000"/>
          <w:sz w:val="24"/>
        </w:rPr>
        <w:t>整改措施见表</w:t>
      </w:r>
      <w:r>
        <w:rPr>
          <w:rFonts w:hint="eastAsia" w:ascii="Times New Roman" w:hAnsi="Times New Roman" w:eastAsia="宋体" w:cs="Times New Roman"/>
          <w:color w:val="FF0000"/>
          <w:sz w:val="24"/>
        </w:rPr>
        <w:t>3.4-6</w:t>
      </w:r>
      <w:r>
        <w:rPr>
          <w:rFonts w:hint="eastAsia" w:ascii="Times New Roman" w:hAnsi="Times New Roman" w:eastAsia="宋体" w:cs="Times New Roman"/>
          <w:color w:val="FF0000"/>
          <w:sz w:val="24"/>
          <w:lang w:eastAsia="zh-CN"/>
        </w:rPr>
        <w:t>所示</w:t>
      </w:r>
      <w:r>
        <w:rPr>
          <w:rFonts w:hint="eastAsia" w:ascii="Times New Roman" w:hAnsi="Times New Roman" w:eastAsia="宋体" w:cs="Times New Roman"/>
          <w:color w:val="FF0000"/>
          <w:sz w:val="24"/>
        </w:rPr>
        <w:t>。</w:t>
      </w:r>
      <w:r>
        <w:rPr>
          <w:rFonts w:hint="eastAsia" w:ascii="Times New Roman" w:hAnsi="Times New Roman" w:eastAsia="宋体" w:cs="Times New Roman"/>
          <w:color w:val="FF0000"/>
          <w:sz w:val="24"/>
          <w:lang w:eastAsia="zh-CN"/>
        </w:rPr>
        <w:t>整改后厂区污染物排放汇总表见表</w:t>
      </w:r>
      <w:r>
        <w:rPr>
          <w:rFonts w:hint="eastAsia" w:ascii="Times New Roman" w:hAnsi="Times New Roman" w:eastAsia="宋体" w:cs="Times New Roman"/>
          <w:color w:val="FF0000"/>
          <w:sz w:val="24"/>
          <w:lang w:val="en-US" w:eastAsia="zh-CN"/>
        </w:rPr>
        <w:t>3.4-7所示。</w:t>
      </w:r>
    </w:p>
    <w:p>
      <w:pPr>
        <w:pStyle w:val="2"/>
        <w:spacing w:after="0" w:line="360" w:lineRule="auto"/>
        <w:ind w:firstLine="480" w:firstLineChars="200"/>
        <w:rPr>
          <w:rFonts w:hint="eastAsia" w:ascii="Times New Roman" w:hAnsi="Times New Roman" w:eastAsia="宋体" w:cs="Times New Roman"/>
          <w:color w:val="FF0000"/>
          <w:sz w:val="24"/>
        </w:rPr>
      </w:pPr>
    </w:p>
    <w:p>
      <w:pPr>
        <w:pStyle w:val="2"/>
        <w:spacing w:after="0" w:line="360" w:lineRule="auto"/>
        <w:ind w:firstLine="480" w:firstLineChars="200"/>
        <w:rPr>
          <w:rFonts w:hint="eastAsia" w:ascii="Times New Roman" w:hAnsi="Times New Roman" w:eastAsia="宋体" w:cs="Times New Roman"/>
          <w:color w:val="FF0000"/>
          <w:sz w:val="24"/>
        </w:rPr>
      </w:pP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w:t>
      </w:r>
      <w:r>
        <w:rPr>
          <w:rFonts w:hint="eastAsia" w:ascii="Times New Roman" w:hAnsi="Times New Roman" w:eastAsia="黑体" w:cs="Times New Roman"/>
          <w:color w:val="FF0000"/>
          <w:sz w:val="24"/>
          <w:lang w:val="en-US" w:eastAsia="zh-CN"/>
        </w:rPr>
        <w:t>3.4-6</w:t>
      </w:r>
      <w:r>
        <w:rPr>
          <w:rFonts w:ascii="Times New Roman" w:hAnsi="Times New Roman" w:eastAsia="黑体" w:cs="Times New Roman"/>
          <w:color w:val="FF0000"/>
          <w:sz w:val="24"/>
        </w:rPr>
        <w:t xml:space="preserve">  厂区</w:t>
      </w:r>
      <w:r>
        <w:rPr>
          <w:rFonts w:hint="eastAsia" w:ascii="Times New Roman" w:hAnsi="Times New Roman" w:eastAsia="黑体" w:cs="Times New Roman"/>
          <w:color w:val="FF0000"/>
          <w:sz w:val="24"/>
          <w:lang w:eastAsia="zh-CN"/>
        </w:rPr>
        <w:t>超低排放改造计划</w:t>
      </w:r>
      <w:r>
        <w:rPr>
          <w:rFonts w:ascii="Times New Roman" w:hAnsi="Times New Roman" w:eastAsia="黑体" w:cs="Times New Roman"/>
          <w:color w:val="FF0000"/>
          <w:sz w:val="24"/>
        </w:rPr>
        <w:t>一览表</w:t>
      </w:r>
    </w:p>
    <w:tbl>
      <w:tblPr>
        <w:tblStyle w:val="21"/>
        <w:tblW w:w="14173" w:type="dxa"/>
        <w:jc w:val="center"/>
        <w:tblInd w:w="-9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578"/>
        <w:gridCol w:w="814"/>
        <w:gridCol w:w="1688"/>
        <w:gridCol w:w="2885"/>
        <w:gridCol w:w="3147"/>
        <w:gridCol w:w="1597"/>
        <w:gridCol w:w="1811"/>
        <w:gridCol w:w="165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5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序号</w:t>
            </w:r>
          </w:p>
        </w:tc>
        <w:tc>
          <w:tcPr>
            <w:tcW w:w="81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类别</w:t>
            </w: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工序或环节</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与超低排放的差距及问题</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已实施或规划实施的解决方案</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项目投资（万元）</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计划完成时间</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38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w:t>
            </w:r>
          </w:p>
        </w:tc>
        <w:tc>
          <w:tcPr>
            <w:tcW w:w="814"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有组织排放</w:t>
            </w: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焦炉烟囱</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烟气不能满足超低排放要求，基准氧含量8%条件下，颗粒物、二氧化硫、氮氧化物排放浓度分别执行10、30、150毫克/立方米</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焦炉烟气脱硫脱硝项目建设，项目已开始全工序试生产</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6000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2019年9月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3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发电锅炉烟囱</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烟气不能满足超低排放要求，基准氧含量3%条件下，颗粒物、二氧化硫、氮氧化物排放浓度分别执行5、35、50毫克/立方米</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对发电机组进行改造，正在对改造方案进行调研</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eastAsia" w:ascii="Times New Roman" w:hAnsi="Times New Roman" w:eastAsia="宋体" w:cs="Times New Roman"/>
                <w:i w:val="0"/>
                <w:color w:val="FF0000"/>
                <w:sz w:val="21"/>
                <w:szCs w:val="21"/>
                <w:u w:val="none"/>
                <w:lang w:val="en-US" w:eastAsia="zh-CN"/>
              </w:rPr>
            </w:pPr>
            <w:r>
              <w:rPr>
                <w:rFonts w:hint="eastAsia" w:ascii="Times New Roman" w:hAnsi="Times New Roman" w:eastAsia="宋体" w:cs="Times New Roman"/>
                <w:i w:val="0"/>
                <w:color w:val="FF0000"/>
                <w:sz w:val="21"/>
                <w:szCs w:val="21"/>
                <w:u w:val="none"/>
                <w:lang w:val="en-US" w:eastAsia="zh-CN"/>
              </w:rPr>
              <w:t>/</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待治理方案确定后确定项目投资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32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eastAsia" w:ascii="Times New Roman" w:hAnsi="Times New Roman" w:eastAsia="宋体" w:cs="Times New Roman"/>
                <w:i w:val="0"/>
                <w:color w:val="FF0000"/>
                <w:kern w:val="0"/>
                <w:sz w:val="21"/>
                <w:szCs w:val="21"/>
                <w:u w:val="none"/>
                <w:lang w:val="en-US" w:eastAsia="zh-CN" w:bidi="ar"/>
              </w:rPr>
              <w:t>3</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烧结机头</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不能达到超低排放要求，基准氧含量16%条件下，颗粒物、二氧化硫、氮氧化物排放浓度分别执行10、35、50毫克/立方米</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正在建设活性焦脱硫脱硝设施</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46000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2019年11月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eastAsia" w:ascii="Times New Roman" w:hAnsi="Times New Roman" w:eastAsia="宋体" w:cs="Times New Roman"/>
                <w:i w:val="0"/>
                <w:color w:val="FF0000"/>
                <w:kern w:val="0"/>
                <w:sz w:val="21"/>
                <w:szCs w:val="21"/>
                <w:u w:val="none"/>
                <w:lang w:val="en-US" w:eastAsia="zh-CN" w:bidi="ar"/>
              </w:rPr>
              <w:t>4</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炼铁-高炉热风炉</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未采用低氮燃烧技术，无脱硫设施，二氧化硫无法达到50毫克/立方米</w:t>
            </w:r>
          </w:p>
        </w:tc>
        <w:tc>
          <w:tcPr>
            <w:tcW w:w="3147"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已开展低氮燃烧技术调研</w:t>
            </w:r>
          </w:p>
        </w:tc>
        <w:tc>
          <w:tcPr>
            <w:tcW w:w="1597"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eastAsia" w:ascii="Times New Roman" w:hAnsi="Times New Roman" w:eastAsia="宋体" w:cs="Times New Roman"/>
                <w:i w:val="0"/>
                <w:color w:val="FF0000"/>
                <w:sz w:val="21"/>
                <w:szCs w:val="21"/>
                <w:u w:val="none"/>
                <w:lang w:val="en-US" w:eastAsia="zh-CN"/>
              </w:rPr>
            </w:pPr>
            <w:r>
              <w:rPr>
                <w:rFonts w:hint="eastAsia" w:ascii="Times New Roman" w:hAnsi="Times New Roman" w:eastAsia="宋体" w:cs="Times New Roman"/>
                <w:i w:val="0"/>
                <w:color w:val="FF0000"/>
                <w:sz w:val="21"/>
                <w:szCs w:val="21"/>
                <w:u w:val="none"/>
                <w:lang w:val="en-US" w:eastAsia="zh-CN"/>
              </w:rPr>
              <w:t>/</w:t>
            </w:r>
          </w:p>
        </w:tc>
        <w:tc>
          <w:tcPr>
            <w:tcW w:w="1811"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待治理方案确定后确定项目投资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56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eastAsia" w:ascii="Times New Roman" w:hAnsi="Times New Roman" w:eastAsia="宋体" w:cs="Times New Roman"/>
                <w:i w:val="0"/>
                <w:color w:val="FF0000"/>
                <w:kern w:val="0"/>
                <w:sz w:val="21"/>
                <w:szCs w:val="21"/>
                <w:u w:val="none"/>
                <w:lang w:val="en-US" w:eastAsia="zh-CN" w:bidi="ar"/>
              </w:rPr>
              <w:t>5</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轧钢-加热炉</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烟气不能满足超低排放要求，基准氧含量8%条件下，颗粒物、二氧化硫、氮氧化物排放浓度分别执行10、50、200毫克/立方米</w:t>
            </w:r>
          </w:p>
        </w:tc>
        <w:tc>
          <w:tcPr>
            <w:tcW w:w="3147"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597"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81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53"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2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eastAsia" w:ascii="Times New Roman" w:hAnsi="Times New Roman" w:eastAsia="宋体" w:cs="Times New Roman"/>
                <w:i w:val="0"/>
                <w:color w:val="FF0000"/>
                <w:kern w:val="0"/>
                <w:sz w:val="21"/>
                <w:szCs w:val="21"/>
                <w:u w:val="none"/>
                <w:lang w:val="en-US" w:eastAsia="zh-CN" w:bidi="ar"/>
              </w:rPr>
              <w:t>6</w:t>
            </w:r>
          </w:p>
        </w:tc>
        <w:tc>
          <w:tcPr>
            <w:tcW w:w="814"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无组织排放</w:t>
            </w: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焦化-生产工艺过程-煤气净化系统VOCs治理</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炼焦煤气净化系统冷鼓各类贮槽（罐）及其他区域焦油、苯等贮槽（罐）的有机废气未接入压力平衡系统或收集净化处理</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回收VOCs治理项目方案考察调研</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1500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2020年10月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8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eastAsia" w:ascii="Times New Roman" w:hAnsi="Times New Roman" w:eastAsia="宋体" w:cs="Times New Roman"/>
                <w:i w:val="0"/>
                <w:color w:val="FF0000"/>
                <w:kern w:val="0"/>
                <w:sz w:val="21"/>
                <w:szCs w:val="21"/>
                <w:u w:val="none"/>
                <w:lang w:val="en-US" w:eastAsia="zh-CN" w:bidi="ar"/>
              </w:rPr>
              <w:t>7</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焦化-生产工艺过程-废水区域</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酚氰废水预处理设施（调节池、气浮池、隔油池）未加盖并配备废气收集处理设施</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废水恶臭气体治理项目方案考察调研</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500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2020年6月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82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eastAsia" w:ascii="Times New Roman" w:hAnsi="Times New Roman" w:eastAsia="宋体" w:cs="Times New Roman"/>
                <w:i w:val="0"/>
                <w:color w:val="FF0000"/>
                <w:kern w:val="0"/>
                <w:sz w:val="21"/>
                <w:szCs w:val="21"/>
                <w:u w:val="none"/>
                <w:lang w:val="en-US" w:eastAsia="zh-CN" w:bidi="ar"/>
              </w:rPr>
              <w:t>8</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焦化-生产工艺过程-煤气净化系统</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未开展设备和管线泄漏检测与修复（LDAR）工作。</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调研方案进行治理</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eastAsia" w:ascii="Times New Roman" w:hAnsi="Times New Roman" w:eastAsia="宋体" w:cs="Times New Roman"/>
                <w:i w:val="0"/>
                <w:color w:val="FF0000"/>
                <w:sz w:val="21"/>
                <w:szCs w:val="21"/>
                <w:u w:val="none"/>
                <w:lang w:val="en-US" w:eastAsia="zh-CN"/>
              </w:rPr>
            </w:pPr>
            <w:r>
              <w:rPr>
                <w:rFonts w:hint="eastAsia" w:ascii="Times New Roman" w:hAnsi="Times New Roman" w:eastAsia="宋体" w:cs="Times New Roman"/>
                <w:i w:val="0"/>
                <w:color w:val="FF0000"/>
                <w:sz w:val="21"/>
                <w:szCs w:val="21"/>
                <w:u w:val="none"/>
                <w:lang w:val="en-US" w:eastAsia="zh-CN"/>
              </w:rPr>
              <w:t>/</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待治理方案确定后确定项目投资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68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eastAsia" w:ascii="Times New Roman" w:hAnsi="Times New Roman" w:eastAsia="宋体" w:cs="Times New Roman"/>
                <w:i w:val="0"/>
                <w:color w:val="FF0000"/>
                <w:kern w:val="0"/>
                <w:sz w:val="21"/>
                <w:szCs w:val="21"/>
                <w:u w:val="none"/>
                <w:lang w:val="en-US" w:eastAsia="zh-CN" w:bidi="ar"/>
              </w:rPr>
              <w:t>9</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炼铁-生产工艺过程-高炉炉顶煤气回收</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无回收或除尘设备，均压放散和检修放散时有扬尘</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增加回收设备</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1000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w:t>
            </w:r>
            <w:r>
              <w:rPr>
                <w:rFonts w:hint="eastAsia" w:ascii="Times New Roman" w:hAnsi="Times New Roman" w:eastAsia="宋体" w:cs="Times New Roman"/>
                <w:i w:val="0"/>
                <w:color w:val="FF0000"/>
                <w:kern w:val="0"/>
                <w:sz w:val="21"/>
                <w:szCs w:val="21"/>
                <w:u w:val="none"/>
                <w:lang w:val="en-US" w:eastAsia="zh-CN" w:bidi="ar"/>
              </w:rPr>
              <w:t>0</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物料存放-原料场</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开放式料场，不符合超低排放要求</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新增料场整体大棚</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22000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8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w:t>
            </w:r>
            <w:r>
              <w:rPr>
                <w:rFonts w:hint="eastAsia" w:ascii="Times New Roman" w:hAnsi="Times New Roman" w:eastAsia="宋体" w:cs="Times New Roman"/>
                <w:i w:val="0"/>
                <w:color w:val="FF0000"/>
                <w:kern w:val="0"/>
                <w:sz w:val="21"/>
                <w:szCs w:val="21"/>
                <w:u w:val="none"/>
                <w:lang w:val="en-US" w:eastAsia="zh-CN" w:bidi="ar"/>
              </w:rPr>
              <w:t>1</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炼钢-生产工艺过程-渣场废钢切割</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无除尘设施</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改造恢复除尘设施</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2020年7月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bl>
    <w:p>
      <w:pPr>
        <w:pStyle w:val="2"/>
        <w:spacing w:after="0"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 xml:space="preserve">表3.4-7  </w:t>
      </w:r>
      <w:r>
        <w:rPr>
          <w:rFonts w:hint="eastAsia" w:ascii="Times New Roman" w:hAnsi="Times New Roman" w:eastAsia="黑体" w:cs="Times New Roman"/>
          <w:color w:val="FF0000"/>
          <w:sz w:val="24"/>
        </w:rPr>
        <w:t>整改</w:t>
      </w:r>
      <w:r>
        <w:rPr>
          <w:rFonts w:ascii="Times New Roman" w:hAnsi="Times New Roman" w:eastAsia="黑体" w:cs="Times New Roman"/>
          <w:color w:val="FF0000"/>
          <w:sz w:val="24"/>
        </w:rPr>
        <w:t>措施实施后各污染物排放变化情况汇总一览表（单位：t/a）</w:t>
      </w:r>
    </w:p>
    <w:tbl>
      <w:tblPr>
        <w:tblStyle w:val="22"/>
        <w:tblW w:w="141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134"/>
        <w:gridCol w:w="995"/>
        <w:gridCol w:w="1134"/>
        <w:gridCol w:w="1134"/>
        <w:gridCol w:w="1134"/>
        <w:gridCol w:w="1134"/>
        <w:gridCol w:w="1134"/>
        <w:gridCol w:w="995"/>
        <w:gridCol w:w="1273"/>
        <w:gridCol w:w="1134"/>
        <w:gridCol w:w="1287"/>
        <w:gridCol w:w="8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restart"/>
            <w:vAlign w:val="center"/>
          </w:tcPr>
          <w:p>
            <w:pPr>
              <w:pStyle w:val="2"/>
              <w:spacing w:after="0"/>
              <w:jc w:val="center"/>
              <w:rPr>
                <w:rFonts w:ascii="Times New Roman" w:hAnsi="Times New Roman" w:eastAsia="宋体" w:cs="Times New Roman"/>
                <w:b/>
                <w:color w:val="FF0000"/>
                <w:sz w:val="18"/>
                <w:szCs w:val="21"/>
              </w:rPr>
            </w:pPr>
            <w:r>
              <w:rPr>
                <w:rFonts w:ascii="Times New Roman" w:hAnsi="Times New Roman" w:eastAsia="宋体" w:cs="Times New Roman"/>
                <w:b/>
                <w:color w:val="FF0000"/>
                <w:sz w:val="18"/>
                <w:szCs w:val="21"/>
              </w:rPr>
              <w:t>污染类别</w:t>
            </w:r>
          </w:p>
        </w:tc>
        <w:tc>
          <w:tcPr>
            <w:tcW w:w="1134" w:type="dxa"/>
            <w:vMerge w:val="restart"/>
            <w:vAlign w:val="center"/>
          </w:tcPr>
          <w:p>
            <w:pPr>
              <w:pStyle w:val="2"/>
              <w:spacing w:after="0"/>
              <w:jc w:val="center"/>
              <w:rPr>
                <w:rFonts w:ascii="Times New Roman" w:hAnsi="Times New Roman" w:eastAsia="宋体" w:cs="Times New Roman"/>
                <w:b/>
                <w:color w:val="FF0000"/>
                <w:sz w:val="18"/>
                <w:szCs w:val="21"/>
              </w:rPr>
            </w:pPr>
            <w:r>
              <w:rPr>
                <w:rFonts w:ascii="Times New Roman" w:hAnsi="Times New Roman" w:eastAsia="宋体" w:cs="Times New Roman"/>
                <w:b/>
                <w:color w:val="FF0000"/>
                <w:sz w:val="18"/>
                <w:szCs w:val="21"/>
              </w:rPr>
              <w:t>项目</w:t>
            </w:r>
          </w:p>
        </w:tc>
        <w:tc>
          <w:tcPr>
            <w:tcW w:w="11354" w:type="dxa"/>
            <w:gridSpan w:val="10"/>
            <w:vAlign w:val="center"/>
          </w:tcPr>
          <w:p>
            <w:pPr>
              <w:pStyle w:val="2"/>
              <w:spacing w:after="0"/>
              <w:jc w:val="center"/>
              <w:rPr>
                <w:rFonts w:ascii="Times New Roman" w:hAnsi="Times New Roman" w:eastAsia="宋体" w:cs="Times New Roman"/>
                <w:b/>
                <w:color w:val="FF0000"/>
                <w:sz w:val="18"/>
                <w:szCs w:val="21"/>
              </w:rPr>
            </w:pPr>
            <w:r>
              <w:rPr>
                <w:rFonts w:ascii="Times New Roman" w:hAnsi="Times New Roman" w:eastAsia="宋体" w:cs="Times New Roman"/>
                <w:b/>
                <w:color w:val="FF0000"/>
                <w:sz w:val="18"/>
                <w:szCs w:val="21"/>
              </w:rPr>
              <w:t>排放量</w:t>
            </w:r>
          </w:p>
        </w:tc>
        <w:tc>
          <w:tcPr>
            <w:tcW w:w="873" w:type="dxa"/>
            <w:vMerge w:val="restart"/>
            <w:vAlign w:val="center"/>
          </w:tcPr>
          <w:p>
            <w:pPr>
              <w:pStyle w:val="2"/>
              <w:spacing w:after="0"/>
              <w:jc w:val="center"/>
              <w:rPr>
                <w:rFonts w:ascii="Times New Roman" w:hAnsi="Times New Roman" w:eastAsia="宋体" w:cs="Times New Roman"/>
                <w:b/>
                <w:color w:val="FF0000"/>
                <w:sz w:val="18"/>
                <w:szCs w:val="21"/>
              </w:rPr>
            </w:pPr>
            <w:r>
              <w:rPr>
                <w:rFonts w:ascii="Times New Roman" w:hAnsi="Times New Roman" w:eastAsia="宋体" w:cs="Times New Roman"/>
                <w:b/>
                <w:color w:val="FF0000"/>
                <w:sz w:val="18"/>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Merge w:val="continue"/>
            <w:vAlign w:val="center"/>
          </w:tcPr>
          <w:p>
            <w:pPr>
              <w:pStyle w:val="2"/>
              <w:spacing w:after="0"/>
              <w:jc w:val="center"/>
              <w:rPr>
                <w:rFonts w:ascii="Times New Roman" w:hAnsi="Times New Roman" w:eastAsia="宋体" w:cs="Times New Roman"/>
                <w:color w:val="FF0000"/>
                <w:sz w:val="18"/>
                <w:szCs w:val="21"/>
              </w:rPr>
            </w:pPr>
          </w:p>
        </w:tc>
        <w:tc>
          <w:tcPr>
            <w:tcW w:w="2129" w:type="dxa"/>
            <w:gridSpan w:val="2"/>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现状评价阶段</w:t>
            </w:r>
          </w:p>
        </w:tc>
        <w:tc>
          <w:tcPr>
            <w:tcW w:w="2268" w:type="dxa"/>
            <w:gridSpan w:val="2"/>
            <w:vAlign w:val="center"/>
          </w:tcPr>
          <w:p>
            <w:pPr>
              <w:pStyle w:val="2"/>
              <w:spacing w:after="0"/>
              <w:jc w:val="center"/>
              <w:rPr>
                <w:rFonts w:ascii="Times New Roman" w:hAnsi="Times New Roman" w:eastAsia="宋体" w:cs="Times New Roman"/>
                <w:b/>
                <w:color w:val="FF0000"/>
                <w:sz w:val="18"/>
                <w:szCs w:val="21"/>
              </w:rPr>
            </w:pPr>
            <w:r>
              <w:rPr>
                <w:rFonts w:ascii="Times New Roman" w:hAnsi="Times New Roman" w:eastAsia="宋体" w:cs="Times New Roman"/>
                <w:b/>
                <w:color w:val="FF0000"/>
                <w:sz w:val="18"/>
                <w:szCs w:val="21"/>
              </w:rPr>
              <w:t>后评价阶段</w:t>
            </w:r>
          </w:p>
        </w:tc>
        <w:tc>
          <w:tcPr>
            <w:tcW w:w="2268" w:type="dxa"/>
            <w:gridSpan w:val="2"/>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落实整改</w:t>
            </w:r>
            <w:r>
              <w:rPr>
                <w:rFonts w:ascii="Times New Roman" w:hAnsi="Times New Roman" w:eastAsia="宋体" w:cs="Times New Roman"/>
                <w:b/>
                <w:color w:val="FF0000"/>
                <w:sz w:val="18"/>
                <w:szCs w:val="21"/>
              </w:rPr>
              <w:t>措施后</w:t>
            </w:r>
          </w:p>
        </w:tc>
        <w:tc>
          <w:tcPr>
            <w:tcW w:w="2268" w:type="dxa"/>
            <w:gridSpan w:val="2"/>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后评价</w:t>
            </w:r>
            <w:r>
              <w:rPr>
                <w:rFonts w:ascii="Times New Roman" w:hAnsi="Times New Roman" w:eastAsia="宋体" w:cs="Times New Roman"/>
                <w:b/>
                <w:color w:val="FF0000"/>
                <w:sz w:val="18"/>
                <w:szCs w:val="21"/>
              </w:rPr>
              <w:t>阶段与现状评价阶段相比增减量</w:t>
            </w:r>
          </w:p>
        </w:tc>
        <w:tc>
          <w:tcPr>
            <w:tcW w:w="2421" w:type="dxa"/>
            <w:gridSpan w:val="2"/>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b/>
                <w:color w:val="FF0000"/>
                <w:sz w:val="18"/>
                <w:szCs w:val="21"/>
              </w:rPr>
              <w:t>后评价</w:t>
            </w:r>
            <w:r>
              <w:rPr>
                <w:rFonts w:ascii="Times New Roman" w:hAnsi="Times New Roman" w:eastAsia="宋体" w:cs="Times New Roman"/>
                <w:b/>
                <w:color w:val="FF0000"/>
                <w:sz w:val="18"/>
                <w:szCs w:val="21"/>
              </w:rPr>
              <w:t>阶段与</w:t>
            </w:r>
            <w:r>
              <w:rPr>
                <w:rFonts w:hint="eastAsia" w:ascii="Times New Roman" w:hAnsi="Times New Roman" w:eastAsia="宋体" w:cs="Times New Roman"/>
                <w:b/>
                <w:color w:val="FF0000"/>
                <w:sz w:val="18"/>
                <w:szCs w:val="21"/>
              </w:rPr>
              <w:t>落实整改</w:t>
            </w:r>
            <w:r>
              <w:rPr>
                <w:rFonts w:ascii="Times New Roman" w:hAnsi="Times New Roman" w:eastAsia="宋体" w:cs="Times New Roman"/>
                <w:b/>
                <w:color w:val="FF0000"/>
                <w:sz w:val="18"/>
                <w:szCs w:val="21"/>
              </w:rPr>
              <w:t>措施后相比增减量</w:t>
            </w:r>
          </w:p>
        </w:tc>
        <w:tc>
          <w:tcPr>
            <w:tcW w:w="873" w:type="dxa"/>
            <w:vMerge w:val="continue"/>
            <w:vAlign w:val="center"/>
          </w:tcPr>
          <w:p>
            <w:pPr>
              <w:pStyle w:val="2"/>
              <w:spacing w:after="0"/>
              <w:jc w:val="center"/>
              <w:rPr>
                <w:rFonts w:ascii="Times New Roman" w:hAnsi="Times New Roman" w:eastAsia="宋体" w:cs="Times New Roman"/>
                <w:color w:val="FF0000"/>
                <w:sz w:val="18"/>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Merge w:val="continue"/>
            <w:vAlign w:val="center"/>
          </w:tcPr>
          <w:p>
            <w:pPr>
              <w:pStyle w:val="2"/>
              <w:spacing w:after="0"/>
              <w:jc w:val="center"/>
              <w:rPr>
                <w:rFonts w:ascii="Times New Roman" w:hAnsi="Times New Roman" w:eastAsia="宋体" w:cs="Times New Roman"/>
                <w:color w:val="FF0000"/>
                <w:sz w:val="18"/>
                <w:szCs w:val="21"/>
              </w:rPr>
            </w:pPr>
          </w:p>
        </w:tc>
        <w:tc>
          <w:tcPr>
            <w:tcW w:w="995"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实际</w:t>
            </w:r>
            <w:r>
              <w:rPr>
                <w:rFonts w:ascii="Times New Roman" w:hAnsi="Times New Roman" w:eastAsia="宋体" w:cs="Times New Roman"/>
                <w:b/>
                <w:color w:val="FF0000"/>
                <w:sz w:val="18"/>
                <w:szCs w:val="21"/>
              </w:rPr>
              <w:t>产能</w:t>
            </w:r>
          </w:p>
        </w:tc>
        <w:tc>
          <w:tcPr>
            <w:tcW w:w="1134"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产能满负荷</w:t>
            </w:r>
          </w:p>
        </w:tc>
        <w:tc>
          <w:tcPr>
            <w:tcW w:w="1134"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实际</w:t>
            </w:r>
            <w:r>
              <w:rPr>
                <w:rFonts w:ascii="Times New Roman" w:hAnsi="Times New Roman" w:eastAsia="宋体" w:cs="Times New Roman"/>
                <w:b/>
                <w:color w:val="FF0000"/>
                <w:sz w:val="18"/>
                <w:szCs w:val="21"/>
              </w:rPr>
              <w:t>产能</w:t>
            </w:r>
          </w:p>
        </w:tc>
        <w:tc>
          <w:tcPr>
            <w:tcW w:w="1134"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产能满负荷</w:t>
            </w:r>
          </w:p>
        </w:tc>
        <w:tc>
          <w:tcPr>
            <w:tcW w:w="1134"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实际</w:t>
            </w:r>
            <w:r>
              <w:rPr>
                <w:rFonts w:ascii="Times New Roman" w:hAnsi="Times New Roman" w:eastAsia="宋体" w:cs="Times New Roman"/>
                <w:b/>
                <w:color w:val="FF0000"/>
                <w:sz w:val="18"/>
                <w:szCs w:val="21"/>
              </w:rPr>
              <w:t>产能</w:t>
            </w:r>
          </w:p>
        </w:tc>
        <w:tc>
          <w:tcPr>
            <w:tcW w:w="1134"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产能满负荷</w:t>
            </w:r>
          </w:p>
        </w:tc>
        <w:tc>
          <w:tcPr>
            <w:tcW w:w="995"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实际</w:t>
            </w:r>
            <w:r>
              <w:rPr>
                <w:rFonts w:ascii="Times New Roman" w:hAnsi="Times New Roman" w:eastAsia="宋体" w:cs="Times New Roman"/>
                <w:b/>
                <w:color w:val="FF0000"/>
                <w:sz w:val="18"/>
                <w:szCs w:val="21"/>
              </w:rPr>
              <w:t>产能</w:t>
            </w:r>
          </w:p>
        </w:tc>
        <w:tc>
          <w:tcPr>
            <w:tcW w:w="1273"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产能满负荷</w:t>
            </w:r>
          </w:p>
        </w:tc>
        <w:tc>
          <w:tcPr>
            <w:tcW w:w="1134"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实际</w:t>
            </w:r>
            <w:r>
              <w:rPr>
                <w:rFonts w:ascii="Times New Roman" w:hAnsi="Times New Roman" w:eastAsia="宋体" w:cs="Times New Roman"/>
                <w:b/>
                <w:color w:val="FF0000"/>
                <w:sz w:val="18"/>
                <w:szCs w:val="21"/>
              </w:rPr>
              <w:t>产能</w:t>
            </w:r>
          </w:p>
        </w:tc>
        <w:tc>
          <w:tcPr>
            <w:tcW w:w="1287" w:type="dxa"/>
            <w:vAlign w:val="center"/>
          </w:tcPr>
          <w:p>
            <w:pPr>
              <w:pStyle w:val="2"/>
              <w:spacing w:after="0"/>
              <w:jc w:val="center"/>
              <w:rPr>
                <w:rFonts w:ascii="Times New Roman" w:hAnsi="Times New Roman" w:eastAsia="宋体" w:cs="Times New Roman"/>
                <w:b/>
                <w:color w:val="FF0000"/>
                <w:sz w:val="18"/>
                <w:szCs w:val="21"/>
              </w:rPr>
            </w:pPr>
            <w:r>
              <w:rPr>
                <w:rFonts w:hint="eastAsia" w:ascii="Times New Roman" w:hAnsi="Times New Roman" w:eastAsia="宋体" w:cs="Times New Roman"/>
                <w:b/>
                <w:color w:val="FF0000"/>
                <w:sz w:val="18"/>
                <w:szCs w:val="21"/>
              </w:rPr>
              <w:t>产能满负荷</w:t>
            </w:r>
          </w:p>
        </w:tc>
        <w:tc>
          <w:tcPr>
            <w:tcW w:w="873" w:type="dxa"/>
            <w:vAlign w:val="center"/>
          </w:tcPr>
          <w:p>
            <w:pPr>
              <w:pStyle w:val="2"/>
              <w:spacing w:after="0"/>
              <w:jc w:val="center"/>
              <w:rPr>
                <w:rFonts w:ascii="Times New Roman" w:hAnsi="Times New Roman" w:eastAsia="宋体" w:cs="Times New Roman"/>
                <w:color w:val="FF0000"/>
                <w:sz w:val="18"/>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restart"/>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废气</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烟/粉尘</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1456.86</w:t>
            </w:r>
          </w:p>
        </w:tc>
        <w:tc>
          <w:tcPr>
            <w:tcW w:w="1134" w:type="dxa"/>
            <w:vAlign w:val="center"/>
          </w:tcPr>
          <w:p>
            <w:pPr>
              <w:widowControl/>
              <w:jc w:val="center"/>
              <w:rPr>
                <w:rFonts w:ascii="Times New Roman" w:hAnsi="Times New Roman" w:eastAsia="宋体" w:cs="宋体"/>
                <w:color w:val="FF0000"/>
                <w:kern w:val="0"/>
                <w:sz w:val="18"/>
              </w:rPr>
            </w:pPr>
            <w:r>
              <w:rPr>
                <w:rFonts w:hint="eastAsia" w:ascii="Times New Roman" w:hAnsi="Times New Roman" w:eastAsia="宋体"/>
                <w:color w:val="FF0000"/>
                <w:sz w:val="18"/>
              </w:rPr>
              <w:t>1521.565</w:t>
            </w:r>
          </w:p>
        </w:tc>
        <w:tc>
          <w:tcPr>
            <w:tcW w:w="1134" w:type="dxa"/>
            <w:vAlign w:val="center"/>
          </w:tcPr>
          <w:p>
            <w:pPr>
              <w:widowControl/>
              <w:jc w:val="right"/>
              <w:rPr>
                <w:rFonts w:ascii="Times New Roman" w:hAnsi="Times New Roman" w:eastAsia="宋体" w:cs="宋体"/>
                <w:color w:val="FF0000"/>
                <w:kern w:val="0"/>
                <w:sz w:val="18"/>
                <w:szCs w:val="18"/>
              </w:rPr>
            </w:pPr>
            <w:r>
              <w:rPr>
                <w:rFonts w:hint="eastAsia" w:ascii="Times New Roman" w:hAnsi="Times New Roman" w:eastAsia="宋体"/>
                <w:color w:val="FF0000"/>
                <w:sz w:val="18"/>
                <w:szCs w:val="18"/>
              </w:rPr>
              <w:t>1560.382</w:t>
            </w:r>
          </w:p>
        </w:tc>
        <w:tc>
          <w:tcPr>
            <w:tcW w:w="1134" w:type="dxa"/>
            <w:vAlign w:val="center"/>
          </w:tcPr>
          <w:p>
            <w:pPr>
              <w:widowControl/>
              <w:jc w:val="center"/>
              <w:rPr>
                <w:rFonts w:ascii="Times New Roman" w:hAnsi="Times New Roman" w:eastAsia="宋体" w:cs="宋体"/>
                <w:color w:val="FF0000"/>
                <w:kern w:val="0"/>
                <w:sz w:val="18"/>
              </w:rPr>
            </w:pPr>
            <w:r>
              <w:rPr>
                <w:rFonts w:ascii="Times New Roman" w:hAnsi="Times New Roman" w:eastAsia="宋体" w:cs="宋体"/>
                <w:color w:val="FF0000"/>
                <w:kern w:val="0"/>
                <w:sz w:val="18"/>
              </w:rPr>
              <w:t>1574.697</w:t>
            </w:r>
          </w:p>
        </w:tc>
        <w:tc>
          <w:tcPr>
            <w:tcW w:w="1134" w:type="dxa"/>
            <w:vAlign w:val="center"/>
          </w:tcPr>
          <w:p>
            <w:pPr>
              <w:widowControl/>
              <w:jc w:val="center"/>
              <w:rPr>
                <w:rFonts w:ascii="Times New Roman" w:hAnsi="Times New Roman" w:eastAsia="宋体" w:cs="宋体"/>
                <w:color w:val="FF0000"/>
                <w:kern w:val="0"/>
                <w:sz w:val="18"/>
                <w:szCs w:val="18"/>
              </w:rPr>
            </w:pPr>
            <w:r>
              <w:rPr>
                <w:rFonts w:hint="eastAsia" w:ascii="Times New Roman" w:hAnsi="Times New Roman" w:eastAsia="宋体"/>
                <w:color w:val="FF0000"/>
                <w:sz w:val="18"/>
                <w:szCs w:val="18"/>
              </w:rPr>
              <w:t>546.134</w:t>
            </w:r>
          </w:p>
        </w:tc>
        <w:tc>
          <w:tcPr>
            <w:tcW w:w="1134" w:type="dxa"/>
            <w:vAlign w:val="center"/>
          </w:tcPr>
          <w:p>
            <w:pPr>
              <w:widowControl/>
              <w:jc w:val="center"/>
              <w:rPr>
                <w:rFonts w:ascii="Times New Roman" w:hAnsi="Times New Roman" w:eastAsia="宋体" w:cs="宋体"/>
                <w:color w:val="FF0000"/>
                <w:kern w:val="0"/>
                <w:sz w:val="18"/>
                <w:szCs w:val="18"/>
              </w:rPr>
            </w:pPr>
            <w:r>
              <w:rPr>
                <w:rFonts w:hint="eastAsia" w:ascii="Times New Roman" w:hAnsi="Times New Roman" w:eastAsia="宋体"/>
                <w:color w:val="FF0000"/>
                <w:sz w:val="18"/>
                <w:szCs w:val="18"/>
              </w:rPr>
              <w:t>551.144</w:t>
            </w:r>
          </w:p>
        </w:tc>
        <w:tc>
          <w:tcPr>
            <w:tcW w:w="995" w:type="dxa"/>
            <w:vAlign w:val="center"/>
          </w:tcPr>
          <w:p>
            <w:pPr>
              <w:widowControl/>
              <w:jc w:val="center"/>
              <w:rPr>
                <w:rFonts w:ascii="Times New Roman" w:hAnsi="Times New Roman" w:eastAsia="宋体" w:cs="宋体"/>
                <w:color w:val="FF0000"/>
                <w:kern w:val="0"/>
                <w:sz w:val="18"/>
                <w:szCs w:val="21"/>
              </w:rPr>
            </w:pPr>
            <w:r>
              <w:rPr>
                <w:rFonts w:ascii="Times New Roman" w:hAnsi="Times New Roman" w:eastAsia="宋体"/>
                <w:color w:val="FF0000"/>
                <w:sz w:val="18"/>
                <w:szCs w:val="21"/>
              </w:rPr>
              <w:t>+</w:t>
            </w:r>
            <w:r>
              <w:rPr>
                <w:rFonts w:hint="eastAsia" w:ascii="Times New Roman" w:hAnsi="Times New Roman" w:eastAsia="宋体"/>
                <w:color w:val="FF0000"/>
                <w:sz w:val="18"/>
                <w:szCs w:val="21"/>
              </w:rPr>
              <w:t>103.522</w:t>
            </w:r>
          </w:p>
        </w:tc>
        <w:tc>
          <w:tcPr>
            <w:tcW w:w="1273" w:type="dxa"/>
            <w:vAlign w:val="center"/>
          </w:tcPr>
          <w:p>
            <w:pPr>
              <w:widowControl/>
              <w:jc w:val="center"/>
              <w:rPr>
                <w:rFonts w:ascii="Times New Roman" w:hAnsi="Times New Roman" w:eastAsia="宋体" w:cs="宋体"/>
                <w:color w:val="FF0000"/>
                <w:kern w:val="0"/>
                <w:sz w:val="18"/>
              </w:rPr>
            </w:pPr>
            <w:r>
              <w:rPr>
                <w:rFonts w:ascii="Times New Roman" w:hAnsi="Times New Roman" w:eastAsia="宋体"/>
                <w:color w:val="FF0000"/>
                <w:sz w:val="18"/>
              </w:rPr>
              <w:t>+</w:t>
            </w:r>
            <w:r>
              <w:rPr>
                <w:rFonts w:hint="eastAsia" w:ascii="Times New Roman" w:hAnsi="Times New Roman" w:eastAsia="宋体"/>
                <w:color w:val="FF0000"/>
                <w:sz w:val="18"/>
              </w:rPr>
              <w:t>53.132</w:t>
            </w:r>
          </w:p>
        </w:tc>
        <w:tc>
          <w:tcPr>
            <w:tcW w:w="1134" w:type="dxa"/>
            <w:vAlign w:val="center"/>
          </w:tcPr>
          <w:p>
            <w:pPr>
              <w:widowControl/>
              <w:jc w:val="center"/>
              <w:rPr>
                <w:rFonts w:ascii="Times New Roman" w:hAnsi="Times New Roman" w:eastAsia="宋体" w:cs="宋体"/>
                <w:color w:val="FF0000"/>
                <w:kern w:val="0"/>
                <w:sz w:val="18"/>
                <w:szCs w:val="18"/>
              </w:rPr>
            </w:pPr>
            <w:r>
              <w:rPr>
                <w:rFonts w:hint="eastAsia" w:ascii="Times New Roman" w:hAnsi="Times New Roman" w:eastAsia="宋体"/>
                <w:color w:val="FF0000"/>
                <w:sz w:val="18"/>
                <w:szCs w:val="18"/>
              </w:rPr>
              <w:t>-1014.25</w:t>
            </w:r>
          </w:p>
        </w:tc>
        <w:tc>
          <w:tcPr>
            <w:tcW w:w="1287" w:type="dxa"/>
            <w:vAlign w:val="center"/>
          </w:tcPr>
          <w:p>
            <w:pPr>
              <w:widowControl/>
              <w:jc w:val="center"/>
              <w:rPr>
                <w:rFonts w:ascii="Times New Roman" w:hAnsi="Times New Roman" w:eastAsia="宋体" w:cs="宋体"/>
                <w:color w:val="FF0000"/>
                <w:kern w:val="0"/>
                <w:sz w:val="18"/>
                <w:szCs w:val="18"/>
              </w:rPr>
            </w:pPr>
            <w:r>
              <w:rPr>
                <w:rFonts w:hint="eastAsia" w:ascii="Times New Roman" w:hAnsi="Times New Roman" w:eastAsia="宋体"/>
                <w:color w:val="FF0000"/>
                <w:sz w:val="18"/>
                <w:szCs w:val="18"/>
              </w:rPr>
              <w:t>-1023.55</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SO</w:t>
            </w:r>
            <w:r>
              <w:rPr>
                <w:rFonts w:ascii="Times New Roman" w:hAnsi="Times New Roman" w:eastAsia="宋体" w:cs="Times New Roman"/>
                <w:color w:val="FF0000"/>
                <w:sz w:val="18"/>
                <w:vertAlign w:val="subscript"/>
              </w:rPr>
              <w:t>2</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994.69</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1038.868</w:t>
            </w:r>
          </w:p>
        </w:tc>
        <w:tc>
          <w:tcPr>
            <w:tcW w:w="1134" w:type="dxa"/>
            <w:vAlign w:val="center"/>
          </w:tcPr>
          <w:p>
            <w:pPr>
              <w:jc w:val="right"/>
              <w:rPr>
                <w:rFonts w:hint="eastAsia" w:ascii="Times New Roman" w:hAnsi="Times New Roman" w:eastAsia="宋体"/>
                <w:color w:val="FF0000"/>
                <w:sz w:val="18"/>
                <w:szCs w:val="18"/>
              </w:rPr>
            </w:pPr>
            <w:r>
              <w:rPr>
                <w:rFonts w:hint="eastAsia" w:ascii="Times New Roman" w:hAnsi="Times New Roman" w:eastAsia="宋体"/>
                <w:color w:val="FF0000"/>
                <w:sz w:val="18"/>
                <w:szCs w:val="18"/>
              </w:rPr>
              <w:t>1065.371</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1075.145</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639.223</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645.087</w:t>
            </w:r>
          </w:p>
        </w:tc>
        <w:tc>
          <w:tcPr>
            <w:tcW w:w="995" w:type="dxa"/>
            <w:vAlign w:val="center"/>
          </w:tcPr>
          <w:p>
            <w:pPr>
              <w:jc w:val="center"/>
              <w:rPr>
                <w:rFonts w:hint="eastAsia" w:ascii="Times New Roman" w:hAnsi="Times New Roman" w:eastAsia="宋体"/>
                <w:color w:val="FF0000"/>
                <w:sz w:val="18"/>
                <w:szCs w:val="21"/>
              </w:rPr>
            </w:pPr>
            <w:r>
              <w:rPr>
                <w:rFonts w:ascii="Times New Roman" w:hAnsi="Times New Roman" w:eastAsia="宋体"/>
                <w:color w:val="FF0000"/>
                <w:sz w:val="18"/>
                <w:szCs w:val="21"/>
              </w:rPr>
              <w:t>+</w:t>
            </w:r>
            <w:r>
              <w:rPr>
                <w:rFonts w:hint="eastAsia" w:ascii="Times New Roman" w:hAnsi="Times New Roman" w:eastAsia="宋体"/>
                <w:color w:val="FF0000"/>
                <w:sz w:val="18"/>
                <w:szCs w:val="21"/>
              </w:rPr>
              <w:t>70.681</w:t>
            </w:r>
          </w:p>
        </w:tc>
        <w:tc>
          <w:tcPr>
            <w:tcW w:w="1273" w:type="dxa"/>
            <w:vAlign w:val="center"/>
          </w:tcPr>
          <w:p>
            <w:pPr>
              <w:jc w:val="center"/>
              <w:rPr>
                <w:rFonts w:hint="eastAsia"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36.277</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-426.148</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-430.058</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NO</w:t>
            </w:r>
            <w:r>
              <w:rPr>
                <w:rFonts w:ascii="Times New Roman" w:hAnsi="Times New Roman" w:eastAsia="宋体" w:cs="Times New Roman"/>
                <w:color w:val="FF0000"/>
                <w:sz w:val="18"/>
                <w:vertAlign w:val="subscript"/>
              </w:rPr>
              <w:t>x</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2368.98</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2474.196</w:t>
            </w:r>
          </w:p>
        </w:tc>
        <w:tc>
          <w:tcPr>
            <w:tcW w:w="1134" w:type="dxa"/>
            <w:vAlign w:val="center"/>
          </w:tcPr>
          <w:p>
            <w:pPr>
              <w:jc w:val="right"/>
              <w:rPr>
                <w:rFonts w:hint="eastAsia" w:ascii="Times New Roman" w:hAnsi="Times New Roman" w:eastAsia="宋体"/>
                <w:color w:val="FF0000"/>
                <w:sz w:val="18"/>
                <w:szCs w:val="18"/>
              </w:rPr>
            </w:pPr>
            <w:r>
              <w:rPr>
                <w:rFonts w:hint="eastAsia" w:ascii="Times New Roman" w:hAnsi="Times New Roman" w:eastAsia="宋体"/>
                <w:color w:val="FF0000"/>
                <w:sz w:val="18"/>
                <w:szCs w:val="18"/>
              </w:rPr>
              <w:t>2537.315</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2560.593</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1522.389</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1536.356</w:t>
            </w:r>
          </w:p>
        </w:tc>
        <w:tc>
          <w:tcPr>
            <w:tcW w:w="995" w:type="dxa"/>
            <w:vAlign w:val="center"/>
          </w:tcPr>
          <w:p>
            <w:pPr>
              <w:jc w:val="center"/>
              <w:rPr>
                <w:rFonts w:hint="eastAsia" w:ascii="Times New Roman" w:hAnsi="Times New Roman" w:eastAsia="宋体"/>
                <w:color w:val="FF0000"/>
                <w:sz w:val="18"/>
                <w:szCs w:val="21"/>
              </w:rPr>
            </w:pPr>
            <w:r>
              <w:rPr>
                <w:rFonts w:ascii="Times New Roman" w:hAnsi="Times New Roman" w:eastAsia="宋体"/>
                <w:color w:val="FF0000"/>
                <w:sz w:val="18"/>
                <w:szCs w:val="21"/>
              </w:rPr>
              <w:t>+</w:t>
            </w:r>
            <w:r>
              <w:rPr>
                <w:rFonts w:hint="eastAsia" w:ascii="Times New Roman" w:hAnsi="Times New Roman" w:eastAsia="宋体"/>
                <w:color w:val="FF0000"/>
                <w:sz w:val="18"/>
                <w:szCs w:val="21"/>
              </w:rPr>
              <w:t>168.335</w:t>
            </w:r>
          </w:p>
        </w:tc>
        <w:tc>
          <w:tcPr>
            <w:tcW w:w="1273" w:type="dxa"/>
            <w:vAlign w:val="center"/>
          </w:tcPr>
          <w:p>
            <w:pPr>
              <w:jc w:val="center"/>
              <w:rPr>
                <w:rFonts w:hint="eastAsia"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86.397</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-1014.93</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-1024.24</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氨气</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0.690</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0.721</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1.051</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1.061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0.841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0.849</w:t>
            </w:r>
          </w:p>
        </w:tc>
        <w:tc>
          <w:tcPr>
            <w:tcW w:w="995"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0.361</w:t>
            </w:r>
          </w:p>
        </w:tc>
        <w:tc>
          <w:tcPr>
            <w:tcW w:w="1273"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0.34</w:t>
            </w:r>
            <w:r>
              <w:rPr>
                <w:rFonts w:ascii="Times New Roman" w:hAnsi="Times New Roman" w:eastAsia="宋体"/>
                <w:color w:val="FF0000"/>
                <w:sz w:val="18"/>
              </w:rPr>
              <w:t>0</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-0.21</w:t>
            </w:r>
            <w:r>
              <w:rPr>
                <w:rFonts w:ascii="Times New Roman" w:hAnsi="Times New Roman" w:eastAsia="宋体"/>
                <w:color w:val="FF0000"/>
                <w:sz w:val="18"/>
                <w:szCs w:val="18"/>
              </w:rPr>
              <w:t>0</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-0.212</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苯</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0.138</w:t>
            </w:r>
          </w:p>
        </w:tc>
        <w:tc>
          <w:tcPr>
            <w:tcW w:w="1134"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0.144</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ascii="Times New Roman" w:hAnsi="Times New Roman" w:eastAsia="宋体" w:cs="Times New Roman"/>
                <w:color w:val="FF0000"/>
                <w:sz w:val="18"/>
                <w:szCs w:val="18"/>
              </w:rPr>
              <w:t>0.143</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0.14</w:t>
            </w:r>
            <w:r>
              <w:rPr>
                <w:rFonts w:ascii="Times New Roman" w:hAnsi="Times New Roman" w:eastAsia="宋体"/>
                <w:color w:val="FF0000"/>
                <w:sz w:val="18"/>
              </w:rPr>
              <w:t>5</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0.114</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0.115</w:t>
            </w:r>
          </w:p>
        </w:tc>
        <w:tc>
          <w:tcPr>
            <w:tcW w:w="995"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0.</w:t>
            </w:r>
            <w:r>
              <w:rPr>
                <w:rFonts w:ascii="Times New Roman" w:hAnsi="Times New Roman" w:eastAsia="宋体"/>
                <w:color w:val="FF0000"/>
                <w:sz w:val="18"/>
              </w:rPr>
              <w:t>001</w:t>
            </w:r>
          </w:p>
        </w:tc>
        <w:tc>
          <w:tcPr>
            <w:tcW w:w="1273"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0.</w:t>
            </w:r>
            <w:r>
              <w:rPr>
                <w:rFonts w:ascii="Times New Roman" w:hAnsi="Times New Roman" w:eastAsia="宋体"/>
                <w:color w:val="FF0000"/>
                <w:sz w:val="18"/>
              </w:rPr>
              <w:t>001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-0.029</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-0.03</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szCs w:val="21"/>
              </w:rPr>
              <w:t>苯并[a]芘</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0.0015</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0.0016</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0.00000051</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 xml:space="preserve">0.00000051 </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0.0000004</w:t>
            </w:r>
            <w:r>
              <w:rPr>
                <w:rFonts w:ascii="Times New Roman" w:hAnsi="Times New Roman" w:eastAsia="宋体"/>
                <w:color w:val="FF0000"/>
                <w:sz w:val="18"/>
                <w:szCs w:val="18"/>
              </w:rPr>
              <w:t>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 xml:space="preserve">0.0000004 </w:t>
            </w:r>
          </w:p>
        </w:tc>
        <w:tc>
          <w:tcPr>
            <w:tcW w:w="995"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-0.001499</w:t>
            </w:r>
          </w:p>
        </w:tc>
        <w:tc>
          <w:tcPr>
            <w:tcW w:w="1273"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-0.00159949</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-0.0000001</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-0.0000001</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二噁英</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0.0000051</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0.0000053</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0.000000</w:t>
            </w:r>
            <w:r>
              <w:rPr>
                <w:rFonts w:ascii="Times New Roman" w:hAnsi="Times New Roman" w:eastAsia="宋体" w:cs="Times New Roman"/>
                <w:color w:val="FF0000"/>
                <w:sz w:val="18"/>
                <w:szCs w:val="18"/>
              </w:rPr>
              <w:t>20</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 xml:space="preserve">0.0000002 </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0.0000002</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 xml:space="preserve">0.0000002 </w:t>
            </w:r>
          </w:p>
        </w:tc>
        <w:tc>
          <w:tcPr>
            <w:tcW w:w="995"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 xml:space="preserve">-0.000005 </w:t>
            </w:r>
          </w:p>
        </w:tc>
        <w:tc>
          <w:tcPr>
            <w:tcW w:w="1273"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 xml:space="preserve">-0.000005 </w:t>
            </w:r>
          </w:p>
        </w:tc>
        <w:tc>
          <w:tcPr>
            <w:tcW w:w="1134" w:type="dxa"/>
            <w:vAlign w:val="center"/>
          </w:tcPr>
          <w:p>
            <w:pPr>
              <w:jc w:val="center"/>
              <w:rPr>
                <w:rFonts w:hint="eastAsia" w:ascii="Times New Roman" w:hAnsi="Times New Roman" w:eastAsia="宋体"/>
                <w:color w:val="FF0000"/>
                <w:sz w:val="18"/>
                <w:szCs w:val="18"/>
              </w:rPr>
            </w:pPr>
            <w:r>
              <w:rPr>
                <w:rFonts w:ascii="Times New Roman" w:hAnsi="Times New Roman" w:eastAsia="宋体"/>
                <w:color w:val="FF0000"/>
                <w:sz w:val="18"/>
                <w:szCs w:val="18"/>
              </w:rPr>
              <w:t>-</w:t>
            </w:r>
            <w:r>
              <w:rPr>
                <w:rFonts w:hint="eastAsia" w:ascii="Times New Roman" w:hAnsi="Times New Roman" w:eastAsia="宋体"/>
                <w:color w:val="FF0000"/>
                <w:sz w:val="18"/>
                <w:szCs w:val="18"/>
              </w:rPr>
              <w:t>0.0000</w:t>
            </w:r>
            <w:r>
              <w:rPr>
                <w:rFonts w:ascii="Times New Roman" w:hAnsi="Times New Roman" w:eastAsia="宋体"/>
                <w:color w:val="FF0000"/>
                <w:sz w:val="18"/>
                <w:szCs w:val="18"/>
              </w:rPr>
              <w:t>0</w:t>
            </w:r>
            <w:r>
              <w:rPr>
                <w:rFonts w:hint="eastAsia" w:ascii="Times New Roman" w:hAnsi="Times New Roman" w:eastAsia="宋体"/>
                <w:color w:val="FF0000"/>
                <w:sz w:val="18"/>
                <w:szCs w:val="18"/>
              </w:rPr>
              <w:t>001</w:t>
            </w:r>
          </w:p>
        </w:tc>
        <w:tc>
          <w:tcPr>
            <w:tcW w:w="1287" w:type="dxa"/>
            <w:vAlign w:val="center"/>
          </w:tcPr>
          <w:p>
            <w:pPr>
              <w:jc w:val="center"/>
              <w:rPr>
                <w:rFonts w:hint="eastAsia" w:ascii="Times New Roman" w:hAnsi="Times New Roman" w:eastAsia="宋体"/>
                <w:color w:val="FF0000"/>
                <w:sz w:val="18"/>
                <w:szCs w:val="18"/>
              </w:rPr>
            </w:pPr>
            <w:r>
              <w:rPr>
                <w:rFonts w:ascii="Times New Roman" w:hAnsi="Times New Roman" w:eastAsia="宋体"/>
                <w:color w:val="FF0000"/>
                <w:sz w:val="18"/>
                <w:szCs w:val="18"/>
              </w:rPr>
              <w:t>-</w:t>
            </w:r>
            <w:r>
              <w:rPr>
                <w:rFonts w:hint="eastAsia" w:ascii="Times New Roman" w:hAnsi="Times New Roman" w:eastAsia="宋体"/>
                <w:color w:val="FF0000"/>
                <w:sz w:val="18"/>
                <w:szCs w:val="18"/>
              </w:rPr>
              <w:t>0.0000</w:t>
            </w:r>
            <w:r>
              <w:rPr>
                <w:rFonts w:ascii="Times New Roman" w:hAnsi="Times New Roman" w:eastAsia="宋体"/>
                <w:color w:val="FF0000"/>
                <w:sz w:val="18"/>
                <w:szCs w:val="18"/>
              </w:rPr>
              <w:t>0</w:t>
            </w:r>
            <w:r>
              <w:rPr>
                <w:rFonts w:hint="eastAsia" w:ascii="Times New Roman" w:hAnsi="Times New Roman" w:eastAsia="宋体"/>
                <w:color w:val="FF0000"/>
                <w:sz w:val="18"/>
                <w:szCs w:val="18"/>
              </w:rPr>
              <w:t>001</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二甲苯</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0.0017</w:t>
            </w:r>
            <w:r>
              <w:rPr>
                <w:rFonts w:ascii="Times New Roman" w:hAnsi="Times New Roman" w:eastAsia="宋体" w:cs="Times New Roman"/>
                <w:color w:val="FF0000"/>
                <w:sz w:val="18"/>
                <w:szCs w:val="21"/>
              </w:rPr>
              <w:t>0</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0.00</w:t>
            </w:r>
            <w:r>
              <w:rPr>
                <w:rFonts w:ascii="Times New Roman" w:hAnsi="Times New Roman" w:eastAsia="宋体"/>
                <w:color w:val="FF0000"/>
                <w:sz w:val="18"/>
              </w:rPr>
              <w:t>177</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ascii="Times New Roman" w:hAnsi="Times New Roman" w:eastAsia="宋体" w:cs="Times New Roman"/>
                <w:color w:val="FF0000"/>
                <w:sz w:val="18"/>
                <w:szCs w:val="18"/>
              </w:rPr>
              <w:t>0.00176</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w:t>
            </w:r>
            <w:r>
              <w:rPr>
                <w:rFonts w:ascii="Times New Roman" w:hAnsi="Times New Roman" w:eastAsia="宋体"/>
                <w:color w:val="FF0000"/>
                <w:sz w:val="18"/>
              </w:rPr>
              <w:t>0178</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0.00141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0.001</w:t>
            </w:r>
          </w:p>
        </w:tc>
        <w:tc>
          <w:tcPr>
            <w:tcW w:w="995"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0.</w:t>
            </w:r>
            <w:r>
              <w:rPr>
                <w:rFonts w:ascii="Times New Roman" w:hAnsi="Times New Roman" w:eastAsia="宋体"/>
                <w:color w:val="FF0000"/>
                <w:sz w:val="18"/>
              </w:rPr>
              <w:t>00006</w:t>
            </w:r>
          </w:p>
        </w:tc>
        <w:tc>
          <w:tcPr>
            <w:tcW w:w="1273"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0.0</w:t>
            </w:r>
            <w:r>
              <w:rPr>
                <w:rFonts w:ascii="Times New Roman" w:hAnsi="Times New Roman" w:eastAsia="宋体"/>
                <w:color w:val="FF0000"/>
                <w:sz w:val="18"/>
              </w:rPr>
              <w:t>0001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-0.00035</w:t>
            </w:r>
          </w:p>
        </w:tc>
        <w:tc>
          <w:tcPr>
            <w:tcW w:w="1287" w:type="dxa"/>
            <w:vAlign w:val="center"/>
          </w:tcPr>
          <w:p>
            <w:pPr>
              <w:widowControl/>
              <w:jc w:val="center"/>
              <w:rPr>
                <w:rFonts w:ascii="Times New Roman" w:hAnsi="Times New Roman" w:eastAsia="宋体" w:cs="宋体"/>
                <w:color w:val="FF0000"/>
                <w:kern w:val="0"/>
                <w:sz w:val="18"/>
                <w:szCs w:val="18"/>
              </w:rPr>
            </w:pPr>
            <w:r>
              <w:rPr>
                <w:rFonts w:hint="eastAsia" w:ascii="Times New Roman" w:hAnsi="Times New Roman" w:eastAsia="宋体"/>
                <w:color w:val="FF0000"/>
                <w:sz w:val="18"/>
                <w:szCs w:val="18"/>
              </w:rPr>
              <w:t>-0.00078</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氟化物</w:t>
            </w:r>
          </w:p>
        </w:tc>
        <w:tc>
          <w:tcPr>
            <w:tcW w:w="995" w:type="dxa"/>
            <w:vAlign w:val="center"/>
          </w:tcPr>
          <w:p>
            <w:pPr>
              <w:pStyle w:val="2"/>
              <w:spacing w:after="0"/>
              <w:jc w:val="center"/>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3.632</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3.793</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3.759</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3.79</w:t>
            </w:r>
            <w:r>
              <w:rPr>
                <w:rFonts w:ascii="Times New Roman" w:hAnsi="Times New Roman" w:eastAsia="宋体"/>
                <w:color w:val="FF0000"/>
                <w:sz w:val="18"/>
              </w:rPr>
              <w:t>4</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3.383</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3.414</w:t>
            </w:r>
          </w:p>
        </w:tc>
        <w:tc>
          <w:tcPr>
            <w:tcW w:w="995"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+0.127</w:t>
            </w:r>
          </w:p>
        </w:tc>
        <w:tc>
          <w:tcPr>
            <w:tcW w:w="1273"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+0.001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-0.376</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-0.38</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甲苯</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0.630</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0.658</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0.652</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0.65</w:t>
            </w:r>
            <w:r>
              <w:rPr>
                <w:rFonts w:ascii="Times New Roman" w:hAnsi="Times New Roman" w:eastAsia="宋体"/>
                <w:color w:val="FF0000"/>
                <w:sz w:val="18"/>
              </w:rPr>
              <w:t>9</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0.522</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0.526</w:t>
            </w:r>
          </w:p>
        </w:tc>
        <w:tc>
          <w:tcPr>
            <w:tcW w:w="995"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w:t>
            </w:r>
            <w:r>
              <w:rPr>
                <w:rFonts w:ascii="Times New Roman" w:hAnsi="Times New Roman" w:eastAsia="宋体"/>
                <w:color w:val="FF0000"/>
                <w:sz w:val="18"/>
              </w:rPr>
              <w:t>022</w:t>
            </w:r>
          </w:p>
        </w:tc>
        <w:tc>
          <w:tcPr>
            <w:tcW w:w="1273"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+0.001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-0.13</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-0.133</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沥青烟</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4.81</w:t>
            </w:r>
            <w:r>
              <w:rPr>
                <w:rFonts w:ascii="Times New Roman" w:hAnsi="Times New Roman" w:eastAsia="宋体" w:cs="Times New Roman"/>
                <w:color w:val="FF0000"/>
                <w:sz w:val="18"/>
                <w:szCs w:val="21"/>
              </w:rPr>
              <w:t>0</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5.024</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ascii="Times New Roman" w:hAnsi="Times New Roman" w:eastAsia="宋体" w:cs="Times New Roman"/>
                <w:color w:val="FF0000"/>
                <w:sz w:val="18"/>
                <w:szCs w:val="18"/>
              </w:rPr>
              <w:t>5.024</w:t>
            </w:r>
          </w:p>
        </w:tc>
        <w:tc>
          <w:tcPr>
            <w:tcW w:w="1134"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5.199</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4.522</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4.563</w:t>
            </w:r>
          </w:p>
        </w:tc>
        <w:tc>
          <w:tcPr>
            <w:tcW w:w="995"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0.</w:t>
            </w:r>
            <w:r>
              <w:rPr>
                <w:rFonts w:ascii="Times New Roman" w:hAnsi="Times New Roman" w:eastAsia="宋体"/>
                <w:color w:val="FF0000"/>
                <w:sz w:val="18"/>
              </w:rPr>
              <w:t>214</w:t>
            </w:r>
          </w:p>
        </w:tc>
        <w:tc>
          <w:tcPr>
            <w:tcW w:w="1273"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+0.175</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-0.502</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-0.636</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硫化氢</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0.0027</w:t>
            </w:r>
          </w:p>
        </w:tc>
        <w:tc>
          <w:tcPr>
            <w:tcW w:w="1134"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0.0028</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0.0028</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0.0029</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0.002</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0.002</w:t>
            </w:r>
          </w:p>
        </w:tc>
        <w:tc>
          <w:tcPr>
            <w:tcW w:w="995"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0.</w:t>
            </w:r>
            <w:r>
              <w:rPr>
                <w:rFonts w:ascii="Times New Roman" w:hAnsi="Times New Roman" w:eastAsia="宋体"/>
                <w:color w:val="FF0000"/>
                <w:sz w:val="18"/>
              </w:rPr>
              <w:t>0001</w:t>
            </w:r>
          </w:p>
        </w:tc>
        <w:tc>
          <w:tcPr>
            <w:tcW w:w="1273" w:type="dxa"/>
            <w:vAlign w:val="center"/>
          </w:tcPr>
          <w:p>
            <w:pPr>
              <w:jc w:val="center"/>
              <w:rPr>
                <w:rFonts w:ascii="Times New Roman" w:hAnsi="Times New Roman" w:eastAsia="宋体"/>
                <w:color w:val="FF0000"/>
                <w:sz w:val="18"/>
              </w:rPr>
            </w:pPr>
            <w:r>
              <w:rPr>
                <w:rFonts w:ascii="Times New Roman" w:hAnsi="Times New Roman" w:eastAsia="宋体"/>
                <w:color w:val="FF0000"/>
                <w:sz w:val="18"/>
              </w:rPr>
              <w:t>+</w:t>
            </w:r>
            <w:r>
              <w:rPr>
                <w:rFonts w:hint="eastAsia" w:ascii="Times New Roman" w:hAnsi="Times New Roman" w:eastAsia="宋体"/>
                <w:color w:val="FF0000"/>
                <w:sz w:val="18"/>
              </w:rPr>
              <w:t>0.</w:t>
            </w:r>
            <w:r>
              <w:rPr>
                <w:rFonts w:ascii="Times New Roman" w:hAnsi="Times New Roman" w:eastAsia="宋体"/>
                <w:color w:val="FF0000"/>
                <w:sz w:val="18"/>
              </w:rPr>
              <w:t>0001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-0.0008</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-0.0009</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三乙胺</w:t>
            </w:r>
          </w:p>
        </w:tc>
        <w:tc>
          <w:tcPr>
            <w:tcW w:w="995"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0.288</w:t>
            </w:r>
          </w:p>
        </w:tc>
        <w:tc>
          <w:tcPr>
            <w:tcW w:w="1134" w:type="dxa"/>
            <w:vAlign w:val="center"/>
          </w:tcPr>
          <w:p>
            <w:pPr>
              <w:widowControl/>
              <w:jc w:val="center"/>
              <w:rPr>
                <w:rFonts w:ascii="Times New Roman" w:hAnsi="Times New Roman" w:eastAsia="宋体" w:cs="宋体"/>
                <w:color w:val="FF0000"/>
                <w:kern w:val="0"/>
                <w:sz w:val="18"/>
              </w:rPr>
            </w:pPr>
            <w:r>
              <w:rPr>
                <w:rFonts w:hint="eastAsia" w:ascii="Times New Roman" w:hAnsi="Times New Roman" w:eastAsia="宋体" w:cs="宋体"/>
                <w:color w:val="FF0000"/>
                <w:kern w:val="0"/>
                <w:sz w:val="18"/>
              </w:rPr>
              <w:t>0.301</w:t>
            </w:r>
          </w:p>
        </w:tc>
        <w:tc>
          <w:tcPr>
            <w:tcW w:w="1134" w:type="dxa"/>
            <w:vAlign w:val="center"/>
          </w:tcPr>
          <w:p>
            <w:pPr>
              <w:pStyle w:val="2"/>
              <w:spacing w:after="0"/>
              <w:jc w:val="center"/>
              <w:rPr>
                <w:rFonts w:ascii="Times New Roman" w:hAnsi="Times New Roman" w:eastAsia="宋体" w:cs="Times New Roman"/>
                <w:color w:val="FF0000"/>
                <w:sz w:val="18"/>
                <w:szCs w:val="18"/>
              </w:rPr>
            </w:pPr>
            <w:r>
              <w:rPr>
                <w:rFonts w:ascii="Times New Roman" w:hAnsi="Times New Roman" w:eastAsia="宋体" w:cs="Times New Roman"/>
                <w:color w:val="FF0000"/>
                <w:sz w:val="18"/>
                <w:szCs w:val="18"/>
              </w:rPr>
              <w:t>0.298</w:t>
            </w:r>
          </w:p>
        </w:tc>
        <w:tc>
          <w:tcPr>
            <w:tcW w:w="1134"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0.302</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0.238</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0.241</w:t>
            </w:r>
          </w:p>
        </w:tc>
        <w:tc>
          <w:tcPr>
            <w:tcW w:w="995" w:type="dxa"/>
            <w:vAlign w:val="center"/>
          </w:tcPr>
          <w:p>
            <w:pPr>
              <w:jc w:val="center"/>
              <w:rPr>
                <w:rFonts w:ascii="Times New Roman" w:hAnsi="Times New Roman" w:eastAsia="宋体"/>
                <w:color w:val="FF0000"/>
                <w:sz w:val="18"/>
              </w:rPr>
            </w:pPr>
            <w:r>
              <w:rPr>
                <w:rFonts w:hint="eastAsia" w:ascii="Times New Roman" w:hAnsi="Times New Roman" w:eastAsia="宋体"/>
                <w:color w:val="FF0000"/>
                <w:sz w:val="18"/>
              </w:rPr>
              <w:t>+0.010</w:t>
            </w:r>
          </w:p>
        </w:tc>
        <w:tc>
          <w:tcPr>
            <w:tcW w:w="1273" w:type="dxa"/>
            <w:vAlign w:val="center"/>
          </w:tcPr>
          <w:p>
            <w:pPr>
              <w:widowControl/>
              <w:jc w:val="center"/>
              <w:rPr>
                <w:rFonts w:ascii="Times New Roman" w:hAnsi="Times New Roman" w:eastAsia="宋体" w:cs="宋体"/>
                <w:color w:val="FF0000"/>
                <w:kern w:val="0"/>
                <w:sz w:val="18"/>
              </w:rPr>
            </w:pPr>
            <w:r>
              <w:rPr>
                <w:rFonts w:hint="eastAsia" w:ascii="Times New Roman" w:hAnsi="Times New Roman" w:eastAsia="宋体" w:cs="宋体"/>
                <w:color w:val="FF0000"/>
                <w:kern w:val="0"/>
                <w:sz w:val="18"/>
              </w:rPr>
              <w:t>+0.001</w:t>
            </w:r>
          </w:p>
        </w:tc>
        <w:tc>
          <w:tcPr>
            <w:tcW w:w="1134"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-0.06</w:t>
            </w:r>
          </w:p>
        </w:tc>
        <w:tc>
          <w:tcPr>
            <w:tcW w:w="1287" w:type="dxa"/>
            <w:vAlign w:val="center"/>
          </w:tcPr>
          <w:p>
            <w:pPr>
              <w:jc w:val="center"/>
              <w:rPr>
                <w:rFonts w:hint="eastAsia" w:ascii="Times New Roman" w:hAnsi="Times New Roman" w:eastAsia="宋体"/>
                <w:color w:val="FF0000"/>
                <w:sz w:val="18"/>
                <w:szCs w:val="18"/>
              </w:rPr>
            </w:pPr>
            <w:r>
              <w:rPr>
                <w:rFonts w:hint="eastAsia" w:ascii="Times New Roman" w:hAnsi="Times New Roman" w:eastAsia="宋体"/>
                <w:color w:val="FF0000"/>
                <w:sz w:val="18"/>
                <w:szCs w:val="18"/>
              </w:rPr>
              <w:t>-0.061</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hint="eastAsia"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restart"/>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废水</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废水量</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COD</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BOD</w:t>
            </w:r>
            <w:r>
              <w:rPr>
                <w:rFonts w:ascii="Times New Roman" w:hAnsi="Times New Roman" w:eastAsia="宋体" w:cs="Times New Roman"/>
                <w:color w:val="FF0000"/>
                <w:sz w:val="18"/>
                <w:vertAlign w:val="subscript"/>
              </w:rPr>
              <w:t>5</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NH</w:t>
            </w:r>
            <w:r>
              <w:rPr>
                <w:rFonts w:ascii="Times New Roman" w:hAnsi="Times New Roman" w:eastAsia="宋体" w:cs="Times New Roman"/>
                <w:color w:val="FF0000"/>
                <w:sz w:val="18"/>
                <w:vertAlign w:val="subscript"/>
              </w:rPr>
              <w:t>3</w:t>
            </w:r>
            <w:r>
              <w:rPr>
                <w:rFonts w:ascii="Times New Roman" w:hAnsi="Times New Roman" w:eastAsia="宋体" w:cs="Times New Roman"/>
                <w:color w:val="FF0000"/>
                <w:sz w:val="18"/>
              </w:rPr>
              <w:t>-N</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SS</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TP</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石油类</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挥发酚类</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氰化物</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硫化物</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动植物油</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restart"/>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固废</w:t>
            </w:r>
          </w:p>
        </w:tc>
        <w:tc>
          <w:tcPr>
            <w:tcW w:w="1134" w:type="dxa"/>
            <w:vAlign w:val="center"/>
          </w:tcPr>
          <w:p>
            <w:pPr>
              <w:pStyle w:val="88"/>
              <w:widowControl w:val="0"/>
              <w:rPr>
                <w:rFonts w:cs="Times New Roman"/>
                <w:color w:val="FF0000"/>
                <w:sz w:val="18"/>
              </w:rPr>
            </w:pPr>
            <w:r>
              <w:rPr>
                <w:rFonts w:cs="Times New Roman"/>
                <w:color w:val="FF0000"/>
                <w:sz w:val="18"/>
              </w:rPr>
              <w:t>一般工业固体废物(I类)</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一般工业固体废物(</w:t>
            </w:r>
            <w:r>
              <w:rPr>
                <w:rFonts w:hint="eastAsia" w:ascii="宋体" w:hAnsi="宋体" w:eastAsia="宋体" w:cs="宋体"/>
                <w:color w:val="FF0000"/>
                <w:sz w:val="18"/>
              </w:rPr>
              <w:t>Ⅱ</w:t>
            </w:r>
            <w:r>
              <w:rPr>
                <w:rFonts w:ascii="Times New Roman" w:hAnsi="Times New Roman" w:eastAsia="宋体" w:cs="Times New Roman"/>
                <w:color w:val="FF0000"/>
                <w:sz w:val="18"/>
              </w:rPr>
              <w:t>类)</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危险废物</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3" w:type="dxa"/>
            <w:vMerge w:val="continue"/>
            <w:vAlign w:val="center"/>
          </w:tcPr>
          <w:p>
            <w:pPr>
              <w:pStyle w:val="2"/>
              <w:spacing w:after="0"/>
              <w:jc w:val="center"/>
              <w:rPr>
                <w:rFonts w:ascii="Times New Roman" w:hAnsi="Times New Roman" w:eastAsia="宋体" w:cs="Times New Roman"/>
                <w:color w:val="FF0000"/>
                <w:sz w:val="18"/>
                <w:szCs w:val="21"/>
              </w:rPr>
            </w:pP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生活垃圾</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995"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73"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134"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1287" w:type="dxa"/>
            <w:vAlign w:val="center"/>
          </w:tcPr>
          <w:p>
            <w:pPr>
              <w:pStyle w:val="2"/>
              <w:spacing w:after="0"/>
              <w:jc w:val="center"/>
              <w:rPr>
                <w:rFonts w:ascii="Times New Roman" w:hAnsi="Times New Roman" w:eastAsia="宋体" w:cs="Times New Roman"/>
                <w:color w:val="FF0000"/>
                <w:sz w:val="18"/>
              </w:rPr>
            </w:pPr>
            <w:r>
              <w:rPr>
                <w:rFonts w:ascii="Times New Roman" w:hAnsi="Times New Roman" w:eastAsia="宋体" w:cs="Times New Roman"/>
                <w:color w:val="FF0000"/>
                <w:sz w:val="18"/>
              </w:rPr>
              <w:t>0</w:t>
            </w:r>
          </w:p>
        </w:tc>
        <w:tc>
          <w:tcPr>
            <w:tcW w:w="873" w:type="dxa"/>
            <w:vAlign w:val="center"/>
          </w:tcPr>
          <w:p>
            <w:pPr>
              <w:pStyle w:val="2"/>
              <w:spacing w:after="0"/>
              <w:jc w:val="center"/>
              <w:rPr>
                <w:rFonts w:ascii="Times New Roman" w:hAnsi="Times New Roman" w:eastAsia="宋体" w:cs="Times New Roman"/>
                <w:color w:val="FF0000"/>
                <w:sz w:val="18"/>
                <w:szCs w:val="21"/>
              </w:rPr>
            </w:pPr>
            <w:r>
              <w:rPr>
                <w:rFonts w:ascii="Times New Roman" w:hAnsi="Times New Roman" w:eastAsia="宋体" w:cs="Times New Roman"/>
                <w:color w:val="FF0000"/>
                <w:sz w:val="18"/>
                <w:szCs w:val="21"/>
              </w:rPr>
              <w:t>/</w:t>
            </w:r>
          </w:p>
        </w:tc>
      </w:tr>
    </w:tbl>
    <w:p>
      <w:pPr>
        <w:pStyle w:val="2"/>
        <w:keepNext w:val="0"/>
        <w:keepLines w:val="0"/>
        <w:pageBreakBefore w:val="0"/>
        <w:widowControl w:val="0"/>
        <w:kinsoku/>
        <w:wordWrap/>
        <w:overflowPunct/>
        <w:topLinePunct w:val="0"/>
        <w:autoSpaceDE/>
        <w:autoSpaceDN/>
        <w:bidi w:val="0"/>
        <w:adjustRightInd/>
        <w:snapToGrid/>
        <w:spacing w:after="0"/>
        <w:ind w:firstLine="0" w:firstLineChars="0"/>
        <w:textAlignment w:val="auto"/>
        <w:rPr>
          <w:rFonts w:ascii="Times New Roman" w:hAnsi="Times New Roman" w:eastAsia="宋体" w:cs="Times New Roman"/>
          <w:color w:val="FF0000"/>
          <w:sz w:val="18"/>
          <w:szCs w:val="18"/>
        </w:rPr>
      </w:pPr>
      <w:r>
        <w:rPr>
          <w:rFonts w:hint="eastAsia" w:ascii="Times New Roman" w:hAnsi="Times New Roman" w:eastAsia="宋体" w:cs="Times New Roman"/>
          <w:color w:val="FF0000"/>
          <w:sz w:val="18"/>
          <w:szCs w:val="18"/>
        </w:rPr>
        <w:t>注</w:t>
      </w:r>
      <w:r>
        <w:rPr>
          <w:rFonts w:ascii="Times New Roman" w:hAnsi="Times New Roman" w:eastAsia="宋体" w:cs="Times New Roman"/>
          <w:color w:val="FF0000"/>
          <w:sz w:val="18"/>
          <w:szCs w:val="18"/>
        </w:rPr>
        <w:t>：</w:t>
      </w:r>
      <w:r>
        <w:rPr>
          <w:rFonts w:hint="eastAsia" w:ascii="Times New Roman" w:hAnsi="Times New Roman" w:eastAsia="宋体" w:cs="Times New Roman"/>
          <w:color w:val="FF0000"/>
          <w:sz w:val="18"/>
          <w:szCs w:val="18"/>
        </w:rPr>
        <w:t>上表</w:t>
      </w:r>
      <w:r>
        <w:rPr>
          <w:rFonts w:ascii="Times New Roman" w:hAnsi="Times New Roman" w:eastAsia="宋体" w:cs="Times New Roman"/>
          <w:color w:val="FF0000"/>
          <w:sz w:val="18"/>
          <w:szCs w:val="18"/>
        </w:rPr>
        <w:t>中</w:t>
      </w:r>
      <w:r>
        <w:rPr>
          <w:rFonts w:hint="eastAsia" w:ascii="Times New Roman" w:hAnsi="Times New Roman" w:eastAsia="宋体" w:cs="Times New Roman"/>
          <w:color w:val="FF0000"/>
          <w:sz w:val="18"/>
          <w:szCs w:val="18"/>
        </w:rPr>
        <w:t>废气排放量</w:t>
      </w:r>
      <w:r>
        <w:rPr>
          <w:rFonts w:ascii="Times New Roman" w:hAnsi="Times New Roman" w:eastAsia="宋体" w:cs="Times New Roman"/>
          <w:color w:val="FF0000"/>
          <w:sz w:val="18"/>
          <w:szCs w:val="18"/>
        </w:rPr>
        <w:t>仅为厂区有组织排放的废气污染物量。</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color w:val="auto"/>
          <w:sz w:val="24"/>
        </w:rPr>
      </w:pPr>
    </w:p>
    <w:p>
      <w:pPr>
        <w:pStyle w:val="2"/>
        <w:keepNext w:val="0"/>
        <w:keepLines w:val="0"/>
        <w:pageBreakBefore w:val="0"/>
        <w:kinsoku/>
        <w:wordWrap/>
        <w:bidi w:val="0"/>
        <w:snapToGrid/>
      </w:pPr>
    </w:p>
    <w:p>
      <w:pPr>
        <w:pStyle w:val="27"/>
        <w:keepNext w:val="0"/>
        <w:keepLines w:val="0"/>
        <w:pageBreakBefore w:val="0"/>
        <w:kinsoku/>
        <w:wordWrap/>
        <w:bidi w:val="0"/>
        <w:snapToGrid/>
        <w:spacing w:before="156" w:after="156" w:line="360" w:lineRule="auto"/>
        <w:rPr>
          <w:rFonts w:ascii="Times New Roman"/>
          <w:b w:val="0"/>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ascii="Times New Roman" w:hAnsi="Times New Roman" w:eastAsia="黑体" w:cs="Times New Roman"/>
          <w:sz w:val="44"/>
          <w:szCs w:val="44"/>
        </w:rPr>
        <w:t>4环境概况</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4.1自然环境概况</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4.1.1地理位置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芜湖市位于安徽省东南部，为安徽省省辖市，地处东经117°58′~118°43′，北纬30°38′~31°31′之间，是沿江一座重要的港口城市。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三山区位于芜湖主城区西南部，紧邻弋江区，东临弋江区、芜湖县、南陵县，西南与繁昌接壤，北与无为县隔江相望。</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芜湖新兴铸管有限责任公司位于芜湖市三山区经济开发区。三山区经济开发区位于三山区北部，北临长江大堤，南到规划城市道路纬九路，西与繁昌县界接壤，东到洋灯夹和三华路。</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bCs/>
          <w:sz w:val="24"/>
          <w:szCs w:val="24"/>
        </w:rPr>
        <w:t>芜湖新兴铸管有限责任公司地理位置见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_Ref460242289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图4</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.1-1。</w:t>
      </w:r>
    </w:p>
    <w:p>
      <w:pPr>
        <w:pStyle w:val="2"/>
        <w:keepNext w:val="0"/>
        <w:keepLines w:val="0"/>
        <w:pageBreakBefore w:val="0"/>
        <w:kinsoku/>
        <w:wordWrap/>
        <w:bidi w:val="0"/>
        <w:snapToGrid/>
        <w:jc w:val="center"/>
      </w:pPr>
      <w:r>
        <w:pict>
          <v:shape id="_x0000_s1034" o:spid="_x0000_s1034" o:spt="202" type="#_x0000_t202" style="position:absolute;left:0pt;margin-left:239.5pt;margin-top:401.2pt;height:33.75pt;width:228pt;z-index:251741184;mso-width-relative:page;mso-height-relative:page;" filled="f" stroked="f" coordsize="21600,21600">
            <v:path/>
            <v:fill on="f" focussize="0,0"/>
            <v:stroke on="f" joinstyle="miter"/>
            <v:imagedata o:title=""/>
            <o:lock v:ext="edit"/>
            <v:textbox>
              <w:txbxContent>
                <w:p>
                  <w:pPr>
                    <w:pStyle w:val="2"/>
                    <w:spacing w:after="0" w:line="360" w:lineRule="auto"/>
                    <w:jc w:val="center"/>
                  </w:pPr>
                  <w:r>
                    <w:rPr>
                      <w:rFonts w:hint="eastAsia" w:ascii="Times New Roman" w:hAnsi="Times New Roman" w:eastAsia="黑体" w:cs="Times New Roman"/>
                      <w:sz w:val="24"/>
                    </w:rPr>
                    <w:t>图4.1-1</w:t>
                  </w:r>
                  <w:r>
                    <w:rPr>
                      <w:rFonts w:ascii="Times New Roman" w:hAnsi="Times New Roman" w:eastAsia="黑体" w:cs="Times New Roman"/>
                      <w:sz w:val="24"/>
                    </w:rPr>
                    <w:t xml:space="preserve">  </w:t>
                  </w:r>
                  <w:r>
                    <w:rPr>
                      <w:rFonts w:hint="eastAsia" w:ascii="Times New Roman" w:hAnsi="Times New Roman" w:eastAsia="黑体" w:cs="Times New Roman"/>
                      <w:sz w:val="24"/>
                    </w:rPr>
                    <w:t>项目地理位置图</w:t>
                  </w:r>
                </w:p>
              </w:txbxContent>
            </v:textbox>
          </v:shape>
        </w:pict>
      </w:r>
      <w:r>
        <w:drawing>
          <wp:inline distT="0" distB="0" distL="114300" distR="114300">
            <wp:extent cx="8314690" cy="5088255"/>
            <wp:effectExtent l="0" t="0" r="10160" b="17145"/>
            <wp:docPr id="86" name="图片 86" descr="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5.13"/>
                    <pic:cNvPicPr>
                      <a:picLocks noChangeAspect="1"/>
                    </pic:cNvPicPr>
                  </pic:nvPicPr>
                  <pic:blipFill>
                    <a:blip r:embed="rId53"/>
                    <a:stretch>
                      <a:fillRect/>
                    </a:stretch>
                  </pic:blipFill>
                  <pic:spPr>
                    <a:xfrm>
                      <a:off x="0" y="0"/>
                      <a:ext cx="8314690" cy="5088255"/>
                    </a:xfrm>
                    <a:prstGeom prst="rect">
                      <a:avLst/>
                    </a:prstGeom>
                  </pic:spPr>
                </pic:pic>
              </a:graphicData>
            </a:graphic>
          </wp:inline>
        </w:drawing>
      </w:r>
    </w:p>
    <w:p>
      <w:pPr>
        <w:pStyle w:val="2"/>
        <w:keepNext w:val="0"/>
        <w:keepLines w:val="0"/>
        <w:pageBreakBefore w:val="0"/>
        <w:kinsoku/>
        <w:wordWrap/>
        <w:bidi w:val="0"/>
        <w:snapToGrid/>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4.1.2地形地貌</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沿长江一带，地势平缓，大部分为三角洲沉积的饱和软土，属淮阳山字型构造前弧东翼宁芜盆地西南缘，基岩以岩浆为主，西部地层为上侏罗统龙王山组（T、L）基岩和中生代喷出岩及火山碎屑岩，东部为中性浅成岩和上白垩统浦口组沉积岩类，不整合接触，后经夷平并为砂质、淤泥质冲积物覆盖，构成现代平原的地貌基础。用地所在地基本为平地，地势平缓，坡度在1°~3°，高程在6~10m之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芜湖市三山区地处长江中下游平原，属长江南岸沿江丘陵区，是长江漫滩I级阶地，地形平坦，江边局部有几处陡坎。周边微地貌为低丘~低山。平均海拔9.5m。地热坦荡，相对起伏小。区内地势总趋势北高南低。</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4.1.3气象气候</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地处亚热带，属北亚热带季风性湿润气候，光照充足，四季分明，雨量充沛，冬冷夏热。年均降水量1192.97mm。多年平均气温16.1℃；历年最高气温37.34℃；历年最低气温-7.34℃，月平均气温最低为元月份1.1℃，月平均气温最高为七月份31℃。全年平均降雪日8~9天；历年最大积雪深度250mm；冰冻深度0.1m；无霜期每年达219~240天。总日照时数2032个小时。区域常年盛行风向为东北风，最大风速28m/s；次盛行风向为东风、东北偏东风。多年平均风速2.4m/s，年平均相对湿度约78%。</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4.1.4地层地质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属长江沿岸地层区。在地质构造上位于扬子准地合（I级大地构造）下扬子台坳（II级大地构造），苏、浙、皖断褶束（III级大地构造），基岩埋藏很浅，是最佳的桩基础持力层。区域地层自震旦纪以来发育较为齐全，但市区范围内地层出露较为简单，为中生代沉积岩层及火山岩组成，自老到新顺序为：三叠第、白垩系、第四系。第四系覆盖大部分区域。该区在大地构造上分属淮阳山字型构造东翼下扬子准地台宁芜凹陷南缘。</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4.1.5水文地质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按含水介质的性质，芜湖新兴铸管所在区域地下水类型分为第四系松散岩类孔隙水和基岩裂隙水两种类型。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第四系松散岩类孔隙水该含水层岩性主要为灰色、灰白色，粉～中细砂层，主要埋藏于地下30m内的芜湖组地层中，局部为透镜体。分布于区西北部，厚度较大，厚约4~36m；富水程度一般。基岩裂隙水岩性为三叠系中统黄马青组（T2h）灰白色砂岩，水量贫乏。据区域水文地质资料显示，地下水化学类型主要为重碳酸钙镁型水，地下水矿化度为0.3~0.5g/L，pH在7.6左右。富水性较差，上部风化段为弱含水层。地下水主要赋存于砂岩裂隙中。含水层主要为强－中风化砂岩，地下水主要赋存于风化或节理裂隙中，厚度一般3~10m，为埋藏型，埋藏深度由调查区的西往东变深，西则约38.5m，东则约44.6~46.6m。</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4.1.6地表水系</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芜湖市地处长江中下游，河流纵横，长江和青弋江为该区域主要地表水体，青弋江、漳河大小支流贯穿南陵、繁昌、芜湖三县，黑沙湖、龙窝湖、奎湖散布其间，全市水面面积为478km</w:t>
      </w:r>
      <w:r>
        <w:rPr>
          <w:rFonts w:ascii="Times New Roman" w:hAnsi="Times New Roman" w:eastAsia="宋体" w:cs="Times New Roman"/>
          <w:bCs/>
          <w:sz w:val="24"/>
          <w:szCs w:val="24"/>
          <w:vertAlign w:val="superscript"/>
        </w:rPr>
        <w:t>2</w:t>
      </w:r>
      <w:r>
        <w:rPr>
          <w:rFonts w:ascii="Times New Roman" w:hAnsi="Times New Roman" w:eastAsia="宋体" w:cs="Times New Roman"/>
          <w:bCs/>
          <w:sz w:val="24"/>
          <w:szCs w:val="24"/>
        </w:rPr>
        <w:t>，占总面积的14.4%。长江从市区北缘流过，长江芜湖段江岸平直、稳定，为芜湖市的主要供水水源，兼有饮用、工业、家业、渔业、航运旅游、调节生态平衡等功能的多用途水体。</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芜湖新兴铸管有限责任公司所在区域主要水系分布情况见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_Ref460242307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图4.1-2</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5272405" cy="4547870"/>
            <wp:effectExtent l="0" t="0" r="4445" b="5080"/>
            <wp:docPr id="5" name="图片 5" descr="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25"/>
                    <pic:cNvPicPr>
                      <a:picLocks noChangeAspect="1"/>
                    </pic:cNvPicPr>
                  </pic:nvPicPr>
                  <pic:blipFill>
                    <a:blip r:embed="rId54"/>
                    <a:stretch>
                      <a:fillRect/>
                    </a:stretch>
                  </pic:blipFill>
                  <pic:spPr>
                    <a:xfrm>
                      <a:off x="0" y="0"/>
                      <a:ext cx="5272405" cy="4547870"/>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图4.1-2  芜湖新兴铸管有限责任公司所在区域主要水系分布图</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4.1.7土壤</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芜湖市土壤类型复杂多样，自然土壤有黄棕壤土和砂质粘土，耕作土壤为水稻土和砂壤土。芜湖新兴铸管所在区域内土壤类型为冲积型粘土和瘀泥质粘软土，土壤多呈微酸性至中性。</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4.1.8动植物资源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属于北亚热带、中亚热带的落叶阔叶林与常绿阔叶林混交林地带，由于人为影响，原生天然植物已不存在，多为次生林和人工林，以人工林为主，全市绿化覆盖率达33.1%。常绿树种主要有：女贞、松、柏、广玉兰等40种；落叶树木主要有：椿、枫、杨、槐、柳、榆、桐等30余种。经济林木主要有桃、李、柿、杏、枣、苹果、枇杷、桑等20余种。主要特色农作物有优质水稻、油菜、苗木、花卉、蘑菇、莲藕、茭白、螃蟹、青虾、珍珠等，主要花卉有月季、杜鹃、牡丹、菊花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市域内动物区系处于古北界和东洋界两大界动物相互渗透的广泛过渡地带，动物种类丰富而复杂。据调查芜湖市有动物600多种，共有鸟类121种、鱼类57种。爬行类、两栖类、兽类动物种类繁多，现有两栖动物2目6科，爬行动物3目9科21种；哺乳动物8目19科50种。芜湖新兴铸管所在工业区内目前已少见野生动物。</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4.2区域规划发展情况</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4.2.1三山经济开发区</w:t>
      </w:r>
      <w:r>
        <w:rPr>
          <w:rFonts w:hint="eastAsia" w:ascii="Times New Roman" w:hAnsi="Times New Roman" w:eastAsia="黑体" w:cs="Times New Roman"/>
          <w:sz w:val="24"/>
          <w:szCs w:val="24"/>
        </w:rPr>
        <w:t>总体发展</w:t>
      </w:r>
      <w:r>
        <w:rPr>
          <w:rFonts w:ascii="Times New Roman" w:hAnsi="Times New Roman" w:eastAsia="黑体" w:cs="Times New Roman"/>
          <w:sz w:val="24"/>
          <w:szCs w:val="24"/>
        </w:rPr>
        <w:t>规划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根据《</w:t>
      </w:r>
      <w:r>
        <w:rPr>
          <w:rFonts w:ascii="Times New Roman" w:hAnsi="Times New Roman" w:eastAsia="宋体" w:cs="Times New Roman"/>
          <w:bCs/>
          <w:sz w:val="24"/>
          <w:szCs w:val="24"/>
        </w:rPr>
        <w:t>安徽芜湖三山经济开发区总体发展规划</w:t>
      </w:r>
      <w:r>
        <w:rPr>
          <w:rFonts w:hint="eastAsia" w:ascii="Times New Roman" w:hAnsi="Times New Roman" w:eastAsia="宋体" w:cs="Times New Roman"/>
          <w:bCs/>
          <w:sz w:val="24"/>
          <w:szCs w:val="24"/>
        </w:rPr>
        <w:t>》内容：</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安徽芜湖三山经济开发区于2006年4月被批准为省级开发区。规划面积46.16平方公里，位于皖江城市带产业转移示范区“一轴双核两翼”的核心区域，2012年省政府批准设立的“芜湖承接产业转移集中示范园区（省级开发区）”，挂靠三山开发区，为三山开发区的区中园。2014年，省发改委正式批复位于开发区内的三山物流园为省级现代服务业集聚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三山开发区首位产业为汽车及装备制造业，集中了以奇瑞重型设备、集瑞联合重工、玉柴联合动力和新联造船等40余家企业，已经形成完整的产业链。同时，还集中了以格力电器为龙头的电子电器产业；以新兴铸管为主的材料产业；以双汇食品、华润啤酒、双鹤药业、先声药业为龙头的食品制药产业；以三山港口、海螺港口物流为主的现代物流产业。</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（1）规划范围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开发区扩区部分在原开发区的西部，主要由两片区构成：北片区和南片区。北片区范围是北到长江，南到小江和联合大道，西到铁路专用线路和峨溪路，东到五华山路</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南片区范围是北到小江，南到长江南路，西到铁路专用线路，东到莲花湖路，扩区面积为17.68平方公里。</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（2）发展目标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优化拓展空间布局，承接产业转移能力进一步增强</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产业转型成效显著，战略性新兴产业进一步发展</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产业集聚步伐加快，综合经济实力进一步提升</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产城融合不断完善，生态环境进一步改善</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四个文明建设扎实推进，各项社会事业全面进步</w:t>
      </w:r>
      <w:r>
        <w:rPr>
          <w:rFonts w:hint="eastAsia"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（3）规划结构</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规划建立起“一区两片区三组团”空间总体结构。其中：</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1）</w:t>
      </w:r>
      <w:r>
        <w:rPr>
          <w:rFonts w:ascii="Times New Roman" w:hAnsi="Times New Roman" w:eastAsia="宋体" w:cs="Times New Roman"/>
          <w:bCs/>
          <w:sz w:val="24"/>
          <w:szCs w:val="24"/>
        </w:rPr>
        <w:t>“一区”：即芜湖三山经济开发区</w:t>
      </w:r>
      <w:r>
        <w:rPr>
          <w:rFonts w:hint="eastAsia"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2）</w:t>
      </w:r>
      <w:r>
        <w:rPr>
          <w:rFonts w:ascii="Times New Roman" w:hAnsi="Times New Roman" w:eastAsia="宋体" w:cs="Times New Roman"/>
          <w:bCs/>
          <w:sz w:val="24"/>
          <w:szCs w:val="24"/>
        </w:rPr>
        <w:t>“两片区”：为以小江为界分为北片区和南片区</w:t>
      </w:r>
      <w:r>
        <w:rPr>
          <w:rFonts w:hint="eastAsia"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3）</w:t>
      </w:r>
      <w:r>
        <w:rPr>
          <w:rFonts w:ascii="Times New Roman" w:hAnsi="Times New Roman" w:eastAsia="宋体" w:cs="Times New Roman"/>
          <w:bCs/>
          <w:sz w:val="24"/>
          <w:szCs w:val="24"/>
        </w:rPr>
        <w:t>“三组团”：主要指北片区的北部生产组团、莲花湖周边生产服务和生活服务组团、南片区生产组团</w:t>
      </w:r>
      <w:r>
        <w:rPr>
          <w:rFonts w:hint="eastAsia"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（4）产业体系</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借助优越的区位条件和政策优势，依托三山经济开发区、芜湖市承接产业转移示范区的现有产业发展基础，规划三山经济开发区未来应重点做强装备制造、现代服务业两大主导产业；培育电子电器这一战略性新兴产业，构建“2+1”的重点产业体系，促使三山经济开发区产业扩张与实力提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ascii="Times New Roman" w:hAnsi="Times New Roman" w:eastAsia="黑体" w:cs="Times New Roman"/>
          <w:sz w:val="44"/>
          <w:szCs w:val="44"/>
        </w:rPr>
        <w:t>5区域环境变化评价</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5.1环境敏感目标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原芜湖新兴铸管有限责任公司搬迁技术改造项目中环境保护目标情况见表5.1-1。根据本次后评价实际调查结果，原报告与后评价识别差异见表5.1-2。</w:t>
      </w:r>
    </w:p>
    <w:p>
      <w:pPr>
        <w:pStyle w:val="31"/>
        <w:keepNext w:val="0"/>
        <w:keepLines w:val="0"/>
        <w:pageBreakBefore w:val="0"/>
        <w:kinsoku/>
        <w:wordWrap/>
        <w:bidi w:val="0"/>
        <w:snapToGrid/>
        <w:spacing w:line="360" w:lineRule="auto"/>
        <w:rPr>
          <w:rFonts w:cs="Times New Roman"/>
        </w:rPr>
      </w:pPr>
      <w:r>
        <w:rPr>
          <w:rFonts w:cs="Times New Roman"/>
        </w:rPr>
        <w:t>表5.1-1  原搬迁报告中主要环境保护目标一览表</w:t>
      </w:r>
    </w:p>
    <w:tbl>
      <w:tblPr>
        <w:tblStyle w:val="21"/>
        <w:tblW w:w="907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04"/>
        <w:gridCol w:w="1180"/>
        <w:gridCol w:w="2211"/>
        <w:gridCol w:w="2211"/>
        <w:gridCol w:w="1180"/>
        <w:gridCol w:w="158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tblHeader/>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序号</w:t>
            </w:r>
          </w:p>
        </w:tc>
        <w:tc>
          <w:tcPr>
            <w:tcW w:w="118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环境要素</w:t>
            </w:r>
          </w:p>
        </w:tc>
        <w:tc>
          <w:tcPr>
            <w:tcW w:w="2211"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敏感点</w:t>
            </w:r>
          </w:p>
        </w:tc>
        <w:tc>
          <w:tcPr>
            <w:tcW w:w="2211"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规模</w:t>
            </w:r>
          </w:p>
        </w:tc>
        <w:tc>
          <w:tcPr>
            <w:tcW w:w="118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与厂区位置关系</w:t>
            </w:r>
          </w:p>
        </w:tc>
        <w:tc>
          <w:tcPr>
            <w:tcW w:w="158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距离厂界最近距离(km)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1180" w:type="dxa"/>
            <w:vMerge w:val="restart"/>
            <w:tcBorders>
              <w:tl2br w:val="nil"/>
              <w:tr2bl w:val="nil"/>
            </w:tcBorders>
            <w:vAlign w:val="center"/>
          </w:tcPr>
          <w:p>
            <w:pPr>
              <w:pStyle w:val="41"/>
              <w:keepNext w:val="0"/>
              <w:keepLines w:val="0"/>
              <w:pageBreakBefore w:val="0"/>
              <w:kinsoku/>
              <w:wordWrap/>
              <w:bidi w:val="0"/>
              <w:snapToGrid/>
              <w:spacing w:line="240" w:lineRule="auto"/>
            </w:pPr>
            <w:r>
              <w:t>大气</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六洲村</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260户，1100人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N</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5.00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2</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华电小区</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1776户，6216人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NE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1.02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3</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月亮湾小区</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1800户，5400人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2.80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4</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孙滩村委会</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100户，350人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3.00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5</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高安乡</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220户，990人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2.90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6</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协力村</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396户，1586人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W</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2.55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7</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横山中心小学</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1020人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3.65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8</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白象绿洲小区</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2000户， 5443人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3.80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9</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新港镇</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13125户，52500人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SW</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7.20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10</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黑沙洲乡</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60户，190人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W</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7.50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11</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白茆镇</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2712户，10850人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NW</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9.10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12</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三山区政府</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9.80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13</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横山公共服务中心</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7500户，19000人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6.00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14</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峨桥镇</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10000户，25000人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11.60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15</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马坝乡</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800户，2000人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9.40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16</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芦南街道</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500户，1300人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SW</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13.10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17</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七洲村</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400户，1000人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NE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9.70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1884" w:type="dxa"/>
            <w:gridSpan w:val="2"/>
            <w:vMerge w:val="restart"/>
            <w:tcBorders>
              <w:tl2br w:val="nil"/>
              <w:tr2bl w:val="nil"/>
            </w:tcBorders>
            <w:vAlign w:val="center"/>
          </w:tcPr>
          <w:p>
            <w:pPr>
              <w:pStyle w:val="41"/>
              <w:keepNext w:val="0"/>
              <w:keepLines w:val="0"/>
              <w:pageBreakBefore w:val="0"/>
              <w:kinsoku/>
              <w:wordWrap/>
              <w:bidi w:val="0"/>
              <w:snapToGrid/>
              <w:spacing w:line="240" w:lineRule="auto"/>
            </w:pPr>
            <w:r>
              <w:t>地表水</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长江芜湖段</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W</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0.30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1884" w:type="dxa"/>
            <w:gridSpan w:val="2"/>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小江</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1884" w:type="dxa"/>
            <w:gridSpan w:val="2"/>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大龙窝</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7.00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1884" w:type="dxa"/>
            <w:gridSpan w:val="2"/>
            <w:tcBorders>
              <w:tl2br w:val="nil"/>
              <w:tr2bl w:val="nil"/>
            </w:tcBorders>
            <w:vAlign w:val="center"/>
          </w:tcPr>
          <w:p>
            <w:pPr>
              <w:pStyle w:val="41"/>
              <w:keepNext w:val="0"/>
              <w:keepLines w:val="0"/>
              <w:pageBreakBefore w:val="0"/>
              <w:kinsoku/>
              <w:wordWrap/>
              <w:bidi w:val="0"/>
              <w:snapToGrid/>
              <w:spacing w:line="240" w:lineRule="auto"/>
            </w:pPr>
            <w:r>
              <w:t>地下水</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厂区及下游地下水</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1180" w:type="dxa"/>
            <w:vMerge w:val="restart"/>
            <w:tcBorders>
              <w:tl2br w:val="nil"/>
              <w:tr2bl w:val="nil"/>
            </w:tcBorders>
            <w:vAlign w:val="center"/>
          </w:tcPr>
          <w:p>
            <w:pPr>
              <w:pStyle w:val="41"/>
              <w:keepNext w:val="0"/>
              <w:keepLines w:val="0"/>
              <w:pageBreakBefore w:val="0"/>
              <w:kinsoku/>
              <w:wordWrap/>
              <w:bidi w:val="0"/>
              <w:snapToGrid/>
              <w:spacing w:line="240" w:lineRule="auto"/>
            </w:pPr>
            <w:r>
              <w:t>环境风险</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六洲村</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260户，1100人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N</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5.00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2</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华电小区</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1776户，6216人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NE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1.02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3</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月亮湾小区</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1800户，5400人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2.80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4</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孙滩村委会</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100户，350人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3.00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5</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高安乡</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220户，990人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2.90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6</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协力村</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396户，1586人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W</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2.55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7</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横山中心小学</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1020人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SE</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3.65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0" w:hRule="atLeast"/>
          <w:jc w:val="center"/>
        </w:trPr>
        <w:tc>
          <w:tcPr>
            <w:tcW w:w="704" w:type="dxa"/>
            <w:tcBorders>
              <w:tl2br w:val="nil"/>
              <w:tr2bl w:val="nil"/>
            </w:tcBorders>
            <w:vAlign w:val="center"/>
          </w:tcPr>
          <w:p>
            <w:pPr>
              <w:pStyle w:val="41"/>
              <w:keepNext w:val="0"/>
              <w:keepLines w:val="0"/>
              <w:pageBreakBefore w:val="0"/>
              <w:kinsoku/>
              <w:wordWrap/>
              <w:bidi w:val="0"/>
              <w:snapToGrid/>
              <w:spacing w:line="240" w:lineRule="auto"/>
            </w:pPr>
            <w:r>
              <w:t>8</w:t>
            </w:r>
          </w:p>
        </w:tc>
        <w:tc>
          <w:tcPr>
            <w:tcW w:w="1180"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白象绿洲小区</w:t>
            </w:r>
          </w:p>
        </w:tc>
        <w:tc>
          <w:tcPr>
            <w:tcW w:w="2211" w:type="dxa"/>
            <w:tcBorders>
              <w:tl2br w:val="nil"/>
              <w:tr2bl w:val="nil"/>
            </w:tcBorders>
            <w:vAlign w:val="center"/>
          </w:tcPr>
          <w:p>
            <w:pPr>
              <w:pStyle w:val="41"/>
              <w:keepNext w:val="0"/>
              <w:keepLines w:val="0"/>
              <w:pageBreakBefore w:val="0"/>
              <w:kinsoku/>
              <w:wordWrap/>
              <w:bidi w:val="0"/>
              <w:snapToGrid/>
              <w:spacing w:line="240" w:lineRule="auto"/>
            </w:pPr>
            <w:r>
              <w:t>2000户， 5443人</w:t>
            </w:r>
          </w:p>
        </w:tc>
        <w:tc>
          <w:tcPr>
            <w:tcW w:w="1180" w:type="dxa"/>
            <w:tcBorders>
              <w:tl2br w:val="nil"/>
              <w:tr2bl w:val="nil"/>
            </w:tcBorders>
            <w:vAlign w:val="center"/>
          </w:tcPr>
          <w:p>
            <w:pPr>
              <w:pStyle w:val="41"/>
              <w:keepNext w:val="0"/>
              <w:keepLines w:val="0"/>
              <w:pageBreakBefore w:val="0"/>
              <w:kinsoku/>
              <w:wordWrap/>
              <w:bidi w:val="0"/>
              <w:snapToGrid/>
              <w:spacing w:line="240" w:lineRule="auto"/>
            </w:pPr>
            <w:r>
              <w:t>S</w:t>
            </w:r>
          </w:p>
        </w:tc>
        <w:tc>
          <w:tcPr>
            <w:tcW w:w="1585" w:type="dxa"/>
            <w:tcBorders>
              <w:tl2br w:val="nil"/>
              <w:tr2bl w:val="nil"/>
            </w:tcBorders>
            <w:vAlign w:val="center"/>
          </w:tcPr>
          <w:p>
            <w:pPr>
              <w:pStyle w:val="41"/>
              <w:keepNext w:val="0"/>
              <w:keepLines w:val="0"/>
              <w:pageBreakBefore w:val="0"/>
              <w:kinsoku/>
              <w:wordWrap/>
              <w:bidi w:val="0"/>
              <w:snapToGrid/>
              <w:spacing w:line="240" w:lineRule="auto"/>
            </w:pPr>
            <w:r>
              <w:t>3.80</w:t>
            </w:r>
          </w:p>
        </w:tc>
      </w:tr>
    </w:tbl>
    <w:p>
      <w:pPr>
        <w:pStyle w:val="31"/>
        <w:keepNext w:val="0"/>
        <w:keepLines w:val="0"/>
        <w:pageBreakBefore w:val="0"/>
        <w:kinsoku/>
        <w:wordWrap/>
        <w:bidi w:val="0"/>
        <w:snapToGrid/>
        <w:spacing w:line="360" w:lineRule="auto"/>
        <w:rPr>
          <w:rFonts w:cs="Times New Roman"/>
        </w:rPr>
      </w:pPr>
    </w:p>
    <w:p>
      <w:pPr>
        <w:pStyle w:val="31"/>
        <w:keepNext w:val="0"/>
        <w:keepLines w:val="0"/>
        <w:pageBreakBefore w:val="0"/>
        <w:kinsoku/>
        <w:wordWrap/>
        <w:bidi w:val="0"/>
        <w:snapToGrid/>
        <w:spacing w:line="360" w:lineRule="auto"/>
        <w:rPr>
          <w:rFonts w:cs="Times New Roman"/>
        </w:rPr>
      </w:pPr>
      <w:r>
        <w:rPr>
          <w:rFonts w:cs="Times New Roman"/>
        </w:rPr>
        <w:t>表5.1-2  原搬迁报告识别与后评价识别的主要环境保护目标差异一览表</w:t>
      </w:r>
    </w:p>
    <w:tbl>
      <w:tblPr>
        <w:tblStyle w:val="22"/>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567"/>
        <w:gridCol w:w="818"/>
        <w:gridCol w:w="885"/>
        <w:gridCol w:w="2422"/>
        <w:gridCol w:w="1538"/>
        <w:gridCol w:w="1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tcBorders>
              <w:top w:val="single" w:color="auto" w:sz="12" w:space="0"/>
              <w:left w:val="nil"/>
            </w:tcBorders>
            <w:vAlign w:val="center"/>
          </w:tcPr>
          <w:p>
            <w:pPr>
              <w:pStyle w:val="41"/>
              <w:keepNext w:val="0"/>
              <w:keepLines w:val="0"/>
              <w:pageBreakBefore w:val="0"/>
              <w:kinsoku/>
              <w:wordWrap/>
              <w:bidi w:val="0"/>
              <w:snapToGrid/>
              <w:spacing w:line="240" w:lineRule="auto"/>
              <w:rPr>
                <w:b/>
                <w:bCs/>
                <w:szCs w:val="22"/>
              </w:rPr>
            </w:pPr>
            <w:r>
              <w:rPr>
                <w:b/>
                <w:bCs/>
                <w:szCs w:val="22"/>
              </w:rPr>
              <w:t>环境要素</w:t>
            </w:r>
          </w:p>
        </w:tc>
        <w:tc>
          <w:tcPr>
            <w:tcW w:w="1567" w:type="dxa"/>
            <w:tcBorders>
              <w:top w:val="single" w:color="auto" w:sz="12" w:space="0"/>
            </w:tcBorders>
            <w:vAlign w:val="center"/>
          </w:tcPr>
          <w:p>
            <w:pPr>
              <w:pStyle w:val="41"/>
              <w:keepNext w:val="0"/>
              <w:keepLines w:val="0"/>
              <w:pageBreakBefore w:val="0"/>
              <w:kinsoku/>
              <w:wordWrap/>
              <w:bidi w:val="0"/>
              <w:snapToGrid/>
              <w:spacing w:line="240" w:lineRule="auto"/>
              <w:rPr>
                <w:b/>
                <w:bCs/>
                <w:szCs w:val="22"/>
              </w:rPr>
            </w:pPr>
            <w:r>
              <w:rPr>
                <w:b/>
                <w:bCs/>
                <w:szCs w:val="22"/>
              </w:rPr>
              <w:t>保护对象名称</w:t>
            </w:r>
          </w:p>
        </w:tc>
        <w:tc>
          <w:tcPr>
            <w:tcW w:w="818" w:type="dxa"/>
            <w:tcBorders>
              <w:top w:val="single" w:color="auto" w:sz="12" w:space="0"/>
            </w:tcBorders>
            <w:vAlign w:val="center"/>
          </w:tcPr>
          <w:p>
            <w:pPr>
              <w:pStyle w:val="41"/>
              <w:keepNext w:val="0"/>
              <w:keepLines w:val="0"/>
              <w:pageBreakBefore w:val="0"/>
              <w:kinsoku/>
              <w:wordWrap/>
              <w:bidi w:val="0"/>
              <w:snapToGrid/>
              <w:spacing w:line="240" w:lineRule="auto"/>
              <w:rPr>
                <w:b/>
                <w:bCs/>
                <w:szCs w:val="22"/>
              </w:rPr>
            </w:pPr>
            <w:r>
              <w:rPr>
                <w:b/>
                <w:bCs/>
                <w:szCs w:val="22"/>
              </w:rPr>
              <w:t>方位</w:t>
            </w:r>
          </w:p>
        </w:tc>
        <w:tc>
          <w:tcPr>
            <w:tcW w:w="885" w:type="dxa"/>
            <w:tcBorders>
              <w:top w:val="single" w:color="auto" w:sz="12" w:space="0"/>
            </w:tcBorders>
            <w:vAlign w:val="center"/>
          </w:tcPr>
          <w:p>
            <w:pPr>
              <w:pStyle w:val="41"/>
              <w:keepNext w:val="0"/>
              <w:keepLines w:val="0"/>
              <w:pageBreakBefore w:val="0"/>
              <w:kinsoku/>
              <w:wordWrap/>
              <w:bidi w:val="0"/>
              <w:snapToGrid/>
              <w:spacing w:line="240" w:lineRule="auto"/>
              <w:rPr>
                <w:b/>
                <w:bCs/>
                <w:szCs w:val="22"/>
              </w:rPr>
            </w:pPr>
            <w:r>
              <w:rPr>
                <w:b/>
                <w:bCs/>
                <w:szCs w:val="22"/>
              </w:rPr>
              <w:t>距离/m</w:t>
            </w:r>
          </w:p>
        </w:tc>
        <w:tc>
          <w:tcPr>
            <w:tcW w:w="2422" w:type="dxa"/>
            <w:tcBorders>
              <w:top w:val="single" w:color="auto" w:sz="12" w:space="0"/>
            </w:tcBorders>
            <w:vAlign w:val="center"/>
          </w:tcPr>
          <w:p>
            <w:pPr>
              <w:pStyle w:val="41"/>
              <w:keepNext w:val="0"/>
              <w:keepLines w:val="0"/>
              <w:pageBreakBefore w:val="0"/>
              <w:kinsoku/>
              <w:wordWrap/>
              <w:bidi w:val="0"/>
              <w:snapToGrid/>
              <w:spacing w:line="240" w:lineRule="auto"/>
              <w:rPr>
                <w:b/>
                <w:bCs/>
                <w:szCs w:val="22"/>
              </w:rPr>
            </w:pPr>
            <w:r>
              <w:rPr>
                <w:b/>
                <w:bCs/>
                <w:szCs w:val="22"/>
              </w:rPr>
              <w:t>规模/环境功能</w:t>
            </w:r>
          </w:p>
        </w:tc>
        <w:tc>
          <w:tcPr>
            <w:tcW w:w="1538" w:type="dxa"/>
            <w:tcBorders>
              <w:top w:val="single" w:color="auto" w:sz="12" w:space="0"/>
            </w:tcBorders>
            <w:vAlign w:val="center"/>
          </w:tcPr>
          <w:p>
            <w:pPr>
              <w:pStyle w:val="41"/>
              <w:keepNext w:val="0"/>
              <w:keepLines w:val="0"/>
              <w:pageBreakBefore w:val="0"/>
              <w:kinsoku/>
              <w:wordWrap/>
              <w:bidi w:val="0"/>
              <w:snapToGrid/>
              <w:spacing w:line="240" w:lineRule="auto"/>
              <w:rPr>
                <w:b/>
                <w:bCs/>
                <w:szCs w:val="22"/>
              </w:rPr>
            </w:pPr>
            <w:r>
              <w:rPr>
                <w:b/>
                <w:bCs/>
                <w:szCs w:val="22"/>
              </w:rPr>
              <w:t>原环评识别存在问题</w:t>
            </w:r>
          </w:p>
        </w:tc>
        <w:tc>
          <w:tcPr>
            <w:tcW w:w="1055" w:type="dxa"/>
            <w:tcBorders>
              <w:top w:val="single" w:color="auto" w:sz="12" w:space="0"/>
              <w:right w:val="nil"/>
            </w:tcBorders>
            <w:vAlign w:val="center"/>
          </w:tcPr>
          <w:p>
            <w:pPr>
              <w:pStyle w:val="41"/>
              <w:keepNext w:val="0"/>
              <w:keepLines w:val="0"/>
              <w:pageBreakBefore w:val="0"/>
              <w:kinsoku/>
              <w:wordWrap/>
              <w:bidi w:val="0"/>
              <w:snapToGrid/>
              <w:spacing w:line="240" w:lineRule="auto"/>
              <w:rPr>
                <w:b/>
                <w:bCs/>
                <w:szCs w:val="22"/>
              </w:rPr>
            </w:pPr>
            <w:r>
              <w:rPr>
                <w:b/>
                <w:bCs/>
                <w:szCs w:val="22"/>
              </w:rPr>
              <w:t>保护</w:t>
            </w:r>
          </w:p>
          <w:p>
            <w:pPr>
              <w:pStyle w:val="41"/>
              <w:keepNext w:val="0"/>
              <w:keepLines w:val="0"/>
              <w:pageBreakBefore w:val="0"/>
              <w:kinsoku/>
              <w:wordWrap/>
              <w:bidi w:val="0"/>
              <w:snapToGrid/>
              <w:spacing w:line="240" w:lineRule="auto"/>
              <w:rPr>
                <w:b/>
                <w:bCs/>
                <w:szCs w:val="22"/>
              </w:rPr>
            </w:pPr>
            <w:r>
              <w:rPr>
                <w:b/>
                <w:bCs/>
                <w:szCs w:val="22"/>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restart"/>
            <w:tcBorders>
              <w:left w:val="nil"/>
            </w:tcBorders>
            <w:vAlign w:val="center"/>
          </w:tcPr>
          <w:p>
            <w:pPr>
              <w:pStyle w:val="41"/>
              <w:keepNext w:val="0"/>
              <w:keepLines w:val="0"/>
              <w:pageBreakBefore w:val="0"/>
              <w:kinsoku/>
              <w:wordWrap/>
              <w:bidi w:val="0"/>
              <w:snapToGrid/>
              <w:spacing w:line="240" w:lineRule="auto"/>
              <w:rPr>
                <w:szCs w:val="22"/>
              </w:rPr>
            </w:pPr>
            <w:r>
              <w:rPr>
                <w:szCs w:val="22"/>
              </w:rPr>
              <w:t>环境空气</w:t>
            </w:r>
          </w:p>
        </w:tc>
        <w:tc>
          <w:tcPr>
            <w:tcW w:w="1567" w:type="dxa"/>
            <w:vAlign w:val="center"/>
          </w:tcPr>
          <w:p>
            <w:pPr>
              <w:pStyle w:val="41"/>
              <w:keepNext w:val="0"/>
              <w:keepLines w:val="0"/>
              <w:pageBreakBefore w:val="0"/>
              <w:kinsoku/>
              <w:wordWrap/>
              <w:bidi w:val="0"/>
              <w:snapToGrid/>
              <w:spacing w:line="240" w:lineRule="auto"/>
              <w:rPr>
                <w:szCs w:val="22"/>
              </w:rPr>
            </w:pPr>
            <w:r>
              <w:t>六洲村</w:t>
            </w:r>
          </w:p>
        </w:tc>
        <w:tc>
          <w:tcPr>
            <w:tcW w:w="818" w:type="dxa"/>
            <w:vAlign w:val="center"/>
          </w:tcPr>
          <w:p>
            <w:pPr>
              <w:pStyle w:val="41"/>
              <w:keepNext w:val="0"/>
              <w:keepLines w:val="0"/>
              <w:pageBreakBefore w:val="0"/>
              <w:kinsoku/>
              <w:wordWrap/>
              <w:bidi w:val="0"/>
              <w:snapToGrid/>
              <w:spacing w:line="240" w:lineRule="auto"/>
              <w:rPr>
                <w:szCs w:val="22"/>
              </w:rPr>
            </w:pPr>
            <w:r>
              <w:t>N</w:t>
            </w:r>
          </w:p>
        </w:tc>
        <w:tc>
          <w:tcPr>
            <w:tcW w:w="885" w:type="dxa"/>
            <w:vAlign w:val="center"/>
          </w:tcPr>
          <w:p>
            <w:pPr>
              <w:pStyle w:val="41"/>
              <w:keepNext w:val="0"/>
              <w:keepLines w:val="0"/>
              <w:pageBreakBefore w:val="0"/>
              <w:kinsoku/>
              <w:wordWrap/>
              <w:bidi w:val="0"/>
              <w:snapToGrid/>
              <w:spacing w:line="240" w:lineRule="auto"/>
              <w:rPr>
                <w:szCs w:val="22"/>
              </w:rPr>
            </w:pPr>
            <w:r>
              <w:t>5.00</w:t>
            </w:r>
          </w:p>
        </w:tc>
        <w:tc>
          <w:tcPr>
            <w:tcW w:w="2422" w:type="dxa"/>
            <w:vAlign w:val="center"/>
          </w:tcPr>
          <w:p>
            <w:pPr>
              <w:pStyle w:val="41"/>
              <w:keepNext w:val="0"/>
              <w:keepLines w:val="0"/>
              <w:pageBreakBefore w:val="0"/>
              <w:kinsoku/>
              <w:wordWrap/>
              <w:bidi w:val="0"/>
              <w:snapToGrid/>
              <w:spacing w:line="240" w:lineRule="auto"/>
              <w:rPr>
                <w:szCs w:val="22"/>
              </w:rPr>
            </w:pPr>
            <w:r>
              <w:t>260户，1100人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restart"/>
            <w:tcBorders>
              <w:right w:val="nil"/>
            </w:tcBorders>
            <w:vAlign w:val="center"/>
          </w:tcPr>
          <w:p>
            <w:pPr>
              <w:pStyle w:val="41"/>
              <w:keepNext w:val="0"/>
              <w:keepLines w:val="0"/>
              <w:pageBreakBefore w:val="0"/>
              <w:kinsoku/>
              <w:wordWrap/>
              <w:bidi w:val="0"/>
              <w:snapToGrid/>
              <w:spacing w:line="240" w:lineRule="auto"/>
              <w:rPr>
                <w:szCs w:val="22"/>
              </w:rPr>
            </w:pPr>
            <w:r>
              <w:rPr>
                <w:szCs w:val="21"/>
              </w:rPr>
              <w:t>环境空气质量二类功能区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华电小区</w:t>
            </w:r>
          </w:p>
        </w:tc>
        <w:tc>
          <w:tcPr>
            <w:tcW w:w="818" w:type="dxa"/>
            <w:vAlign w:val="center"/>
          </w:tcPr>
          <w:p>
            <w:pPr>
              <w:pStyle w:val="41"/>
              <w:keepNext w:val="0"/>
              <w:keepLines w:val="0"/>
              <w:pageBreakBefore w:val="0"/>
              <w:kinsoku/>
              <w:wordWrap/>
              <w:bidi w:val="0"/>
              <w:snapToGrid/>
              <w:spacing w:line="240" w:lineRule="auto"/>
              <w:rPr>
                <w:szCs w:val="22"/>
              </w:rPr>
            </w:pPr>
            <w:r>
              <w:t>NE</w:t>
            </w:r>
          </w:p>
        </w:tc>
        <w:tc>
          <w:tcPr>
            <w:tcW w:w="885" w:type="dxa"/>
            <w:vAlign w:val="center"/>
          </w:tcPr>
          <w:p>
            <w:pPr>
              <w:pStyle w:val="41"/>
              <w:keepNext w:val="0"/>
              <w:keepLines w:val="0"/>
              <w:pageBreakBefore w:val="0"/>
              <w:kinsoku/>
              <w:wordWrap/>
              <w:bidi w:val="0"/>
              <w:snapToGrid/>
              <w:spacing w:line="240" w:lineRule="auto"/>
              <w:rPr>
                <w:szCs w:val="22"/>
              </w:rPr>
            </w:pPr>
            <w:r>
              <w:t>1.02</w:t>
            </w:r>
          </w:p>
        </w:tc>
        <w:tc>
          <w:tcPr>
            <w:tcW w:w="2422" w:type="dxa"/>
            <w:vAlign w:val="center"/>
          </w:tcPr>
          <w:p>
            <w:pPr>
              <w:pStyle w:val="41"/>
              <w:keepNext w:val="0"/>
              <w:keepLines w:val="0"/>
              <w:pageBreakBefore w:val="0"/>
              <w:kinsoku/>
              <w:wordWrap/>
              <w:bidi w:val="0"/>
              <w:snapToGrid/>
              <w:spacing w:line="240" w:lineRule="auto"/>
              <w:rPr>
                <w:szCs w:val="22"/>
              </w:rPr>
            </w:pPr>
            <w:r>
              <w:t>1776户，6216人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月亮湾小区</w:t>
            </w:r>
          </w:p>
        </w:tc>
        <w:tc>
          <w:tcPr>
            <w:tcW w:w="818" w:type="dxa"/>
            <w:vAlign w:val="center"/>
          </w:tcPr>
          <w:p>
            <w:pPr>
              <w:pStyle w:val="41"/>
              <w:keepNext w:val="0"/>
              <w:keepLines w:val="0"/>
              <w:pageBreakBefore w:val="0"/>
              <w:kinsoku/>
              <w:wordWrap/>
              <w:bidi w:val="0"/>
              <w:snapToGrid/>
              <w:spacing w:line="240" w:lineRule="auto"/>
              <w:rPr>
                <w:szCs w:val="22"/>
              </w:rPr>
            </w:pPr>
            <w:r>
              <w:t>E</w:t>
            </w:r>
          </w:p>
        </w:tc>
        <w:tc>
          <w:tcPr>
            <w:tcW w:w="885" w:type="dxa"/>
            <w:vAlign w:val="center"/>
          </w:tcPr>
          <w:p>
            <w:pPr>
              <w:pStyle w:val="41"/>
              <w:keepNext w:val="0"/>
              <w:keepLines w:val="0"/>
              <w:pageBreakBefore w:val="0"/>
              <w:kinsoku/>
              <w:wordWrap/>
              <w:bidi w:val="0"/>
              <w:snapToGrid/>
              <w:spacing w:line="240" w:lineRule="auto"/>
              <w:rPr>
                <w:szCs w:val="22"/>
              </w:rPr>
            </w:pPr>
            <w:r>
              <w:t>2.80</w:t>
            </w:r>
          </w:p>
        </w:tc>
        <w:tc>
          <w:tcPr>
            <w:tcW w:w="2422" w:type="dxa"/>
            <w:vAlign w:val="center"/>
          </w:tcPr>
          <w:p>
            <w:pPr>
              <w:pStyle w:val="41"/>
              <w:keepNext w:val="0"/>
              <w:keepLines w:val="0"/>
              <w:pageBreakBefore w:val="0"/>
              <w:kinsoku/>
              <w:wordWrap/>
              <w:bidi w:val="0"/>
              <w:snapToGrid/>
              <w:spacing w:line="240" w:lineRule="auto"/>
              <w:rPr>
                <w:szCs w:val="22"/>
              </w:rPr>
            </w:pPr>
            <w:r>
              <w:t>1800户，5400人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孙滩村委会</w:t>
            </w:r>
          </w:p>
        </w:tc>
        <w:tc>
          <w:tcPr>
            <w:tcW w:w="818" w:type="dxa"/>
            <w:vAlign w:val="center"/>
          </w:tcPr>
          <w:p>
            <w:pPr>
              <w:pStyle w:val="41"/>
              <w:keepNext w:val="0"/>
              <w:keepLines w:val="0"/>
              <w:pageBreakBefore w:val="0"/>
              <w:kinsoku/>
              <w:wordWrap/>
              <w:bidi w:val="0"/>
              <w:snapToGrid/>
              <w:spacing w:line="240" w:lineRule="auto"/>
              <w:rPr>
                <w:szCs w:val="22"/>
              </w:rPr>
            </w:pPr>
            <w:r>
              <w:t>SE</w:t>
            </w:r>
          </w:p>
        </w:tc>
        <w:tc>
          <w:tcPr>
            <w:tcW w:w="885" w:type="dxa"/>
            <w:vAlign w:val="center"/>
          </w:tcPr>
          <w:p>
            <w:pPr>
              <w:pStyle w:val="41"/>
              <w:keepNext w:val="0"/>
              <w:keepLines w:val="0"/>
              <w:pageBreakBefore w:val="0"/>
              <w:kinsoku/>
              <w:wordWrap/>
              <w:bidi w:val="0"/>
              <w:snapToGrid/>
              <w:spacing w:line="240" w:lineRule="auto"/>
              <w:rPr>
                <w:szCs w:val="22"/>
              </w:rPr>
            </w:pPr>
            <w:r>
              <w:t>3.00</w:t>
            </w:r>
          </w:p>
        </w:tc>
        <w:tc>
          <w:tcPr>
            <w:tcW w:w="2422" w:type="dxa"/>
            <w:vAlign w:val="center"/>
          </w:tcPr>
          <w:p>
            <w:pPr>
              <w:pStyle w:val="41"/>
              <w:keepNext w:val="0"/>
              <w:keepLines w:val="0"/>
              <w:pageBreakBefore w:val="0"/>
              <w:kinsoku/>
              <w:wordWrap/>
              <w:bidi w:val="0"/>
              <w:snapToGrid/>
              <w:spacing w:line="240" w:lineRule="auto"/>
              <w:rPr>
                <w:szCs w:val="22"/>
              </w:rPr>
            </w:pPr>
            <w:r>
              <w:t>100户，350人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高安乡</w:t>
            </w:r>
          </w:p>
        </w:tc>
        <w:tc>
          <w:tcPr>
            <w:tcW w:w="818" w:type="dxa"/>
            <w:vAlign w:val="center"/>
          </w:tcPr>
          <w:p>
            <w:pPr>
              <w:pStyle w:val="41"/>
              <w:keepNext w:val="0"/>
              <w:keepLines w:val="0"/>
              <w:pageBreakBefore w:val="0"/>
              <w:kinsoku/>
              <w:wordWrap/>
              <w:bidi w:val="0"/>
              <w:snapToGrid/>
              <w:spacing w:line="240" w:lineRule="auto"/>
              <w:rPr>
                <w:szCs w:val="22"/>
              </w:rPr>
            </w:pPr>
            <w:r>
              <w:t>S</w:t>
            </w:r>
          </w:p>
        </w:tc>
        <w:tc>
          <w:tcPr>
            <w:tcW w:w="885" w:type="dxa"/>
            <w:vAlign w:val="center"/>
          </w:tcPr>
          <w:p>
            <w:pPr>
              <w:pStyle w:val="41"/>
              <w:keepNext w:val="0"/>
              <w:keepLines w:val="0"/>
              <w:pageBreakBefore w:val="0"/>
              <w:kinsoku/>
              <w:wordWrap/>
              <w:bidi w:val="0"/>
              <w:snapToGrid/>
              <w:spacing w:line="240" w:lineRule="auto"/>
              <w:rPr>
                <w:szCs w:val="22"/>
              </w:rPr>
            </w:pPr>
            <w:r>
              <w:t>2.90</w:t>
            </w:r>
          </w:p>
        </w:tc>
        <w:tc>
          <w:tcPr>
            <w:tcW w:w="2422" w:type="dxa"/>
            <w:vAlign w:val="center"/>
          </w:tcPr>
          <w:p>
            <w:pPr>
              <w:pStyle w:val="41"/>
              <w:keepNext w:val="0"/>
              <w:keepLines w:val="0"/>
              <w:pageBreakBefore w:val="0"/>
              <w:kinsoku/>
              <w:wordWrap/>
              <w:bidi w:val="0"/>
              <w:snapToGrid/>
              <w:spacing w:line="240" w:lineRule="auto"/>
              <w:rPr>
                <w:szCs w:val="22"/>
              </w:rPr>
            </w:pPr>
            <w:r>
              <w:t>220户，990人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协力村</w:t>
            </w:r>
          </w:p>
        </w:tc>
        <w:tc>
          <w:tcPr>
            <w:tcW w:w="818" w:type="dxa"/>
            <w:vAlign w:val="center"/>
          </w:tcPr>
          <w:p>
            <w:pPr>
              <w:pStyle w:val="41"/>
              <w:keepNext w:val="0"/>
              <w:keepLines w:val="0"/>
              <w:pageBreakBefore w:val="0"/>
              <w:kinsoku/>
              <w:wordWrap/>
              <w:bidi w:val="0"/>
              <w:snapToGrid/>
              <w:spacing w:line="240" w:lineRule="auto"/>
              <w:rPr>
                <w:szCs w:val="22"/>
              </w:rPr>
            </w:pPr>
            <w:r>
              <w:t>W</w:t>
            </w:r>
          </w:p>
        </w:tc>
        <w:tc>
          <w:tcPr>
            <w:tcW w:w="885" w:type="dxa"/>
            <w:vAlign w:val="center"/>
          </w:tcPr>
          <w:p>
            <w:pPr>
              <w:pStyle w:val="41"/>
              <w:keepNext w:val="0"/>
              <w:keepLines w:val="0"/>
              <w:pageBreakBefore w:val="0"/>
              <w:kinsoku/>
              <w:wordWrap/>
              <w:bidi w:val="0"/>
              <w:snapToGrid/>
              <w:spacing w:line="240" w:lineRule="auto"/>
              <w:rPr>
                <w:szCs w:val="22"/>
              </w:rPr>
            </w:pPr>
            <w:r>
              <w:t>2.55</w:t>
            </w:r>
          </w:p>
        </w:tc>
        <w:tc>
          <w:tcPr>
            <w:tcW w:w="2422" w:type="dxa"/>
            <w:vAlign w:val="center"/>
          </w:tcPr>
          <w:p>
            <w:pPr>
              <w:pStyle w:val="41"/>
              <w:keepNext w:val="0"/>
              <w:keepLines w:val="0"/>
              <w:pageBreakBefore w:val="0"/>
              <w:kinsoku/>
              <w:wordWrap/>
              <w:bidi w:val="0"/>
              <w:snapToGrid/>
              <w:spacing w:line="240" w:lineRule="auto"/>
              <w:rPr>
                <w:szCs w:val="22"/>
              </w:rPr>
            </w:pPr>
            <w:r>
              <w:t>396户，1586人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横山中心小学</w:t>
            </w:r>
          </w:p>
        </w:tc>
        <w:tc>
          <w:tcPr>
            <w:tcW w:w="818" w:type="dxa"/>
            <w:vAlign w:val="center"/>
          </w:tcPr>
          <w:p>
            <w:pPr>
              <w:pStyle w:val="41"/>
              <w:keepNext w:val="0"/>
              <w:keepLines w:val="0"/>
              <w:pageBreakBefore w:val="0"/>
              <w:kinsoku/>
              <w:wordWrap/>
              <w:bidi w:val="0"/>
              <w:snapToGrid/>
              <w:spacing w:line="240" w:lineRule="auto"/>
              <w:rPr>
                <w:szCs w:val="22"/>
              </w:rPr>
            </w:pPr>
            <w:r>
              <w:t>SE</w:t>
            </w:r>
          </w:p>
        </w:tc>
        <w:tc>
          <w:tcPr>
            <w:tcW w:w="885" w:type="dxa"/>
            <w:vAlign w:val="center"/>
          </w:tcPr>
          <w:p>
            <w:pPr>
              <w:pStyle w:val="41"/>
              <w:keepNext w:val="0"/>
              <w:keepLines w:val="0"/>
              <w:pageBreakBefore w:val="0"/>
              <w:kinsoku/>
              <w:wordWrap/>
              <w:bidi w:val="0"/>
              <w:snapToGrid/>
              <w:spacing w:line="240" w:lineRule="auto"/>
              <w:rPr>
                <w:szCs w:val="22"/>
              </w:rPr>
            </w:pPr>
            <w:r>
              <w:t>3.65</w:t>
            </w:r>
          </w:p>
        </w:tc>
        <w:tc>
          <w:tcPr>
            <w:tcW w:w="2422" w:type="dxa"/>
            <w:vAlign w:val="center"/>
          </w:tcPr>
          <w:p>
            <w:pPr>
              <w:pStyle w:val="41"/>
              <w:keepNext w:val="0"/>
              <w:keepLines w:val="0"/>
              <w:pageBreakBefore w:val="0"/>
              <w:kinsoku/>
              <w:wordWrap/>
              <w:bidi w:val="0"/>
              <w:snapToGrid/>
              <w:spacing w:line="240" w:lineRule="auto"/>
              <w:rPr>
                <w:szCs w:val="22"/>
              </w:rPr>
            </w:pPr>
            <w:r>
              <w:t>1020人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白象绿洲小区</w:t>
            </w:r>
          </w:p>
        </w:tc>
        <w:tc>
          <w:tcPr>
            <w:tcW w:w="818" w:type="dxa"/>
            <w:vAlign w:val="center"/>
          </w:tcPr>
          <w:p>
            <w:pPr>
              <w:pStyle w:val="41"/>
              <w:keepNext w:val="0"/>
              <w:keepLines w:val="0"/>
              <w:pageBreakBefore w:val="0"/>
              <w:kinsoku/>
              <w:wordWrap/>
              <w:bidi w:val="0"/>
              <w:snapToGrid/>
              <w:spacing w:line="240" w:lineRule="auto"/>
              <w:rPr>
                <w:szCs w:val="22"/>
              </w:rPr>
            </w:pPr>
            <w:r>
              <w:t>S</w:t>
            </w:r>
          </w:p>
        </w:tc>
        <w:tc>
          <w:tcPr>
            <w:tcW w:w="885" w:type="dxa"/>
            <w:vAlign w:val="center"/>
          </w:tcPr>
          <w:p>
            <w:pPr>
              <w:pStyle w:val="41"/>
              <w:keepNext w:val="0"/>
              <w:keepLines w:val="0"/>
              <w:pageBreakBefore w:val="0"/>
              <w:kinsoku/>
              <w:wordWrap/>
              <w:bidi w:val="0"/>
              <w:snapToGrid/>
              <w:spacing w:line="240" w:lineRule="auto"/>
              <w:rPr>
                <w:szCs w:val="22"/>
              </w:rPr>
            </w:pPr>
            <w:r>
              <w:t>3.80</w:t>
            </w:r>
          </w:p>
        </w:tc>
        <w:tc>
          <w:tcPr>
            <w:tcW w:w="2422" w:type="dxa"/>
            <w:vAlign w:val="center"/>
          </w:tcPr>
          <w:p>
            <w:pPr>
              <w:pStyle w:val="41"/>
              <w:keepNext w:val="0"/>
              <w:keepLines w:val="0"/>
              <w:pageBreakBefore w:val="0"/>
              <w:kinsoku/>
              <w:wordWrap/>
              <w:bidi w:val="0"/>
              <w:snapToGrid/>
              <w:spacing w:line="240" w:lineRule="auto"/>
              <w:rPr>
                <w:szCs w:val="22"/>
              </w:rPr>
            </w:pPr>
            <w:r>
              <w:t>2000户，5443人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tcBorders>
              <w:bottom w:val="single" w:color="auto" w:sz="4" w:space="0"/>
            </w:tcBorders>
            <w:vAlign w:val="center"/>
          </w:tcPr>
          <w:p>
            <w:pPr>
              <w:pStyle w:val="41"/>
              <w:keepNext w:val="0"/>
              <w:keepLines w:val="0"/>
              <w:pageBreakBefore w:val="0"/>
              <w:kinsoku/>
              <w:wordWrap/>
              <w:bidi w:val="0"/>
              <w:snapToGrid/>
              <w:spacing w:line="240" w:lineRule="auto"/>
              <w:rPr>
                <w:szCs w:val="22"/>
              </w:rPr>
            </w:pPr>
            <w:r>
              <w:t>新港镇</w:t>
            </w:r>
          </w:p>
        </w:tc>
        <w:tc>
          <w:tcPr>
            <w:tcW w:w="818" w:type="dxa"/>
            <w:tcBorders>
              <w:bottom w:val="single" w:color="auto" w:sz="4" w:space="0"/>
            </w:tcBorders>
            <w:vAlign w:val="center"/>
          </w:tcPr>
          <w:p>
            <w:pPr>
              <w:pStyle w:val="41"/>
              <w:keepNext w:val="0"/>
              <w:keepLines w:val="0"/>
              <w:pageBreakBefore w:val="0"/>
              <w:kinsoku/>
              <w:wordWrap/>
              <w:bidi w:val="0"/>
              <w:snapToGrid/>
              <w:spacing w:line="240" w:lineRule="auto"/>
              <w:rPr>
                <w:szCs w:val="22"/>
              </w:rPr>
            </w:pPr>
            <w:r>
              <w:t>SW</w:t>
            </w:r>
          </w:p>
        </w:tc>
        <w:tc>
          <w:tcPr>
            <w:tcW w:w="885" w:type="dxa"/>
            <w:tcBorders>
              <w:bottom w:val="single" w:color="auto" w:sz="4" w:space="0"/>
            </w:tcBorders>
            <w:vAlign w:val="center"/>
          </w:tcPr>
          <w:p>
            <w:pPr>
              <w:pStyle w:val="41"/>
              <w:keepNext w:val="0"/>
              <w:keepLines w:val="0"/>
              <w:pageBreakBefore w:val="0"/>
              <w:kinsoku/>
              <w:wordWrap/>
              <w:bidi w:val="0"/>
              <w:snapToGrid/>
              <w:spacing w:line="240" w:lineRule="auto"/>
              <w:rPr>
                <w:szCs w:val="22"/>
              </w:rPr>
            </w:pPr>
            <w:r>
              <w:t>7.20</w:t>
            </w:r>
          </w:p>
        </w:tc>
        <w:tc>
          <w:tcPr>
            <w:tcW w:w="2422" w:type="dxa"/>
            <w:tcBorders>
              <w:bottom w:val="single" w:color="auto" w:sz="4" w:space="0"/>
            </w:tcBorders>
            <w:vAlign w:val="center"/>
          </w:tcPr>
          <w:p>
            <w:pPr>
              <w:pStyle w:val="41"/>
              <w:keepNext w:val="0"/>
              <w:keepLines w:val="0"/>
              <w:pageBreakBefore w:val="0"/>
              <w:kinsoku/>
              <w:wordWrap/>
              <w:bidi w:val="0"/>
              <w:snapToGrid/>
              <w:spacing w:line="240" w:lineRule="auto"/>
              <w:rPr>
                <w:szCs w:val="22"/>
              </w:rPr>
            </w:pPr>
            <w:r>
              <w:t>13125户，52500人</w:t>
            </w:r>
          </w:p>
        </w:tc>
        <w:tc>
          <w:tcPr>
            <w:tcW w:w="1538" w:type="dxa"/>
            <w:tcBorders>
              <w:bottom w:val="single" w:color="auto" w:sz="4" w:space="0"/>
            </w:tcBorders>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tcBorders>
              <w:top w:val="single" w:color="auto" w:sz="4" w:space="0"/>
            </w:tcBorders>
            <w:vAlign w:val="center"/>
          </w:tcPr>
          <w:p>
            <w:pPr>
              <w:pStyle w:val="41"/>
              <w:keepNext w:val="0"/>
              <w:keepLines w:val="0"/>
              <w:pageBreakBefore w:val="0"/>
              <w:kinsoku/>
              <w:wordWrap/>
              <w:bidi w:val="0"/>
              <w:snapToGrid/>
              <w:spacing w:line="240" w:lineRule="auto"/>
              <w:rPr>
                <w:szCs w:val="22"/>
              </w:rPr>
            </w:pPr>
            <w:r>
              <w:t>黑沙洲乡</w:t>
            </w:r>
          </w:p>
        </w:tc>
        <w:tc>
          <w:tcPr>
            <w:tcW w:w="818" w:type="dxa"/>
            <w:tcBorders>
              <w:top w:val="single" w:color="auto" w:sz="4" w:space="0"/>
            </w:tcBorders>
            <w:vAlign w:val="center"/>
          </w:tcPr>
          <w:p>
            <w:pPr>
              <w:pStyle w:val="41"/>
              <w:keepNext w:val="0"/>
              <w:keepLines w:val="0"/>
              <w:pageBreakBefore w:val="0"/>
              <w:kinsoku/>
              <w:wordWrap/>
              <w:bidi w:val="0"/>
              <w:snapToGrid/>
              <w:spacing w:line="240" w:lineRule="auto"/>
              <w:rPr>
                <w:szCs w:val="22"/>
              </w:rPr>
            </w:pPr>
            <w:r>
              <w:t>W</w:t>
            </w:r>
          </w:p>
        </w:tc>
        <w:tc>
          <w:tcPr>
            <w:tcW w:w="885" w:type="dxa"/>
            <w:tcBorders>
              <w:top w:val="single" w:color="auto" w:sz="4" w:space="0"/>
            </w:tcBorders>
            <w:vAlign w:val="center"/>
          </w:tcPr>
          <w:p>
            <w:pPr>
              <w:pStyle w:val="41"/>
              <w:keepNext w:val="0"/>
              <w:keepLines w:val="0"/>
              <w:pageBreakBefore w:val="0"/>
              <w:kinsoku/>
              <w:wordWrap/>
              <w:bidi w:val="0"/>
              <w:snapToGrid/>
              <w:spacing w:line="240" w:lineRule="auto"/>
              <w:rPr>
                <w:szCs w:val="22"/>
              </w:rPr>
            </w:pPr>
            <w:r>
              <w:t>7.50</w:t>
            </w:r>
          </w:p>
        </w:tc>
        <w:tc>
          <w:tcPr>
            <w:tcW w:w="2422" w:type="dxa"/>
            <w:tcBorders>
              <w:top w:val="single" w:color="auto" w:sz="4" w:space="0"/>
            </w:tcBorders>
            <w:vAlign w:val="center"/>
          </w:tcPr>
          <w:p>
            <w:pPr>
              <w:pStyle w:val="41"/>
              <w:keepNext w:val="0"/>
              <w:keepLines w:val="0"/>
              <w:pageBreakBefore w:val="0"/>
              <w:kinsoku/>
              <w:wordWrap/>
              <w:bidi w:val="0"/>
              <w:snapToGrid/>
              <w:spacing w:line="240" w:lineRule="auto"/>
              <w:rPr>
                <w:szCs w:val="22"/>
              </w:rPr>
            </w:pPr>
            <w:r>
              <w:t>60户，190人</w:t>
            </w:r>
          </w:p>
        </w:tc>
        <w:tc>
          <w:tcPr>
            <w:tcW w:w="1538" w:type="dxa"/>
            <w:tcBorders>
              <w:top w:val="single" w:color="auto" w:sz="4" w:space="0"/>
            </w:tcBorders>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白茆镇</w:t>
            </w:r>
          </w:p>
        </w:tc>
        <w:tc>
          <w:tcPr>
            <w:tcW w:w="818" w:type="dxa"/>
            <w:vAlign w:val="center"/>
          </w:tcPr>
          <w:p>
            <w:pPr>
              <w:pStyle w:val="41"/>
              <w:keepNext w:val="0"/>
              <w:keepLines w:val="0"/>
              <w:pageBreakBefore w:val="0"/>
              <w:kinsoku/>
              <w:wordWrap/>
              <w:bidi w:val="0"/>
              <w:snapToGrid/>
              <w:spacing w:line="240" w:lineRule="auto"/>
              <w:rPr>
                <w:szCs w:val="22"/>
              </w:rPr>
            </w:pPr>
            <w:r>
              <w:t>NW</w:t>
            </w:r>
          </w:p>
        </w:tc>
        <w:tc>
          <w:tcPr>
            <w:tcW w:w="885" w:type="dxa"/>
            <w:vAlign w:val="center"/>
          </w:tcPr>
          <w:p>
            <w:pPr>
              <w:pStyle w:val="41"/>
              <w:keepNext w:val="0"/>
              <w:keepLines w:val="0"/>
              <w:pageBreakBefore w:val="0"/>
              <w:kinsoku/>
              <w:wordWrap/>
              <w:bidi w:val="0"/>
              <w:snapToGrid/>
              <w:spacing w:line="240" w:lineRule="auto"/>
              <w:rPr>
                <w:szCs w:val="22"/>
              </w:rPr>
            </w:pPr>
            <w:r>
              <w:t>9.10</w:t>
            </w:r>
          </w:p>
        </w:tc>
        <w:tc>
          <w:tcPr>
            <w:tcW w:w="2422" w:type="dxa"/>
            <w:vAlign w:val="center"/>
          </w:tcPr>
          <w:p>
            <w:pPr>
              <w:pStyle w:val="41"/>
              <w:keepNext w:val="0"/>
              <w:keepLines w:val="0"/>
              <w:pageBreakBefore w:val="0"/>
              <w:kinsoku/>
              <w:wordWrap/>
              <w:bidi w:val="0"/>
              <w:snapToGrid/>
              <w:spacing w:line="240" w:lineRule="auto"/>
              <w:rPr>
                <w:szCs w:val="22"/>
              </w:rPr>
            </w:pPr>
            <w:r>
              <w:t>2712户，10850人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三山区政府</w:t>
            </w:r>
          </w:p>
        </w:tc>
        <w:tc>
          <w:tcPr>
            <w:tcW w:w="818" w:type="dxa"/>
            <w:vAlign w:val="center"/>
          </w:tcPr>
          <w:p>
            <w:pPr>
              <w:pStyle w:val="41"/>
              <w:keepNext w:val="0"/>
              <w:keepLines w:val="0"/>
              <w:pageBreakBefore w:val="0"/>
              <w:kinsoku/>
              <w:wordWrap/>
              <w:bidi w:val="0"/>
              <w:snapToGrid/>
              <w:spacing w:line="240" w:lineRule="auto"/>
              <w:rPr>
                <w:szCs w:val="22"/>
              </w:rPr>
            </w:pPr>
            <w:r>
              <w:t>E</w:t>
            </w:r>
          </w:p>
        </w:tc>
        <w:tc>
          <w:tcPr>
            <w:tcW w:w="885" w:type="dxa"/>
            <w:vAlign w:val="center"/>
          </w:tcPr>
          <w:p>
            <w:pPr>
              <w:pStyle w:val="41"/>
              <w:keepNext w:val="0"/>
              <w:keepLines w:val="0"/>
              <w:pageBreakBefore w:val="0"/>
              <w:kinsoku/>
              <w:wordWrap/>
              <w:bidi w:val="0"/>
              <w:snapToGrid/>
              <w:spacing w:line="240" w:lineRule="auto"/>
              <w:rPr>
                <w:szCs w:val="22"/>
              </w:rPr>
            </w:pPr>
            <w:r>
              <w:t>9.80</w:t>
            </w:r>
          </w:p>
        </w:tc>
        <w:tc>
          <w:tcPr>
            <w:tcW w:w="2422" w:type="dxa"/>
            <w:vAlign w:val="center"/>
          </w:tcPr>
          <w:p>
            <w:pPr>
              <w:pStyle w:val="41"/>
              <w:keepNext w:val="0"/>
              <w:keepLines w:val="0"/>
              <w:pageBreakBefore w:val="0"/>
              <w:kinsoku/>
              <w:wordWrap/>
              <w:bidi w:val="0"/>
              <w:snapToGrid/>
              <w:spacing w:line="240" w:lineRule="auto"/>
              <w:rPr>
                <w:szCs w:val="22"/>
              </w:rPr>
            </w:pPr>
            <w:r>
              <w:t>100人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横山公共服务中心</w:t>
            </w:r>
          </w:p>
        </w:tc>
        <w:tc>
          <w:tcPr>
            <w:tcW w:w="818" w:type="dxa"/>
            <w:vAlign w:val="center"/>
          </w:tcPr>
          <w:p>
            <w:pPr>
              <w:pStyle w:val="41"/>
              <w:keepNext w:val="0"/>
              <w:keepLines w:val="0"/>
              <w:pageBreakBefore w:val="0"/>
              <w:kinsoku/>
              <w:wordWrap/>
              <w:bidi w:val="0"/>
              <w:snapToGrid/>
              <w:spacing w:line="240" w:lineRule="auto"/>
              <w:rPr>
                <w:szCs w:val="22"/>
              </w:rPr>
            </w:pPr>
            <w:r>
              <w:t>SE</w:t>
            </w:r>
          </w:p>
        </w:tc>
        <w:tc>
          <w:tcPr>
            <w:tcW w:w="885" w:type="dxa"/>
            <w:vAlign w:val="center"/>
          </w:tcPr>
          <w:p>
            <w:pPr>
              <w:pStyle w:val="41"/>
              <w:keepNext w:val="0"/>
              <w:keepLines w:val="0"/>
              <w:pageBreakBefore w:val="0"/>
              <w:kinsoku/>
              <w:wordWrap/>
              <w:bidi w:val="0"/>
              <w:snapToGrid/>
              <w:spacing w:line="240" w:lineRule="auto"/>
              <w:rPr>
                <w:szCs w:val="22"/>
              </w:rPr>
            </w:pPr>
            <w:r>
              <w:t>6.00</w:t>
            </w:r>
          </w:p>
        </w:tc>
        <w:tc>
          <w:tcPr>
            <w:tcW w:w="2422" w:type="dxa"/>
            <w:vAlign w:val="center"/>
          </w:tcPr>
          <w:p>
            <w:pPr>
              <w:pStyle w:val="41"/>
              <w:keepNext w:val="0"/>
              <w:keepLines w:val="0"/>
              <w:pageBreakBefore w:val="0"/>
              <w:kinsoku/>
              <w:wordWrap/>
              <w:bidi w:val="0"/>
              <w:snapToGrid/>
              <w:spacing w:line="240" w:lineRule="auto"/>
              <w:rPr>
                <w:szCs w:val="22"/>
              </w:rPr>
            </w:pPr>
            <w:r>
              <w:t>7500户，19000人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峨桥镇</w:t>
            </w:r>
          </w:p>
        </w:tc>
        <w:tc>
          <w:tcPr>
            <w:tcW w:w="818" w:type="dxa"/>
            <w:vAlign w:val="center"/>
          </w:tcPr>
          <w:p>
            <w:pPr>
              <w:pStyle w:val="41"/>
              <w:keepNext w:val="0"/>
              <w:keepLines w:val="0"/>
              <w:pageBreakBefore w:val="0"/>
              <w:kinsoku/>
              <w:wordWrap/>
              <w:bidi w:val="0"/>
              <w:snapToGrid/>
              <w:spacing w:line="240" w:lineRule="auto"/>
              <w:rPr>
                <w:szCs w:val="22"/>
              </w:rPr>
            </w:pPr>
            <w:r>
              <w:t>SE</w:t>
            </w:r>
          </w:p>
        </w:tc>
        <w:tc>
          <w:tcPr>
            <w:tcW w:w="885" w:type="dxa"/>
            <w:vAlign w:val="center"/>
          </w:tcPr>
          <w:p>
            <w:pPr>
              <w:pStyle w:val="41"/>
              <w:keepNext w:val="0"/>
              <w:keepLines w:val="0"/>
              <w:pageBreakBefore w:val="0"/>
              <w:kinsoku/>
              <w:wordWrap/>
              <w:bidi w:val="0"/>
              <w:snapToGrid/>
              <w:spacing w:line="240" w:lineRule="auto"/>
              <w:rPr>
                <w:szCs w:val="22"/>
              </w:rPr>
            </w:pPr>
            <w:r>
              <w:t>11.60</w:t>
            </w:r>
          </w:p>
        </w:tc>
        <w:tc>
          <w:tcPr>
            <w:tcW w:w="2422" w:type="dxa"/>
            <w:vAlign w:val="center"/>
          </w:tcPr>
          <w:p>
            <w:pPr>
              <w:pStyle w:val="41"/>
              <w:keepNext w:val="0"/>
              <w:keepLines w:val="0"/>
              <w:pageBreakBefore w:val="0"/>
              <w:kinsoku/>
              <w:wordWrap/>
              <w:bidi w:val="0"/>
              <w:snapToGrid/>
              <w:spacing w:line="240" w:lineRule="auto"/>
              <w:rPr>
                <w:szCs w:val="22"/>
              </w:rPr>
            </w:pPr>
            <w:r>
              <w:t>10000户，25000人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马坝乡</w:t>
            </w:r>
          </w:p>
        </w:tc>
        <w:tc>
          <w:tcPr>
            <w:tcW w:w="818" w:type="dxa"/>
            <w:vAlign w:val="center"/>
          </w:tcPr>
          <w:p>
            <w:pPr>
              <w:pStyle w:val="41"/>
              <w:keepNext w:val="0"/>
              <w:keepLines w:val="0"/>
              <w:pageBreakBefore w:val="0"/>
              <w:kinsoku/>
              <w:wordWrap/>
              <w:bidi w:val="0"/>
              <w:snapToGrid/>
              <w:spacing w:line="240" w:lineRule="auto"/>
              <w:rPr>
                <w:szCs w:val="22"/>
              </w:rPr>
            </w:pPr>
            <w:r>
              <w:t>S</w:t>
            </w:r>
          </w:p>
        </w:tc>
        <w:tc>
          <w:tcPr>
            <w:tcW w:w="885" w:type="dxa"/>
            <w:vAlign w:val="center"/>
          </w:tcPr>
          <w:p>
            <w:pPr>
              <w:pStyle w:val="41"/>
              <w:keepNext w:val="0"/>
              <w:keepLines w:val="0"/>
              <w:pageBreakBefore w:val="0"/>
              <w:kinsoku/>
              <w:wordWrap/>
              <w:bidi w:val="0"/>
              <w:snapToGrid/>
              <w:spacing w:line="240" w:lineRule="auto"/>
              <w:rPr>
                <w:szCs w:val="22"/>
              </w:rPr>
            </w:pPr>
            <w:r>
              <w:t>9.40</w:t>
            </w:r>
          </w:p>
        </w:tc>
        <w:tc>
          <w:tcPr>
            <w:tcW w:w="2422" w:type="dxa"/>
            <w:vAlign w:val="center"/>
          </w:tcPr>
          <w:p>
            <w:pPr>
              <w:pStyle w:val="41"/>
              <w:keepNext w:val="0"/>
              <w:keepLines w:val="0"/>
              <w:pageBreakBefore w:val="0"/>
              <w:kinsoku/>
              <w:wordWrap/>
              <w:bidi w:val="0"/>
              <w:snapToGrid/>
              <w:spacing w:line="240" w:lineRule="auto"/>
              <w:rPr>
                <w:szCs w:val="22"/>
              </w:rPr>
            </w:pPr>
            <w:r>
              <w:t>800户，2000人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芦南街道</w:t>
            </w:r>
          </w:p>
        </w:tc>
        <w:tc>
          <w:tcPr>
            <w:tcW w:w="818" w:type="dxa"/>
            <w:vAlign w:val="center"/>
          </w:tcPr>
          <w:p>
            <w:pPr>
              <w:pStyle w:val="41"/>
              <w:keepNext w:val="0"/>
              <w:keepLines w:val="0"/>
              <w:pageBreakBefore w:val="0"/>
              <w:kinsoku/>
              <w:wordWrap/>
              <w:bidi w:val="0"/>
              <w:snapToGrid/>
              <w:spacing w:line="240" w:lineRule="auto"/>
              <w:rPr>
                <w:szCs w:val="22"/>
              </w:rPr>
            </w:pPr>
            <w:r>
              <w:t>SW</w:t>
            </w:r>
          </w:p>
        </w:tc>
        <w:tc>
          <w:tcPr>
            <w:tcW w:w="885" w:type="dxa"/>
            <w:vAlign w:val="center"/>
          </w:tcPr>
          <w:p>
            <w:pPr>
              <w:pStyle w:val="41"/>
              <w:keepNext w:val="0"/>
              <w:keepLines w:val="0"/>
              <w:pageBreakBefore w:val="0"/>
              <w:kinsoku/>
              <w:wordWrap/>
              <w:bidi w:val="0"/>
              <w:snapToGrid/>
              <w:spacing w:line="240" w:lineRule="auto"/>
              <w:rPr>
                <w:szCs w:val="22"/>
              </w:rPr>
            </w:pPr>
            <w:r>
              <w:t>13.10</w:t>
            </w:r>
          </w:p>
        </w:tc>
        <w:tc>
          <w:tcPr>
            <w:tcW w:w="2422" w:type="dxa"/>
            <w:vAlign w:val="center"/>
          </w:tcPr>
          <w:p>
            <w:pPr>
              <w:pStyle w:val="41"/>
              <w:keepNext w:val="0"/>
              <w:keepLines w:val="0"/>
              <w:pageBreakBefore w:val="0"/>
              <w:kinsoku/>
              <w:wordWrap/>
              <w:bidi w:val="0"/>
              <w:snapToGrid/>
              <w:spacing w:line="240" w:lineRule="auto"/>
              <w:rPr>
                <w:szCs w:val="22"/>
              </w:rPr>
            </w:pPr>
            <w:r>
              <w:t>500户，1300人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无</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spacing w:line="240" w:lineRule="auto"/>
              <w:rPr>
                <w:szCs w:val="22"/>
              </w:rPr>
            </w:pPr>
            <w:r>
              <w:t>七洲村</w:t>
            </w:r>
          </w:p>
        </w:tc>
        <w:tc>
          <w:tcPr>
            <w:tcW w:w="818" w:type="dxa"/>
            <w:vAlign w:val="center"/>
          </w:tcPr>
          <w:p>
            <w:pPr>
              <w:pStyle w:val="41"/>
              <w:keepNext w:val="0"/>
              <w:keepLines w:val="0"/>
              <w:pageBreakBefore w:val="0"/>
              <w:kinsoku/>
              <w:wordWrap/>
              <w:bidi w:val="0"/>
              <w:snapToGrid/>
              <w:spacing w:line="240" w:lineRule="auto"/>
              <w:rPr>
                <w:szCs w:val="22"/>
              </w:rPr>
            </w:pPr>
            <w:r>
              <w:t>NE</w:t>
            </w:r>
          </w:p>
        </w:tc>
        <w:tc>
          <w:tcPr>
            <w:tcW w:w="885" w:type="dxa"/>
            <w:vAlign w:val="center"/>
          </w:tcPr>
          <w:p>
            <w:pPr>
              <w:pStyle w:val="41"/>
              <w:keepNext w:val="0"/>
              <w:keepLines w:val="0"/>
              <w:pageBreakBefore w:val="0"/>
              <w:kinsoku/>
              <w:wordWrap/>
              <w:bidi w:val="0"/>
              <w:snapToGrid/>
              <w:spacing w:line="240" w:lineRule="auto"/>
              <w:rPr>
                <w:szCs w:val="22"/>
              </w:rPr>
            </w:pPr>
            <w:r>
              <w:t>9.70</w:t>
            </w:r>
          </w:p>
        </w:tc>
        <w:tc>
          <w:tcPr>
            <w:tcW w:w="2422" w:type="dxa"/>
            <w:vAlign w:val="center"/>
          </w:tcPr>
          <w:p>
            <w:pPr>
              <w:pStyle w:val="41"/>
              <w:keepNext w:val="0"/>
              <w:keepLines w:val="0"/>
              <w:pageBreakBefore w:val="0"/>
              <w:kinsoku/>
              <w:wordWrap/>
              <w:bidi w:val="0"/>
              <w:snapToGrid/>
              <w:spacing w:line="240" w:lineRule="auto"/>
              <w:rPr>
                <w:szCs w:val="22"/>
              </w:rPr>
            </w:pPr>
            <w:r>
              <w:t>400户，1000人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名称识别错误，应为“汤沟镇”</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pPr>
            <w:r>
              <w:rPr>
                <w:szCs w:val="21"/>
              </w:rPr>
              <w:t>刘家村</w:t>
            </w:r>
          </w:p>
        </w:tc>
        <w:tc>
          <w:tcPr>
            <w:tcW w:w="818" w:type="dxa"/>
            <w:vAlign w:val="center"/>
          </w:tcPr>
          <w:p>
            <w:pPr>
              <w:pStyle w:val="41"/>
              <w:keepNext w:val="0"/>
              <w:keepLines w:val="0"/>
              <w:pageBreakBefore w:val="0"/>
              <w:kinsoku/>
              <w:wordWrap/>
              <w:bidi w:val="0"/>
              <w:snapToGrid/>
            </w:pPr>
            <w:r>
              <w:rPr>
                <w:szCs w:val="21"/>
              </w:rPr>
              <w:t>SW</w:t>
            </w:r>
          </w:p>
        </w:tc>
        <w:tc>
          <w:tcPr>
            <w:tcW w:w="885" w:type="dxa"/>
            <w:vAlign w:val="center"/>
          </w:tcPr>
          <w:p>
            <w:pPr>
              <w:pStyle w:val="41"/>
              <w:keepNext w:val="0"/>
              <w:keepLines w:val="0"/>
              <w:pageBreakBefore w:val="0"/>
              <w:kinsoku/>
              <w:wordWrap/>
              <w:bidi w:val="0"/>
              <w:snapToGrid/>
            </w:pPr>
            <w:r>
              <w:rPr>
                <w:szCs w:val="21"/>
              </w:rPr>
              <w:t>15.17</w:t>
            </w:r>
          </w:p>
        </w:tc>
        <w:tc>
          <w:tcPr>
            <w:tcW w:w="2422" w:type="dxa"/>
            <w:vAlign w:val="center"/>
          </w:tcPr>
          <w:p>
            <w:pPr>
              <w:pStyle w:val="41"/>
              <w:keepNext w:val="0"/>
              <w:keepLines w:val="0"/>
              <w:pageBreakBefore w:val="0"/>
              <w:kinsoku/>
              <w:wordWrap/>
              <w:bidi w:val="0"/>
              <w:snapToGrid/>
            </w:pPr>
            <w:r>
              <w:rPr>
                <w:szCs w:val="21"/>
              </w:rPr>
              <w:t>158户，474人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识别遗漏</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pPr>
            <w:r>
              <w:rPr>
                <w:szCs w:val="21"/>
              </w:rPr>
              <w:t>桃冲村</w:t>
            </w:r>
          </w:p>
        </w:tc>
        <w:tc>
          <w:tcPr>
            <w:tcW w:w="818" w:type="dxa"/>
            <w:vAlign w:val="center"/>
          </w:tcPr>
          <w:p>
            <w:pPr>
              <w:pStyle w:val="41"/>
              <w:keepNext w:val="0"/>
              <w:keepLines w:val="0"/>
              <w:pageBreakBefore w:val="0"/>
              <w:kinsoku/>
              <w:wordWrap/>
              <w:bidi w:val="0"/>
              <w:snapToGrid/>
            </w:pPr>
            <w:r>
              <w:rPr>
                <w:szCs w:val="21"/>
              </w:rPr>
              <w:t>SW</w:t>
            </w:r>
          </w:p>
        </w:tc>
        <w:tc>
          <w:tcPr>
            <w:tcW w:w="885" w:type="dxa"/>
            <w:vAlign w:val="center"/>
          </w:tcPr>
          <w:p>
            <w:pPr>
              <w:pStyle w:val="41"/>
              <w:keepNext w:val="0"/>
              <w:keepLines w:val="0"/>
              <w:pageBreakBefore w:val="0"/>
              <w:kinsoku/>
              <w:wordWrap/>
              <w:bidi w:val="0"/>
              <w:snapToGrid/>
            </w:pPr>
            <w:r>
              <w:rPr>
                <w:szCs w:val="21"/>
              </w:rPr>
              <w:t>12.64</w:t>
            </w:r>
          </w:p>
        </w:tc>
        <w:tc>
          <w:tcPr>
            <w:tcW w:w="2422" w:type="dxa"/>
            <w:vAlign w:val="center"/>
          </w:tcPr>
          <w:p>
            <w:pPr>
              <w:pStyle w:val="41"/>
              <w:keepNext w:val="0"/>
              <w:keepLines w:val="0"/>
              <w:pageBreakBefore w:val="0"/>
              <w:kinsoku/>
              <w:wordWrap/>
              <w:bidi w:val="0"/>
              <w:snapToGrid/>
            </w:pPr>
            <w:r>
              <w:rPr>
                <w:szCs w:val="21"/>
              </w:rPr>
              <w:t>213户，639人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识别遗漏</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pPr>
            <w:r>
              <w:rPr>
                <w:szCs w:val="21"/>
              </w:rPr>
              <w:t>潘冲村</w:t>
            </w:r>
          </w:p>
        </w:tc>
        <w:tc>
          <w:tcPr>
            <w:tcW w:w="818" w:type="dxa"/>
            <w:vAlign w:val="center"/>
          </w:tcPr>
          <w:p>
            <w:pPr>
              <w:pStyle w:val="41"/>
              <w:keepNext w:val="0"/>
              <w:keepLines w:val="0"/>
              <w:pageBreakBefore w:val="0"/>
              <w:kinsoku/>
              <w:wordWrap/>
              <w:bidi w:val="0"/>
              <w:snapToGrid/>
            </w:pPr>
            <w:r>
              <w:rPr>
                <w:szCs w:val="21"/>
              </w:rPr>
              <w:t>SW</w:t>
            </w:r>
          </w:p>
        </w:tc>
        <w:tc>
          <w:tcPr>
            <w:tcW w:w="885" w:type="dxa"/>
            <w:vAlign w:val="center"/>
          </w:tcPr>
          <w:p>
            <w:pPr>
              <w:pStyle w:val="41"/>
              <w:keepNext w:val="0"/>
              <w:keepLines w:val="0"/>
              <w:pageBreakBefore w:val="0"/>
              <w:kinsoku/>
              <w:wordWrap/>
              <w:bidi w:val="0"/>
              <w:snapToGrid/>
            </w:pPr>
            <w:r>
              <w:rPr>
                <w:szCs w:val="21"/>
              </w:rPr>
              <w:t>9.70</w:t>
            </w:r>
          </w:p>
        </w:tc>
        <w:tc>
          <w:tcPr>
            <w:tcW w:w="2422" w:type="dxa"/>
            <w:vAlign w:val="center"/>
          </w:tcPr>
          <w:p>
            <w:pPr>
              <w:pStyle w:val="41"/>
              <w:keepNext w:val="0"/>
              <w:keepLines w:val="0"/>
              <w:pageBreakBefore w:val="0"/>
              <w:kinsoku/>
              <w:wordWrap/>
              <w:bidi w:val="0"/>
              <w:snapToGrid/>
            </w:pPr>
            <w:r>
              <w:rPr>
                <w:szCs w:val="21"/>
              </w:rPr>
              <w:t>96户，288人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识别遗漏</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pPr>
            <w:r>
              <w:rPr>
                <w:szCs w:val="21"/>
              </w:rPr>
              <w:t>磕里村</w:t>
            </w:r>
          </w:p>
        </w:tc>
        <w:tc>
          <w:tcPr>
            <w:tcW w:w="818" w:type="dxa"/>
            <w:vAlign w:val="center"/>
          </w:tcPr>
          <w:p>
            <w:pPr>
              <w:pStyle w:val="41"/>
              <w:keepNext w:val="0"/>
              <w:keepLines w:val="0"/>
              <w:pageBreakBefore w:val="0"/>
              <w:kinsoku/>
              <w:wordWrap/>
              <w:bidi w:val="0"/>
              <w:snapToGrid/>
            </w:pPr>
            <w:r>
              <w:rPr>
                <w:szCs w:val="21"/>
              </w:rPr>
              <w:t>SW</w:t>
            </w:r>
          </w:p>
        </w:tc>
        <w:tc>
          <w:tcPr>
            <w:tcW w:w="885" w:type="dxa"/>
            <w:vAlign w:val="center"/>
          </w:tcPr>
          <w:p>
            <w:pPr>
              <w:pStyle w:val="41"/>
              <w:keepNext w:val="0"/>
              <w:keepLines w:val="0"/>
              <w:pageBreakBefore w:val="0"/>
              <w:kinsoku/>
              <w:wordWrap/>
              <w:bidi w:val="0"/>
              <w:snapToGrid/>
            </w:pPr>
            <w:r>
              <w:rPr>
                <w:szCs w:val="21"/>
              </w:rPr>
              <w:t>8.20</w:t>
            </w:r>
          </w:p>
        </w:tc>
        <w:tc>
          <w:tcPr>
            <w:tcW w:w="2422" w:type="dxa"/>
            <w:vAlign w:val="center"/>
          </w:tcPr>
          <w:p>
            <w:pPr>
              <w:pStyle w:val="41"/>
              <w:keepNext w:val="0"/>
              <w:keepLines w:val="0"/>
              <w:pageBreakBefore w:val="0"/>
              <w:kinsoku/>
              <w:wordWrap/>
              <w:bidi w:val="0"/>
              <w:snapToGrid/>
            </w:pPr>
            <w:r>
              <w:rPr>
                <w:szCs w:val="21"/>
              </w:rPr>
              <w:t>178户，534人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识别遗漏</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tcBorders>
            <w:vAlign w:val="center"/>
          </w:tcPr>
          <w:p>
            <w:pPr>
              <w:pStyle w:val="41"/>
              <w:keepNext w:val="0"/>
              <w:keepLines w:val="0"/>
              <w:pageBreakBefore w:val="0"/>
              <w:kinsoku/>
              <w:wordWrap/>
              <w:bidi w:val="0"/>
              <w:snapToGrid/>
              <w:spacing w:line="240" w:lineRule="auto"/>
              <w:rPr>
                <w:szCs w:val="22"/>
              </w:rPr>
            </w:pPr>
          </w:p>
        </w:tc>
        <w:tc>
          <w:tcPr>
            <w:tcW w:w="1567" w:type="dxa"/>
            <w:vAlign w:val="center"/>
          </w:tcPr>
          <w:p>
            <w:pPr>
              <w:pStyle w:val="41"/>
              <w:keepNext w:val="0"/>
              <w:keepLines w:val="0"/>
              <w:pageBreakBefore w:val="0"/>
              <w:kinsoku/>
              <w:wordWrap/>
              <w:bidi w:val="0"/>
              <w:snapToGrid/>
              <w:rPr>
                <w:szCs w:val="21"/>
              </w:rPr>
            </w:pPr>
            <w:r>
              <w:rPr>
                <w:szCs w:val="21"/>
              </w:rPr>
              <w:t>西街村</w:t>
            </w:r>
          </w:p>
        </w:tc>
        <w:tc>
          <w:tcPr>
            <w:tcW w:w="818" w:type="dxa"/>
            <w:vAlign w:val="center"/>
          </w:tcPr>
          <w:p>
            <w:pPr>
              <w:pStyle w:val="41"/>
              <w:keepNext w:val="0"/>
              <w:keepLines w:val="0"/>
              <w:pageBreakBefore w:val="0"/>
              <w:kinsoku/>
              <w:wordWrap/>
              <w:bidi w:val="0"/>
              <w:snapToGrid/>
              <w:rPr>
                <w:szCs w:val="21"/>
              </w:rPr>
            </w:pPr>
            <w:r>
              <w:rPr>
                <w:szCs w:val="21"/>
              </w:rPr>
              <w:t>SE</w:t>
            </w:r>
          </w:p>
        </w:tc>
        <w:tc>
          <w:tcPr>
            <w:tcW w:w="885" w:type="dxa"/>
            <w:vAlign w:val="center"/>
          </w:tcPr>
          <w:p>
            <w:pPr>
              <w:pStyle w:val="41"/>
              <w:keepNext w:val="0"/>
              <w:keepLines w:val="0"/>
              <w:pageBreakBefore w:val="0"/>
              <w:kinsoku/>
              <w:wordWrap/>
              <w:bidi w:val="0"/>
              <w:snapToGrid/>
              <w:rPr>
                <w:szCs w:val="21"/>
              </w:rPr>
            </w:pPr>
            <w:r>
              <w:rPr>
                <w:szCs w:val="21"/>
              </w:rPr>
              <w:t>3.85</w:t>
            </w:r>
          </w:p>
        </w:tc>
        <w:tc>
          <w:tcPr>
            <w:tcW w:w="2422" w:type="dxa"/>
            <w:vAlign w:val="center"/>
          </w:tcPr>
          <w:p>
            <w:pPr>
              <w:pStyle w:val="41"/>
              <w:keepNext w:val="0"/>
              <w:keepLines w:val="0"/>
              <w:pageBreakBefore w:val="0"/>
              <w:kinsoku/>
              <w:wordWrap/>
              <w:bidi w:val="0"/>
              <w:snapToGrid/>
              <w:rPr>
                <w:szCs w:val="21"/>
              </w:rPr>
            </w:pPr>
            <w:r>
              <w:rPr>
                <w:szCs w:val="21"/>
              </w:rPr>
              <w:t>124户，380人</w:t>
            </w:r>
          </w:p>
        </w:tc>
        <w:tc>
          <w:tcPr>
            <w:tcW w:w="1538" w:type="dxa"/>
            <w:vAlign w:val="center"/>
          </w:tcPr>
          <w:p>
            <w:pPr>
              <w:pStyle w:val="41"/>
              <w:keepNext w:val="0"/>
              <w:keepLines w:val="0"/>
              <w:pageBreakBefore w:val="0"/>
              <w:kinsoku/>
              <w:wordWrap/>
              <w:bidi w:val="0"/>
              <w:snapToGrid/>
              <w:spacing w:line="240" w:lineRule="auto"/>
              <w:rPr>
                <w:szCs w:val="22"/>
              </w:rPr>
            </w:pPr>
            <w:r>
              <w:rPr>
                <w:szCs w:val="22"/>
              </w:rPr>
              <w:t>识别遗漏</w:t>
            </w:r>
          </w:p>
        </w:tc>
        <w:tc>
          <w:tcPr>
            <w:tcW w:w="1055" w:type="dxa"/>
            <w:vMerge w:val="continue"/>
            <w:tcBorders>
              <w:right w:val="nil"/>
            </w:tcBorders>
            <w:vAlign w:val="center"/>
          </w:tcPr>
          <w:p>
            <w:pPr>
              <w:pStyle w:val="41"/>
              <w:keepNext w:val="0"/>
              <w:keepLines w:val="0"/>
              <w:pageBreakBefore w:val="0"/>
              <w:kinsoku/>
              <w:wordWrap/>
              <w:bidi w:val="0"/>
              <w:snapToGrid/>
              <w:spacing w:line="240" w:lineRule="auto"/>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left w:val="nil"/>
              <w:bottom w:val="single" w:color="auto" w:sz="12" w:space="0"/>
            </w:tcBorders>
            <w:vAlign w:val="center"/>
          </w:tcPr>
          <w:p>
            <w:pPr>
              <w:pStyle w:val="41"/>
              <w:keepNext w:val="0"/>
              <w:keepLines w:val="0"/>
              <w:pageBreakBefore w:val="0"/>
              <w:kinsoku/>
              <w:wordWrap/>
              <w:bidi w:val="0"/>
              <w:snapToGrid/>
              <w:spacing w:line="240" w:lineRule="auto"/>
              <w:rPr>
                <w:szCs w:val="22"/>
              </w:rPr>
            </w:pPr>
          </w:p>
        </w:tc>
        <w:tc>
          <w:tcPr>
            <w:tcW w:w="1567" w:type="dxa"/>
            <w:tcBorders>
              <w:bottom w:val="single" w:color="auto" w:sz="12" w:space="0"/>
            </w:tcBorders>
            <w:vAlign w:val="center"/>
          </w:tcPr>
          <w:p>
            <w:pPr>
              <w:pStyle w:val="41"/>
              <w:keepNext w:val="0"/>
              <w:keepLines w:val="0"/>
              <w:pageBreakBefore w:val="0"/>
              <w:kinsoku/>
              <w:wordWrap/>
              <w:bidi w:val="0"/>
              <w:snapToGrid/>
            </w:pPr>
            <w:r>
              <w:rPr>
                <w:szCs w:val="21"/>
              </w:rPr>
              <w:t>繁昌县（评价范围内涉及到部分）</w:t>
            </w:r>
          </w:p>
        </w:tc>
        <w:tc>
          <w:tcPr>
            <w:tcW w:w="818" w:type="dxa"/>
            <w:tcBorders>
              <w:bottom w:val="single" w:color="auto" w:sz="12" w:space="0"/>
            </w:tcBorders>
            <w:vAlign w:val="center"/>
          </w:tcPr>
          <w:p>
            <w:pPr>
              <w:pStyle w:val="41"/>
              <w:keepNext w:val="0"/>
              <w:keepLines w:val="0"/>
              <w:pageBreakBefore w:val="0"/>
              <w:kinsoku/>
              <w:wordWrap/>
              <w:bidi w:val="0"/>
              <w:snapToGrid/>
            </w:pPr>
            <w:r>
              <w:rPr>
                <w:szCs w:val="21"/>
              </w:rPr>
              <w:t>SE</w:t>
            </w:r>
          </w:p>
        </w:tc>
        <w:tc>
          <w:tcPr>
            <w:tcW w:w="885" w:type="dxa"/>
            <w:tcBorders>
              <w:bottom w:val="single" w:color="auto" w:sz="12" w:space="0"/>
            </w:tcBorders>
            <w:vAlign w:val="center"/>
          </w:tcPr>
          <w:p>
            <w:pPr>
              <w:pStyle w:val="41"/>
              <w:keepNext w:val="0"/>
              <w:keepLines w:val="0"/>
              <w:pageBreakBefore w:val="0"/>
              <w:kinsoku/>
              <w:wordWrap/>
              <w:bidi w:val="0"/>
              <w:snapToGrid/>
            </w:pPr>
            <w:r>
              <w:rPr>
                <w:szCs w:val="21"/>
              </w:rPr>
              <w:t>10.38</w:t>
            </w:r>
          </w:p>
        </w:tc>
        <w:tc>
          <w:tcPr>
            <w:tcW w:w="2422" w:type="dxa"/>
            <w:tcBorders>
              <w:bottom w:val="single" w:color="auto" w:sz="12" w:space="0"/>
            </w:tcBorders>
            <w:vAlign w:val="center"/>
          </w:tcPr>
          <w:p>
            <w:pPr>
              <w:pStyle w:val="41"/>
              <w:keepNext w:val="0"/>
              <w:keepLines w:val="0"/>
              <w:pageBreakBefore w:val="0"/>
              <w:kinsoku/>
              <w:wordWrap/>
              <w:bidi w:val="0"/>
              <w:snapToGrid/>
            </w:pPr>
            <w:r>
              <w:rPr>
                <w:szCs w:val="21"/>
              </w:rPr>
              <w:t>24233户，72699人</w:t>
            </w:r>
          </w:p>
        </w:tc>
        <w:tc>
          <w:tcPr>
            <w:tcW w:w="1538" w:type="dxa"/>
            <w:tcBorders>
              <w:bottom w:val="single" w:color="auto" w:sz="12" w:space="0"/>
            </w:tcBorders>
            <w:vAlign w:val="center"/>
          </w:tcPr>
          <w:p>
            <w:pPr>
              <w:pStyle w:val="41"/>
              <w:keepNext w:val="0"/>
              <w:keepLines w:val="0"/>
              <w:pageBreakBefore w:val="0"/>
              <w:kinsoku/>
              <w:wordWrap/>
              <w:bidi w:val="0"/>
              <w:snapToGrid/>
              <w:spacing w:line="240" w:lineRule="auto"/>
              <w:rPr>
                <w:szCs w:val="22"/>
              </w:rPr>
            </w:pPr>
            <w:r>
              <w:rPr>
                <w:szCs w:val="22"/>
              </w:rPr>
              <w:t>识别遗漏</w:t>
            </w:r>
          </w:p>
        </w:tc>
        <w:tc>
          <w:tcPr>
            <w:tcW w:w="1055" w:type="dxa"/>
            <w:vMerge w:val="continue"/>
            <w:tcBorders>
              <w:bottom w:val="single" w:color="auto" w:sz="12" w:space="0"/>
              <w:right w:val="nil"/>
            </w:tcBorders>
            <w:vAlign w:val="center"/>
          </w:tcPr>
          <w:p>
            <w:pPr>
              <w:pStyle w:val="41"/>
              <w:keepNext w:val="0"/>
              <w:keepLines w:val="0"/>
              <w:pageBreakBefore w:val="0"/>
              <w:kinsoku/>
              <w:wordWrap/>
              <w:bidi w:val="0"/>
              <w:snapToGrid/>
              <w:spacing w:line="240" w:lineRule="auto"/>
              <w:rPr>
                <w:szCs w:val="22"/>
              </w:rPr>
            </w:pPr>
          </w:p>
        </w:tc>
      </w:tr>
    </w:tbl>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5.2周边环境污染源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经现场调查，项目选址于芜湖市三山经济开发区，环境评价范围内主要以安徽华电芜湖发电有限公司、芜湖中电环保发电有限公司以及芜湖新兴铸管有限责任公司为主。</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5.2.1区域大气污染源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（1）评价范围内主要企业情况</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根据调查了解，区域大气污染物主要为二氧化硫、氮氧化物和烟粉尘。根据2016年各家企业废气排气筒监测数据，主要废气污染物排放情况见表5.2-1所示。</w:t>
      </w:r>
    </w:p>
    <w:p>
      <w:pPr>
        <w:pStyle w:val="31"/>
        <w:keepNext w:val="0"/>
        <w:keepLines w:val="0"/>
        <w:pageBreakBefore w:val="0"/>
        <w:kinsoku/>
        <w:wordWrap/>
        <w:bidi w:val="0"/>
        <w:snapToGrid/>
        <w:spacing w:line="360" w:lineRule="auto"/>
        <w:rPr>
          <w:rFonts w:cs="Times New Roman"/>
        </w:rPr>
      </w:pPr>
      <w:r>
        <w:rPr>
          <w:rFonts w:cs="Times New Roman"/>
        </w:rPr>
        <w:t>表5.2-1  评价范围内企业废气排放一览表（单位：t/a）</w:t>
      </w:r>
    </w:p>
    <w:tbl>
      <w:tblPr>
        <w:tblStyle w:val="21"/>
        <w:tblW w:w="9071" w:type="dxa"/>
        <w:jc w:val="center"/>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8"/>
        <w:gridCol w:w="2788"/>
        <w:gridCol w:w="3020"/>
        <w:gridCol w:w="1058"/>
        <w:gridCol w:w="906"/>
        <w:gridCol w:w="9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388" w:type="dxa"/>
            <w:tcBorders>
              <w:tl2br w:val="nil"/>
              <w:tr2bl w:val="nil"/>
            </w:tcBorders>
            <w:tcMar>
              <w:left w:w="0" w:type="dxa"/>
              <w:right w:w="0" w:type="dxa"/>
            </w:tcMar>
            <w:vAlign w:val="center"/>
          </w:tcPr>
          <w:p>
            <w:pPr>
              <w:pStyle w:val="41"/>
              <w:keepNext w:val="0"/>
              <w:keepLines w:val="0"/>
              <w:pageBreakBefore w:val="0"/>
              <w:kinsoku/>
              <w:wordWrap/>
              <w:bidi w:val="0"/>
              <w:snapToGrid/>
              <w:rPr>
                <w:b/>
                <w:bCs/>
              </w:rPr>
            </w:pPr>
            <w:r>
              <w:rPr>
                <w:b/>
                <w:bCs/>
              </w:rPr>
              <w:t>序号</w:t>
            </w:r>
          </w:p>
        </w:tc>
        <w:tc>
          <w:tcPr>
            <w:tcW w:w="2788" w:type="dxa"/>
            <w:tcBorders>
              <w:tl2br w:val="nil"/>
              <w:tr2bl w:val="nil"/>
            </w:tcBorders>
            <w:tcMar>
              <w:left w:w="0" w:type="dxa"/>
              <w:right w:w="0" w:type="dxa"/>
            </w:tcMar>
            <w:vAlign w:val="center"/>
          </w:tcPr>
          <w:p>
            <w:pPr>
              <w:pStyle w:val="41"/>
              <w:keepNext w:val="0"/>
              <w:keepLines w:val="0"/>
              <w:pageBreakBefore w:val="0"/>
              <w:kinsoku/>
              <w:wordWrap/>
              <w:bidi w:val="0"/>
              <w:snapToGrid/>
              <w:rPr>
                <w:b/>
                <w:bCs/>
              </w:rPr>
            </w:pPr>
            <w:r>
              <w:rPr>
                <w:b/>
                <w:bCs/>
              </w:rPr>
              <w:t>企业名称</w:t>
            </w:r>
          </w:p>
        </w:tc>
        <w:tc>
          <w:tcPr>
            <w:tcW w:w="3020" w:type="dxa"/>
            <w:tcBorders>
              <w:tl2br w:val="nil"/>
              <w:tr2bl w:val="nil"/>
            </w:tcBorders>
            <w:tcMar>
              <w:left w:w="0" w:type="dxa"/>
              <w:right w:w="0" w:type="dxa"/>
            </w:tcMar>
            <w:vAlign w:val="center"/>
          </w:tcPr>
          <w:p>
            <w:pPr>
              <w:pStyle w:val="41"/>
              <w:keepNext w:val="0"/>
              <w:keepLines w:val="0"/>
              <w:pageBreakBefore w:val="0"/>
              <w:kinsoku/>
              <w:wordWrap/>
              <w:bidi w:val="0"/>
              <w:snapToGrid/>
              <w:rPr>
                <w:b/>
                <w:bCs/>
              </w:rPr>
            </w:pPr>
            <w:r>
              <w:rPr>
                <w:b/>
                <w:bCs/>
              </w:rPr>
              <w:t>相对芜湖新兴铸管方位及距厂界最近距离</w:t>
            </w:r>
          </w:p>
        </w:tc>
        <w:tc>
          <w:tcPr>
            <w:tcW w:w="1058" w:type="dxa"/>
            <w:tcBorders>
              <w:tl2br w:val="nil"/>
              <w:tr2bl w:val="nil"/>
            </w:tcBorders>
            <w:tcMar>
              <w:left w:w="0" w:type="dxa"/>
              <w:right w:w="0" w:type="dxa"/>
            </w:tcMar>
            <w:vAlign w:val="center"/>
          </w:tcPr>
          <w:p>
            <w:pPr>
              <w:pStyle w:val="41"/>
              <w:keepNext w:val="0"/>
              <w:keepLines w:val="0"/>
              <w:pageBreakBefore w:val="0"/>
              <w:kinsoku/>
              <w:wordWrap/>
              <w:bidi w:val="0"/>
              <w:snapToGrid/>
              <w:rPr>
                <w:b/>
                <w:bCs/>
              </w:rPr>
            </w:pPr>
            <w:r>
              <w:rPr>
                <w:b/>
                <w:bCs/>
              </w:rPr>
              <w:t>烟/粉尘排放量</w:t>
            </w:r>
          </w:p>
        </w:tc>
        <w:tc>
          <w:tcPr>
            <w:tcW w:w="906" w:type="dxa"/>
            <w:tcBorders>
              <w:tl2br w:val="nil"/>
              <w:tr2bl w:val="nil"/>
            </w:tcBorders>
            <w:tcMar>
              <w:left w:w="0" w:type="dxa"/>
              <w:right w:w="0" w:type="dxa"/>
            </w:tcMar>
            <w:vAlign w:val="center"/>
          </w:tcPr>
          <w:p>
            <w:pPr>
              <w:pStyle w:val="41"/>
              <w:keepNext w:val="0"/>
              <w:keepLines w:val="0"/>
              <w:pageBreakBefore w:val="0"/>
              <w:kinsoku/>
              <w:wordWrap/>
              <w:bidi w:val="0"/>
              <w:snapToGrid/>
              <w:rPr>
                <w:b/>
                <w:bCs/>
              </w:rPr>
            </w:pPr>
            <w:r>
              <w:rPr>
                <w:b/>
                <w:bCs/>
              </w:rPr>
              <w:t>SO</w:t>
            </w:r>
            <w:r>
              <w:rPr>
                <w:b/>
                <w:bCs/>
                <w:vertAlign w:val="subscript"/>
              </w:rPr>
              <w:t>2</w:t>
            </w:r>
            <w:r>
              <w:rPr>
                <w:b/>
                <w:bCs/>
              </w:rPr>
              <w:t>排放量</w:t>
            </w:r>
          </w:p>
        </w:tc>
        <w:tc>
          <w:tcPr>
            <w:tcW w:w="911" w:type="dxa"/>
            <w:tcBorders>
              <w:tl2br w:val="nil"/>
              <w:tr2bl w:val="nil"/>
            </w:tcBorders>
            <w:tcMar>
              <w:left w:w="0" w:type="dxa"/>
              <w:right w:w="0" w:type="dxa"/>
            </w:tcMar>
            <w:vAlign w:val="center"/>
          </w:tcPr>
          <w:p>
            <w:pPr>
              <w:pStyle w:val="41"/>
              <w:keepNext w:val="0"/>
              <w:keepLines w:val="0"/>
              <w:pageBreakBefore w:val="0"/>
              <w:kinsoku/>
              <w:wordWrap/>
              <w:bidi w:val="0"/>
              <w:snapToGrid/>
              <w:rPr>
                <w:b/>
                <w:bCs/>
              </w:rPr>
            </w:pPr>
            <w:r>
              <w:rPr>
                <w:b/>
                <w:bCs/>
              </w:rPr>
              <w:t>NO</w:t>
            </w:r>
            <w:r>
              <w:rPr>
                <w:b/>
                <w:bCs/>
                <w:vertAlign w:val="subscript"/>
              </w:rPr>
              <w:t>x</w:t>
            </w:r>
            <w:r>
              <w:rPr>
                <w:b/>
                <w:bCs/>
              </w:rPr>
              <w:t>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88" w:type="dxa"/>
            <w:tcBorders>
              <w:tl2br w:val="nil"/>
              <w:tr2bl w:val="nil"/>
            </w:tcBorders>
            <w:tcMar>
              <w:left w:w="0" w:type="dxa"/>
              <w:right w:w="0" w:type="dxa"/>
            </w:tcMar>
            <w:vAlign w:val="center"/>
          </w:tcPr>
          <w:p>
            <w:pPr>
              <w:pStyle w:val="41"/>
              <w:keepNext w:val="0"/>
              <w:keepLines w:val="0"/>
              <w:pageBreakBefore w:val="0"/>
              <w:kinsoku/>
              <w:wordWrap/>
              <w:bidi w:val="0"/>
              <w:snapToGrid/>
            </w:pPr>
            <w:r>
              <w:t>1</w:t>
            </w:r>
          </w:p>
        </w:tc>
        <w:tc>
          <w:tcPr>
            <w:tcW w:w="2788" w:type="dxa"/>
            <w:tcBorders>
              <w:tl2br w:val="nil"/>
              <w:tr2bl w:val="nil"/>
            </w:tcBorders>
            <w:tcMar>
              <w:left w:w="0" w:type="dxa"/>
              <w:right w:w="0" w:type="dxa"/>
            </w:tcMar>
            <w:vAlign w:val="center"/>
          </w:tcPr>
          <w:p>
            <w:pPr>
              <w:pStyle w:val="41"/>
              <w:keepNext w:val="0"/>
              <w:keepLines w:val="0"/>
              <w:pageBreakBefore w:val="0"/>
              <w:kinsoku/>
              <w:wordWrap/>
              <w:bidi w:val="0"/>
              <w:snapToGrid/>
            </w:pPr>
            <w:r>
              <w:t>安徽华电芜湖发电有限公司</w:t>
            </w:r>
          </w:p>
        </w:tc>
        <w:tc>
          <w:tcPr>
            <w:tcW w:w="3020" w:type="dxa"/>
            <w:tcBorders>
              <w:tl2br w:val="nil"/>
              <w:tr2bl w:val="nil"/>
            </w:tcBorders>
            <w:tcMar>
              <w:left w:w="0" w:type="dxa"/>
              <w:right w:w="0" w:type="dxa"/>
            </w:tcMar>
            <w:vAlign w:val="center"/>
          </w:tcPr>
          <w:p>
            <w:pPr>
              <w:pStyle w:val="41"/>
              <w:keepNext w:val="0"/>
              <w:keepLines w:val="0"/>
              <w:pageBreakBefore w:val="0"/>
              <w:kinsoku/>
              <w:wordWrap/>
              <w:bidi w:val="0"/>
              <w:snapToGrid/>
            </w:pPr>
            <w:r>
              <w:t>NE，85km</w:t>
            </w:r>
          </w:p>
        </w:tc>
        <w:tc>
          <w:tcPr>
            <w:tcW w:w="1058" w:type="dxa"/>
            <w:tcBorders>
              <w:tl2br w:val="nil"/>
              <w:tr2bl w:val="nil"/>
            </w:tcBorders>
            <w:tcMar>
              <w:left w:w="0" w:type="dxa"/>
              <w:right w:w="0" w:type="dxa"/>
            </w:tcMar>
            <w:vAlign w:val="center"/>
          </w:tcPr>
          <w:p>
            <w:pPr>
              <w:pStyle w:val="41"/>
              <w:keepNext w:val="0"/>
              <w:keepLines w:val="0"/>
              <w:pageBreakBefore w:val="0"/>
              <w:kinsoku/>
              <w:wordWrap/>
              <w:bidi w:val="0"/>
              <w:snapToGrid/>
            </w:pPr>
            <w:r>
              <w:t>593.8</w:t>
            </w:r>
          </w:p>
        </w:tc>
        <w:tc>
          <w:tcPr>
            <w:tcW w:w="906" w:type="dxa"/>
            <w:tcBorders>
              <w:tl2br w:val="nil"/>
              <w:tr2bl w:val="nil"/>
            </w:tcBorders>
            <w:tcMar>
              <w:left w:w="0" w:type="dxa"/>
              <w:right w:w="0" w:type="dxa"/>
            </w:tcMar>
            <w:vAlign w:val="center"/>
          </w:tcPr>
          <w:p>
            <w:pPr>
              <w:pStyle w:val="41"/>
              <w:keepNext w:val="0"/>
              <w:keepLines w:val="0"/>
              <w:pageBreakBefore w:val="0"/>
              <w:kinsoku/>
              <w:wordWrap/>
              <w:bidi w:val="0"/>
              <w:snapToGrid/>
            </w:pPr>
            <w:r>
              <w:t>1673.8</w:t>
            </w:r>
          </w:p>
        </w:tc>
        <w:tc>
          <w:tcPr>
            <w:tcW w:w="911" w:type="dxa"/>
            <w:tcBorders>
              <w:tl2br w:val="nil"/>
              <w:tr2bl w:val="nil"/>
            </w:tcBorders>
            <w:tcMar>
              <w:left w:w="0" w:type="dxa"/>
              <w:right w:w="0" w:type="dxa"/>
            </w:tcMar>
            <w:vAlign w:val="center"/>
          </w:tcPr>
          <w:p>
            <w:pPr>
              <w:pStyle w:val="41"/>
              <w:keepNext w:val="0"/>
              <w:keepLines w:val="0"/>
              <w:pageBreakBefore w:val="0"/>
              <w:kinsoku/>
              <w:wordWrap/>
              <w:bidi w:val="0"/>
              <w:snapToGrid/>
            </w:pPr>
            <w:r>
              <w:t>1347.9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88" w:type="dxa"/>
            <w:tcBorders>
              <w:tl2br w:val="nil"/>
              <w:tr2bl w:val="nil"/>
            </w:tcBorders>
            <w:tcMar>
              <w:left w:w="0" w:type="dxa"/>
              <w:right w:w="0" w:type="dxa"/>
            </w:tcMar>
            <w:vAlign w:val="center"/>
          </w:tcPr>
          <w:p>
            <w:pPr>
              <w:pStyle w:val="41"/>
              <w:keepNext w:val="0"/>
              <w:keepLines w:val="0"/>
              <w:pageBreakBefore w:val="0"/>
              <w:kinsoku/>
              <w:wordWrap/>
              <w:bidi w:val="0"/>
              <w:snapToGrid/>
            </w:pPr>
            <w:r>
              <w:t>2</w:t>
            </w:r>
          </w:p>
        </w:tc>
        <w:tc>
          <w:tcPr>
            <w:tcW w:w="2788" w:type="dxa"/>
            <w:tcBorders>
              <w:tl2br w:val="nil"/>
              <w:tr2bl w:val="nil"/>
            </w:tcBorders>
            <w:tcMar>
              <w:left w:w="0" w:type="dxa"/>
              <w:right w:w="0" w:type="dxa"/>
            </w:tcMar>
            <w:vAlign w:val="center"/>
          </w:tcPr>
          <w:p>
            <w:pPr>
              <w:pStyle w:val="41"/>
              <w:keepNext w:val="0"/>
              <w:keepLines w:val="0"/>
              <w:pageBreakBefore w:val="0"/>
              <w:kinsoku/>
              <w:wordWrap/>
              <w:bidi w:val="0"/>
              <w:snapToGrid/>
            </w:pPr>
            <w:r>
              <w:t>芜湖中电环保发电有限公司</w:t>
            </w:r>
          </w:p>
        </w:tc>
        <w:tc>
          <w:tcPr>
            <w:tcW w:w="3020" w:type="dxa"/>
            <w:tcBorders>
              <w:tl2br w:val="nil"/>
              <w:tr2bl w:val="nil"/>
            </w:tcBorders>
            <w:tcMar>
              <w:left w:w="0" w:type="dxa"/>
              <w:right w:w="0" w:type="dxa"/>
            </w:tcMar>
            <w:vAlign w:val="center"/>
          </w:tcPr>
          <w:p>
            <w:pPr>
              <w:pStyle w:val="41"/>
              <w:keepNext w:val="0"/>
              <w:keepLines w:val="0"/>
              <w:pageBreakBefore w:val="0"/>
              <w:kinsoku/>
              <w:wordWrap/>
              <w:bidi w:val="0"/>
              <w:snapToGrid/>
            </w:pPr>
            <w:r>
              <w:t>SE，205m</w:t>
            </w:r>
          </w:p>
        </w:tc>
        <w:tc>
          <w:tcPr>
            <w:tcW w:w="1058" w:type="dxa"/>
            <w:tcBorders>
              <w:tl2br w:val="nil"/>
              <w:tr2bl w:val="nil"/>
            </w:tcBorders>
            <w:tcMar>
              <w:left w:w="0" w:type="dxa"/>
              <w:right w:w="0" w:type="dxa"/>
            </w:tcMar>
            <w:vAlign w:val="center"/>
          </w:tcPr>
          <w:p>
            <w:pPr>
              <w:pStyle w:val="41"/>
              <w:keepNext w:val="0"/>
              <w:keepLines w:val="0"/>
              <w:pageBreakBefore w:val="0"/>
              <w:kinsoku/>
              <w:wordWrap/>
              <w:bidi w:val="0"/>
              <w:snapToGrid/>
            </w:pPr>
            <w:r>
              <w:t>20.42</w:t>
            </w:r>
          </w:p>
        </w:tc>
        <w:tc>
          <w:tcPr>
            <w:tcW w:w="906" w:type="dxa"/>
            <w:tcBorders>
              <w:tl2br w:val="nil"/>
              <w:tr2bl w:val="nil"/>
            </w:tcBorders>
            <w:tcMar>
              <w:left w:w="0" w:type="dxa"/>
              <w:right w:w="0" w:type="dxa"/>
            </w:tcMar>
            <w:vAlign w:val="center"/>
          </w:tcPr>
          <w:p>
            <w:pPr>
              <w:pStyle w:val="41"/>
              <w:keepNext w:val="0"/>
              <w:keepLines w:val="0"/>
              <w:pageBreakBefore w:val="0"/>
              <w:kinsoku/>
              <w:wordWrap/>
              <w:bidi w:val="0"/>
              <w:snapToGrid/>
            </w:pPr>
            <w:r>
              <w:t>58.34</w:t>
            </w:r>
          </w:p>
        </w:tc>
        <w:tc>
          <w:tcPr>
            <w:tcW w:w="911" w:type="dxa"/>
            <w:tcBorders>
              <w:tl2br w:val="nil"/>
              <w:tr2bl w:val="nil"/>
            </w:tcBorders>
            <w:tcMar>
              <w:left w:w="0" w:type="dxa"/>
              <w:right w:w="0" w:type="dxa"/>
            </w:tcMar>
            <w:vAlign w:val="center"/>
          </w:tcPr>
          <w:p>
            <w:pPr>
              <w:pStyle w:val="41"/>
              <w:keepNext w:val="0"/>
              <w:keepLines w:val="0"/>
              <w:pageBreakBefore w:val="0"/>
              <w:kinsoku/>
              <w:wordWrap/>
              <w:bidi w:val="0"/>
              <w:snapToGrid/>
            </w:pPr>
            <w:r>
              <w:t>283.61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88" w:type="dxa"/>
            <w:tcBorders>
              <w:tl2br w:val="nil"/>
              <w:tr2bl w:val="nil"/>
            </w:tcBorders>
            <w:tcMar>
              <w:left w:w="0" w:type="dxa"/>
              <w:right w:w="0" w:type="dxa"/>
            </w:tcMar>
            <w:vAlign w:val="center"/>
          </w:tcPr>
          <w:p>
            <w:pPr>
              <w:pStyle w:val="41"/>
              <w:keepNext w:val="0"/>
              <w:keepLines w:val="0"/>
              <w:pageBreakBefore w:val="0"/>
              <w:kinsoku/>
              <w:wordWrap/>
              <w:bidi w:val="0"/>
              <w:snapToGrid/>
            </w:pPr>
            <w:r>
              <w:t>3</w:t>
            </w:r>
          </w:p>
        </w:tc>
        <w:tc>
          <w:tcPr>
            <w:tcW w:w="2788" w:type="dxa"/>
            <w:tcBorders>
              <w:tl2br w:val="nil"/>
              <w:tr2bl w:val="nil"/>
            </w:tcBorders>
            <w:tcMar>
              <w:left w:w="0" w:type="dxa"/>
              <w:right w:w="0" w:type="dxa"/>
            </w:tcMar>
            <w:vAlign w:val="center"/>
          </w:tcPr>
          <w:p>
            <w:pPr>
              <w:pStyle w:val="41"/>
              <w:keepNext w:val="0"/>
              <w:keepLines w:val="0"/>
              <w:pageBreakBefore w:val="0"/>
              <w:kinsoku/>
              <w:wordWrap/>
              <w:bidi w:val="0"/>
              <w:snapToGrid/>
            </w:pPr>
            <w:r>
              <w:t>芜湖新兴铸管有限责任公司</w:t>
            </w:r>
          </w:p>
        </w:tc>
        <w:tc>
          <w:tcPr>
            <w:tcW w:w="3020" w:type="dxa"/>
            <w:tcBorders>
              <w:tl2br w:val="nil"/>
              <w:tr2bl w:val="nil"/>
            </w:tcBorders>
            <w:tcMar>
              <w:left w:w="0" w:type="dxa"/>
              <w:right w:w="0" w:type="dxa"/>
            </w:tcMar>
            <w:vAlign w:val="center"/>
          </w:tcPr>
          <w:p>
            <w:pPr>
              <w:pStyle w:val="41"/>
              <w:keepNext w:val="0"/>
              <w:keepLines w:val="0"/>
              <w:pageBreakBefore w:val="0"/>
              <w:kinsoku/>
              <w:wordWrap/>
              <w:bidi w:val="0"/>
              <w:snapToGrid/>
            </w:pPr>
            <w:r>
              <w:t>-</w:t>
            </w:r>
          </w:p>
        </w:tc>
        <w:tc>
          <w:tcPr>
            <w:tcW w:w="1058" w:type="dxa"/>
            <w:tcBorders>
              <w:tl2br w:val="nil"/>
              <w:tr2bl w:val="nil"/>
            </w:tcBorders>
            <w:tcMar>
              <w:left w:w="0" w:type="dxa"/>
              <w:right w:w="0" w:type="dxa"/>
            </w:tcMar>
            <w:vAlign w:val="center"/>
          </w:tcPr>
          <w:p>
            <w:pPr>
              <w:pStyle w:val="41"/>
              <w:keepNext w:val="0"/>
              <w:keepLines w:val="0"/>
              <w:pageBreakBefore w:val="0"/>
              <w:kinsoku/>
              <w:wordWrap/>
              <w:bidi w:val="0"/>
              <w:snapToGrid/>
            </w:pPr>
            <w:r>
              <w:t>774</w:t>
            </w:r>
          </w:p>
        </w:tc>
        <w:tc>
          <w:tcPr>
            <w:tcW w:w="906" w:type="dxa"/>
            <w:tcBorders>
              <w:tl2br w:val="nil"/>
              <w:tr2bl w:val="nil"/>
            </w:tcBorders>
            <w:tcMar>
              <w:left w:w="0" w:type="dxa"/>
              <w:right w:w="0" w:type="dxa"/>
            </w:tcMar>
            <w:vAlign w:val="center"/>
          </w:tcPr>
          <w:p>
            <w:pPr>
              <w:pStyle w:val="41"/>
              <w:keepNext w:val="0"/>
              <w:keepLines w:val="0"/>
              <w:pageBreakBefore w:val="0"/>
              <w:kinsoku/>
              <w:wordWrap/>
              <w:bidi w:val="0"/>
              <w:snapToGrid/>
            </w:pPr>
            <w:r>
              <w:t>730</w:t>
            </w:r>
          </w:p>
        </w:tc>
        <w:tc>
          <w:tcPr>
            <w:tcW w:w="911" w:type="dxa"/>
            <w:tcBorders>
              <w:tl2br w:val="nil"/>
              <w:tr2bl w:val="nil"/>
            </w:tcBorders>
            <w:tcMar>
              <w:left w:w="0" w:type="dxa"/>
              <w:right w:w="0" w:type="dxa"/>
            </w:tcMar>
            <w:vAlign w:val="center"/>
          </w:tcPr>
          <w:p>
            <w:pPr>
              <w:pStyle w:val="41"/>
              <w:keepNext w:val="0"/>
              <w:keepLines w:val="0"/>
              <w:pageBreakBefore w:val="0"/>
              <w:kinsoku/>
              <w:wordWrap/>
              <w:bidi w:val="0"/>
              <w:snapToGrid/>
            </w:pPr>
            <w:r>
              <w:t>2180</w:t>
            </w:r>
          </w:p>
        </w:tc>
      </w:tr>
    </w:tbl>
    <w:p>
      <w:pPr>
        <w:keepNext w:val="0"/>
        <w:keepLines w:val="0"/>
        <w:pageBreakBefore w:val="0"/>
        <w:widowControl w:val="0"/>
        <w:kinsoku/>
        <w:wordWrap/>
        <w:overflowPunct/>
        <w:topLinePunct w:val="0"/>
        <w:autoSpaceDE w:val="0"/>
        <w:autoSpaceDN w:val="0"/>
        <w:bidi w:val="0"/>
        <w:adjustRightInd w:val="0"/>
        <w:snapToGrid/>
        <w:textAlignment w:val="auto"/>
        <w:rPr>
          <w:rFonts w:ascii="Times New Roman" w:hAnsi="Times New Roman" w:eastAsia="宋体" w:cs="Times New Roman"/>
          <w:bCs/>
          <w:sz w:val="18"/>
          <w:szCs w:val="18"/>
        </w:rPr>
      </w:pPr>
      <w:r>
        <w:rPr>
          <w:rFonts w:ascii="Times New Roman" w:hAnsi="Times New Roman" w:eastAsia="宋体" w:cs="Times New Roman"/>
          <w:bCs/>
          <w:sz w:val="18"/>
          <w:szCs w:val="18"/>
        </w:rPr>
        <w:t>注：华电和中电污染物排放量取自《安徽华电芜湖发电有限公司二期1×1000MW扩建工程环境影响报告书》及《芜湖中电环保发电项目环境影响报告书》，芜湖新兴铸管排放量取自企业上报环保局的环统报表数据。</w:t>
      </w:r>
    </w:p>
    <w:p>
      <w:pPr>
        <w:keepNext w:val="0"/>
        <w:keepLines w:val="0"/>
        <w:pageBreakBefore w:val="0"/>
        <w:kinsoku/>
        <w:wordWrap/>
        <w:autoSpaceDE w:val="0"/>
        <w:autoSpaceDN w:val="0"/>
        <w:bidi w:val="0"/>
        <w:adjustRightInd w:val="0"/>
        <w:snapToGrid/>
        <w:spacing w:line="360" w:lineRule="auto"/>
        <w:ind w:left="-840" w:leftChars="-400"/>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6393815" cy="4816475"/>
            <wp:effectExtent l="0" t="0" r="6985" b="3175"/>
            <wp:docPr id="11" name="图片 11" descr="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4.28"/>
                    <pic:cNvPicPr>
                      <a:picLocks noChangeAspect="1"/>
                    </pic:cNvPicPr>
                  </pic:nvPicPr>
                  <pic:blipFill>
                    <a:blip r:embed="rId55"/>
                    <a:stretch>
                      <a:fillRect/>
                    </a:stretch>
                  </pic:blipFill>
                  <pic:spPr>
                    <a:xfrm>
                      <a:off x="0" y="0"/>
                      <a:ext cx="6393815" cy="4816475"/>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图5.2-1  评价范围内企业分布示意图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（2）评价方法</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评价方法采用“等标污染负荷法”，其计算公式如下：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①某污染物</w:t>
      </w:r>
      <w:bookmarkStart w:id="9" w:name="OLE_LINK21"/>
      <w:r>
        <w:rPr>
          <w:rFonts w:ascii="Times New Roman" w:hAnsi="Times New Roman" w:eastAsia="宋体" w:cs="Times New Roman"/>
          <w:sz w:val="24"/>
          <w:szCs w:val="24"/>
        </w:rPr>
        <w:t>等标污染负荷</w:t>
      </w:r>
      <w:bookmarkEnd w:id="9"/>
      <w:r>
        <w:rPr>
          <w:rFonts w:ascii="Times New Roman" w:hAnsi="Times New Roman" w:eastAsia="宋体" w:cs="Times New Roman"/>
          <w:sz w:val="24"/>
          <w:szCs w:val="24"/>
        </w:rPr>
        <w:t>(Pi)</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685800" cy="419100"/>
            <wp:effectExtent l="0" t="0" r="0" b="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56"/>
                    <a:stretch>
                      <a:fillRect/>
                    </a:stretch>
                  </pic:blipFill>
                  <pic:spPr>
                    <a:xfrm>
                      <a:off x="0" y="0"/>
                      <a:ext cx="685800" cy="419100"/>
                    </a:xfrm>
                    <a:prstGeom prst="rect">
                      <a:avLst/>
                    </a:prstGeom>
                    <a:noFill/>
                    <a:ln>
                      <a:noFill/>
                    </a:ln>
                  </pic:spPr>
                </pic:pic>
              </a:graphicData>
            </a:graphic>
          </wp:inline>
        </w:drawing>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式中：Pi—i污染物等标污染负荷；</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Ci—i污染物绝对排放量(t/a)；</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C0i—i污染物评价标准(mg/m3)。</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②某污染源的各污染物等标污染负荷(Pn)</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895985" cy="419100"/>
            <wp:effectExtent l="0" t="0" r="0" b="0"/>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57"/>
                    <a:stretch>
                      <a:fillRect/>
                    </a:stretch>
                  </pic:blipFill>
                  <pic:spPr>
                    <a:xfrm>
                      <a:off x="0" y="0"/>
                      <a:ext cx="895985" cy="419100"/>
                    </a:xfrm>
                    <a:prstGeom prst="rect">
                      <a:avLst/>
                    </a:prstGeom>
                    <a:noFill/>
                    <a:ln>
                      <a:noFill/>
                    </a:ln>
                  </pic:spPr>
                </pic:pic>
              </a:graphicData>
            </a:graphic>
          </wp:inline>
        </w:drawing>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式中：i—污染物种类。</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③所有调查单位各项污染物总等标污染负荷(P)</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809625" cy="419100"/>
            <wp:effectExtent l="0" t="0" r="0" b="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58"/>
                    <a:stretch>
                      <a:fillRect/>
                    </a:stretch>
                  </pic:blipFill>
                  <pic:spPr>
                    <a:xfrm>
                      <a:off x="0" y="0"/>
                      <a:ext cx="809625" cy="419100"/>
                    </a:xfrm>
                    <a:prstGeom prst="rect">
                      <a:avLst/>
                    </a:prstGeom>
                    <a:noFill/>
                    <a:ln>
                      <a:noFill/>
                    </a:ln>
                  </pic:spPr>
                </pic:pic>
              </a:graphicData>
            </a:graphic>
          </wp:inline>
        </w:drawing>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式中：n—单位个数。</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④所有调查单位某污染物的总等标污染负荷(Pi总)</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923925" cy="419100"/>
            <wp:effectExtent l="0" t="0" r="0" b="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59"/>
                    <a:stretch>
                      <a:fillRect/>
                    </a:stretch>
                  </pic:blipFill>
                  <pic:spPr>
                    <a:xfrm>
                      <a:off x="0" y="0"/>
                      <a:ext cx="923925" cy="419100"/>
                    </a:xfrm>
                    <a:prstGeom prst="rect">
                      <a:avLst/>
                    </a:prstGeom>
                    <a:noFill/>
                    <a:ln>
                      <a:noFill/>
                    </a:ln>
                  </pic:spPr>
                </pic:pic>
              </a:graphicData>
            </a:graphic>
          </wp:inline>
        </w:drawing>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⑤某污染物在所有调查单位中的等标污染负荷比(Ki总)</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1381760" cy="419100"/>
            <wp:effectExtent l="0" t="0" r="0" b="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60"/>
                    <a:stretch>
                      <a:fillRect/>
                    </a:stretch>
                  </pic:blipFill>
                  <pic:spPr>
                    <a:xfrm>
                      <a:off x="0" y="0"/>
                      <a:ext cx="1381760" cy="419100"/>
                    </a:xfrm>
                    <a:prstGeom prst="rect">
                      <a:avLst/>
                    </a:prstGeom>
                    <a:noFill/>
                    <a:ln>
                      <a:noFill/>
                    </a:ln>
                  </pic:spPr>
                </pic:pic>
              </a:graphicData>
            </a:graphic>
          </wp:inline>
        </w:drawing>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⑥某污染源在所有调查单位中的等标污染负荷比(Kn)</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1218565" cy="419100"/>
            <wp:effectExtent l="0" t="0" r="0" b="0"/>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61"/>
                    <a:stretch>
                      <a:fillRect/>
                    </a:stretch>
                  </pic:blipFill>
                  <pic:spPr>
                    <a:xfrm>
                      <a:off x="0" y="0"/>
                      <a:ext cx="1218565" cy="419100"/>
                    </a:xfrm>
                    <a:prstGeom prst="rect">
                      <a:avLst/>
                    </a:prstGeom>
                    <a:noFill/>
                    <a:ln>
                      <a:noFill/>
                    </a:ln>
                  </pic:spPr>
                </pic:pic>
              </a:graphicData>
            </a:graphic>
          </wp:inline>
        </w:drawing>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（3）评价因子与标准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区域废气污染源评价因子为SO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和烟/粉尘，评价标准采用《环境空气质量标准》（GB3095-2012）中的二级标准。烟/粉尘≤0.9mg/m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≤0.5mg/m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，NOx≤0.20mg/m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（4）评价结果</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评价区内现有废气污染源评价统计结果见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_Ref460242376 \h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表5</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.2-2。</w:t>
      </w:r>
    </w:p>
    <w:p>
      <w:pPr>
        <w:pStyle w:val="2"/>
        <w:keepNext w:val="0"/>
        <w:keepLines w:val="0"/>
        <w:pageBreakBefore w:val="0"/>
        <w:kinsoku/>
        <w:wordWrap/>
        <w:bidi w:val="0"/>
        <w:snapToGrid/>
        <w:rPr>
          <w:rFonts w:ascii="Times New Roman" w:hAnsi="Times New Roman" w:eastAsia="宋体" w:cs="Times New Roman"/>
          <w:sz w:val="24"/>
          <w:szCs w:val="24"/>
        </w:rPr>
      </w:pPr>
    </w:p>
    <w:p>
      <w:pPr>
        <w:pStyle w:val="2"/>
        <w:keepNext w:val="0"/>
        <w:keepLines w:val="0"/>
        <w:pageBreakBefore w:val="0"/>
        <w:kinsoku/>
        <w:wordWrap/>
        <w:bidi w:val="0"/>
        <w:snapToGrid/>
        <w:rPr>
          <w:rFonts w:ascii="Times New Roman" w:hAnsi="Times New Roman" w:eastAsia="宋体" w:cs="Times New Roman"/>
          <w:sz w:val="24"/>
          <w:szCs w:val="24"/>
        </w:rPr>
      </w:pPr>
    </w:p>
    <w:p>
      <w:pPr>
        <w:pStyle w:val="31"/>
        <w:keepNext w:val="0"/>
        <w:keepLines w:val="0"/>
        <w:pageBreakBefore w:val="0"/>
        <w:kinsoku/>
        <w:wordWrap/>
        <w:bidi w:val="0"/>
        <w:snapToGrid/>
        <w:spacing w:line="360" w:lineRule="auto"/>
        <w:rPr>
          <w:rFonts w:cs="Times New Roman"/>
        </w:rPr>
      </w:pPr>
      <w:r>
        <w:rPr>
          <w:rFonts w:cs="Times New Roman"/>
        </w:rPr>
        <w:t>表5.2-2  评价范围内废气污染源评价结果统计表</w:t>
      </w:r>
    </w:p>
    <w:tbl>
      <w:tblPr>
        <w:tblStyle w:val="21"/>
        <w:tblW w:w="9071" w:type="dxa"/>
        <w:jc w:val="center"/>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3"/>
        <w:gridCol w:w="1140"/>
        <w:gridCol w:w="945"/>
        <w:gridCol w:w="945"/>
        <w:gridCol w:w="990"/>
        <w:gridCol w:w="1140"/>
        <w:gridCol w:w="900"/>
        <w:gridCol w:w="960"/>
        <w:gridCol w:w="840"/>
        <w:gridCol w:w="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513"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序号</w:t>
            </w:r>
          </w:p>
        </w:tc>
        <w:tc>
          <w:tcPr>
            <w:tcW w:w="1140"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企业名称</w:t>
            </w:r>
          </w:p>
        </w:tc>
        <w:tc>
          <w:tcPr>
            <w:tcW w:w="2880" w:type="dxa"/>
            <w:gridSpan w:val="3"/>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污染物等标污染负荷P</w:t>
            </w:r>
            <w:r>
              <w:rPr>
                <w:b/>
                <w:bCs/>
                <w:sz w:val="18"/>
                <w:szCs w:val="18"/>
                <w:vertAlign w:val="subscript"/>
              </w:rPr>
              <w:t>i</w:t>
            </w:r>
          </w:p>
        </w:tc>
        <w:tc>
          <w:tcPr>
            <w:tcW w:w="1140"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烟/粉尘污染负荷比(%)</w:t>
            </w:r>
          </w:p>
        </w:tc>
        <w:tc>
          <w:tcPr>
            <w:tcW w:w="900"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SO</w:t>
            </w:r>
            <w:r>
              <w:rPr>
                <w:b/>
                <w:bCs/>
                <w:sz w:val="18"/>
                <w:szCs w:val="18"/>
                <w:vertAlign w:val="subscript"/>
              </w:rPr>
              <w:t>2</w:t>
            </w:r>
            <w:r>
              <w:rPr>
                <w:b/>
                <w:bCs/>
                <w:sz w:val="18"/>
                <w:szCs w:val="18"/>
              </w:rPr>
              <w:t>污染负荷比(%)</w:t>
            </w:r>
          </w:p>
        </w:tc>
        <w:tc>
          <w:tcPr>
            <w:tcW w:w="960"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NO</w:t>
            </w:r>
            <w:r>
              <w:rPr>
                <w:b/>
                <w:bCs/>
                <w:sz w:val="18"/>
                <w:szCs w:val="18"/>
                <w:vertAlign w:val="subscript"/>
              </w:rPr>
              <w:t>x</w:t>
            </w:r>
            <w:r>
              <w:rPr>
                <w:b/>
                <w:bCs/>
                <w:sz w:val="18"/>
                <w:szCs w:val="18"/>
              </w:rPr>
              <w:t>污染负荷比(%)</w:t>
            </w:r>
          </w:p>
        </w:tc>
        <w:tc>
          <w:tcPr>
            <w:tcW w:w="840"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P</w:t>
            </w:r>
            <w:r>
              <w:rPr>
                <w:b/>
                <w:bCs/>
                <w:sz w:val="18"/>
                <w:szCs w:val="18"/>
                <w:vertAlign w:val="subscript"/>
              </w:rPr>
              <w:t>n</w:t>
            </w:r>
          </w:p>
        </w:tc>
        <w:tc>
          <w:tcPr>
            <w:tcW w:w="698"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K</w:t>
            </w:r>
            <w:r>
              <w:rPr>
                <w:b/>
                <w:bCs/>
                <w:sz w:val="18"/>
                <w:szCs w:val="18"/>
                <w:vertAlign w:val="subscript"/>
              </w:rPr>
              <w:t>n</w:t>
            </w:r>
            <w:r>
              <w:rPr>
                <w:b/>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13"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rPr>
                <w:kern w:val="24"/>
                <w:sz w:val="18"/>
                <w:szCs w:val="18"/>
              </w:rPr>
            </w:pPr>
          </w:p>
        </w:tc>
        <w:tc>
          <w:tcPr>
            <w:tcW w:w="1140"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rPr>
                <w:kern w:val="24"/>
                <w:sz w:val="18"/>
                <w:szCs w:val="18"/>
              </w:rPr>
            </w:pP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烟/粉尘</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SO</w:t>
            </w:r>
            <w:r>
              <w:rPr>
                <w:b/>
                <w:bCs/>
                <w:sz w:val="18"/>
                <w:szCs w:val="18"/>
                <w:vertAlign w:val="subscript"/>
              </w:rPr>
              <w:t>2</w:t>
            </w:r>
          </w:p>
        </w:tc>
        <w:tc>
          <w:tcPr>
            <w:tcW w:w="990" w:type="dxa"/>
            <w:tcBorders>
              <w:tl2br w:val="nil"/>
              <w:tr2bl w:val="nil"/>
            </w:tcBorders>
            <w:tcMar>
              <w:left w:w="0" w:type="dxa"/>
              <w:right w:w="0" w:type="dxa"/>
            </w:tcMar>
            <w:vAlign w:val="center"/>
          </w:tcPr>
          <w:p>
            <w:pPr>
              <w:pStyle w:val="41"/>
              <w:keepNext w:val="0"/>
              <w:keepLines w:val="0"/>
              <w:pageBreakBefore w:val="0"/>
              <w:kinsoku/>
              <w:wordWrap/>
              <w:bidi w:val="0"/>
              <w:snapToGrid/>
              <w:rPr>
                <w:b/>
                <w:bCs/>
                <w:sz w:val="18"/>
                <w:szCs w:val="18"/>
              </w:rPr>
            </w:pPr>
            <w:r>
              <w:rPr>
                <w:b/>
                <w:bCs/>
                <w:sz w:val="18"/>
                <w:szCs w:val="18"/>
              </w:rPr>
              <w:t>NO</w:t>
            </w:r>
            <w:r>
              <w:rPr>
                <w:b/>
                <w:bCs/>
                <w:sz w:val="18"/>
                <w:szCs w:val="18"/>
                <w:vertAlign w:val="subscript"/>
              </w:rPr>
              <w:t>x</w:t>
            </w:r>
          </w:p>
        </w:tc>
        <w:tc>
          <w:tcPr>
            <w:tcW w:w="1140"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rPr>
                <w:b/>
                <w:bCs/>
                <w:kern w:val="24"/>
                <w:sz w:val="18"/>
                <w:szCs w:val="18"/>
              </w:rPr>
            </w:pPr>
          </w:p>
        </w:tc>
        <w:tc>
          <w:tcPr>
            <w:tcW w:w="900"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rPr>
                <w:kern w:val="24"/>
                <w:sz w:val="18"/>
                <w:szCs w:val="18"/>
              </w:rPr>
            </w:pPr>
          </w:p>
        </w:tc>
        <w:tc>
          <w:tcPr>
            <w:tcW w:w="960"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rPr>
                <w:kern w:val="24"/>
                <w:sz w:val="18"/>
                <w:szCs w:val="18"/>
              </w:rPr>
            </w:pPr>
          </w:p>
        </w:tc>
        <w:tc>
          <w:tcPr>
            <w:tcW w:w="840"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rPr>
                <w:kern w:val="24"/>
                <w:sz w:val="18"/>
                <w:szCs w:val="18"/>
              </w:rPr>
            </w:pPr>
          </w:p>
        </w:tc>
        <w:tc>
          <w:tcPr>
            <w:tcW w:w="698"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rPr>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13"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1</w:t>
            </w:r>
          </w:p>
        </w:tc>
        <w:tc>
          <w:tcPr>
            <w:tcW w:w="11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芜湖华电</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659.78 </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3347.60 </w:t>
            </w:r>
          </w:p>
        </w:tc>
        <w:tc>
          <w:tcPr>
            <w:tcW w:w="99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6739.50 </w:t>
            </w:r>
          </w:p>
        </w:tc>
        <w:tc>
          <w:tcPr>
            <w:tcW w:w="11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42.77 </w:t>
            </w:r>
          </w:p>
        </w:tc>
        <w:tc>
          <w:tcPr>
            <w:tcW w:w="90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67.98 </w:t>
            </w:r>
          </w:p>
        </w:tc>
        <w:tc>
          <w:tcPr>
            <w:tcW w:w="96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35.36 </w:t>
            </w:r>
          </w:p>
        </w:tc>
        <w:tc>
          <w:tcPr>
            <w:tcW w:w="8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10746.88 </w:t>
            </w:r>
          </w:p>
        </w:tc>
        <w:tc>
          <w:tcPr>
            <w:tcW w:w="698"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42.10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13"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2</w:t>
            </w:r>
          </w:p>
        </w:tc>
        <w:tc>
          <w:tcPr>
            <w:tcW w:w="11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芜湖中电</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22.69 </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116.68 </w:t>
            </w:r>
          </w:p>
        </w:tc>
        <w:tc>
          <w:tcPr>
            <w:tcW w:w="99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1418.05 </w:t>
            </w:r>
          </w:p>
        </w:tc>
        <w:tc>
          <w:tcPr>
            <w:tcW w:w="11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1.47 </w:t>
            </w:r>
          </w:p>
        </w:tc>
        <w:tc>
          <w:tcPr>
            <w:tcW w:w="90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2.37 </w:t>
            </w:r>
          </w:p>
        </w:tc>
        <w:tc>
          <w:tcPr>
            <w:tcW w:w="96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7.44 </w:t>
            </w:r>
          </w:p>
        </w:tc>
        <w:tc>
          <w:tcPr>
            <w:tcW w:w="8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1557.42 </w:t>
            </w:r>
          </w:p>
        </w:tc>
        <w:tc>
          <w:tcPr>
            <w:tcW w:w="698"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6.10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13"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3</w:t>
            </w:r>
          </w:p>
        </w:tc>
        <w:tc>
          <w:tcPr>
            <w:tcW w:w="11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新兴铸管</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860.00 </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1460.00 </w:t>
            </w:r>
          </w:p>
        </w:tc>
        <w:tc>
          <w:tcPr>
            <w:tcW w:w="99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10900.00 </w:t>
            </w:r>
          </w:p>
        </w:tc>
        <w:tc>
          <w:tcPr>
            <w:tcW w:w="11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55.75 </w:t>
            </w:r>
          </w:p>
        </w:tc>
        <w:tc>
          <w:tcPr>
            <w:tcW w:w="90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29.65 </w:t>
            </w:r>
          </w:p>
        </w:tc>
        <w:tc>
          <w:tcPr>
            <w:tcW w:w="96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57.20 </w:t>
            </w:r>
          </w:p>
        </w:tc>
        <w:tc>
          <w:tcPr>
            <w:tcW w:w="8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13220.00 </w:t>
            </w:r>
          </w:p>
        </w:tc>
        <w:tc>
          <w:tcPr>
            <w:tcW w:w="698"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51.79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653" w:type="dxa"/>
            <w:gridSpan w:val="2"/>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合计</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1542.47 </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4924.28 </w:t>
            </w:r>
          </w:p>
        </w:tc>
        <w:tc>
          <w:tcPr>
            <w:tcW w:w="99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19057.55 </w:t>
            </w:r>
          </w:p>
        </w:tc>
        <w:tc>
          <w:tcPr>
            <w:tcW w:w="11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100</w:t>
            </w:r>
          </w:p>
        </w:tc>
        <w:tc>
          <w:tcPr>
            <w:tcW w:w="90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100</w:t>
            </w:r>
          </w:p>
        </w:tc>
        <w:tc>
          <w:tcPr>
            <w:tcW w:w="96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100</w:t>
            </w:r>
          </w:p>
        </w:tc>
        <w:tc>
          <w:tcPr>
            <w:tcW w:w="8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25524.30 </w:t>
            </w:r>
          </w:p>
        </w:tc>
        <w:tc>
          <w:tcPr>
            <w:tcW w:w="698"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653" w:type="dxa"/>
            <w:gridSpan w:val="2"/>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K</w:t>
            </w:r>
            <w:r>
              <w:rPr>
                <w:sz w:val="18"/>
                <w:szCs w:val="18"/>
                <w:vertAlign w:val="subscript"/>
              </w:rPr>
              <w:t>i</w:t>
            </w:r>
            <w:r>
              <w:rPr>
                <w:sz w:val="18"/>
                <w:szCs w:val="18"/>
              </w:rPr>
              <w:t>(%)</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6.04 </w:t>
            </w:r>
          </w:p>
        </w:tc>
        <w:tc>
          <w:tcPr>
            <w:tcW w:w="945"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19.29 </w:t>
            </w:r>
          </w:p>
        </w:tc>
        <w:tc>
          <w:tcPr>
            <w:tcW w:w="99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xml:space="preserve">74.66 </w:t>
            </w:r>
          </w:p>
        </w:tc>
        <w:tc>
          <w:tcPr>
            <w:tcW w:w="11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p>
        </w:tc>
        <w:tc>
          <w:tcPr>
            <w:tcW w:w="90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w:t>
            </w:r>
          </w:p>
        </w:tc>
        <w:tc>
          <w:tcPr>
            <w:tcW w:w="96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w:t>
            </w:r>
          </w:p>
        </w:tc>
        <w:tc>
          <w:tcPr>
            <w:tcW w:w="840"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w:t>
            </w:r>
          </w:p>
        </w:tc>
        <w:tc>
          <w:tcPr>
            <w:tcW w:w="698" w:type="dxa"/>
            <w:tcBorders>
              <w:tl2br w:val="nil"/>
              <w:tr2bl w:val="nil"/>
            </w:tcBorders>
            <w:tcMar>
              <w:left w:w="0" w:type="dxa"/>
              <w:right w:w="0" w:type="dxa"/>
            </w:tcMar>
            <w:vAlign w:val="center"/>
          </w:tcPr>
          <w:p>
            <w:pPr>
              <w:pStyle w:val="41"/>
              <w:keepNext w:val="0"/>
              <w:keepLines w:val="0"/>
              <w:pageBreakBefore w:val="0"/>
              <w:kinsoku/>
              <w:wordWrap/>
              <w:bidi w:val="0"/>
              <w:snapToGrid/>
              <w:rPr>
                <w:sz w:val="18"/>
                <w:szCs w:val="18"/>
              </w:rPr>
            </w:pPr>
            <w:r>
              <w:rPr>
                <w:sz w:val="18"/>
                <w:szCs w:val="18"/>
              </w:rPr>
              <w:t>　</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_Ref460242376 \h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表5</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.2-2可以看出，评价区域内污染物烟/粉尘污染负荷比为6.04%，SO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污染负荷比为19.29%，NO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污染负荷比为74.66%，NO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为主要污染物。</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在各企业外排的烟/粉尘中，芜湖新兴铸管有限责任公司烟/粉尘污染负荷比最大，为55.75%，其次为安徽华电芜湖发电有限公司，其污染负荷比为42.77%。</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在各企业外排的SO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中，安徽华电芜湖发电有限公司SO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污染负荷比最大，为67.98%，其次为芜湖新兴铸管有限责任公司，其污染负荷比为29.65%。</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在各企业外排的NO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中，芜湖新兴铸管有限责任公司NO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污染负荷比最大，为57.20%，其次为安徽华电芜湖发电有限公司，其污染负荷比为35.36%。</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综合外排的烟/粉尘、SO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，芜湖新兴铸管有限责任公司在该区域的等标污染负荷比最大，为51.79%，其次为安徽华电芜湖发电有限公司，等标污染负荷比为42.10%。</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5.2.2区域废水污染源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（1）评价范围内主要企业情况</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本评价收集了评价区域内2016年现有企业的废水污染物排放资料，现有企业具体排放情况见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_Ref461111862 \h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表5</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.2-3。评价区内各企业均不向环境中排放污水。</w:t>
      </w:r>
    </w:p>
    <w:p>
      <w:pPr>
        <w:pStyle w:val="31"/>
        <w:keepNext w:val="0"/>
        <w:keepLines w:val="0"/>
        <w:pageBreakBefore w:val="0"/>
        <w:kinsoku/>
        <w:wordWrap/>
        <w:bidi w:val="0"/>
        <w:snapToGrid/>
        <w:spacing w:line="360" w:lineRule="auto"/>
        <w:rPr>
          <w:rFonts w:cs="Times New Roman"/>
        </w:rPr>
      </w:pPr>
      <w:r>
        <w:rPr>
          <w:rFonts w:cs="Times New Roman"/>
        </w:rPr>
        <w:t>表5.2-3  评价区域现有排污企业2016年废水污染物排放统计表（单位：t/a）</w:t>
      </w:r>
    </w:p>
    <w:tbl>
      <w:tblPr>
        <w:tblStyle w:val="21"/>
        <w:tblW w:w="872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2827"/>
        <w:gridCol w:w="2580"/>
        <w:gridCol w:w="1364"/>
        <w:gridCol w:w="15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26" w:type="dxa"/>
            <w:tcBorders>
              <w:tl2br w:val="nil"/>
              <w:tr2bl w:val="nil"/>
            </w:tcBorders>
            <w:vAlign w:val="center"/>
          </w:tcPr>
          <w:p>
            <w:pPr>
              <w:pStyle w:val="41"/>
              <w:keepNext w:val="0"/>
              <w:keepLines w:val="0"/>
              <w:pageBreakBefore w:val="0"/>
              <w:kinsoku/>
              <w:wordWrap/>
              <w:bidi w:val="0"/>
              <w:snapToGrid/>
              <w:rPr>
                <w:b/>
                <w:bCs/>
              </w:rPr>
            </w:pPr>
            <w:r>
              <w:rPr>
                <w:b/>
                <w:bCs/>
              </w:rPr>
              <w:t>序号</w:t>
            </w:r>
          </w:p>
        </w:tc>
        <w:tc>
          <w:tcPr>
            <w:tcW w:w="2827" w:type="dxa"/>
            <w:tcBorders>
              <w:tl2br w:val="nil"/>
              <w:tr2bl w:val="nil"/>
            </w:tcBorders>
            <w:vAlign w:val="center"/>
          </w:tcPr>
          <w:p>
            <w:pPr>
              <w:pStyle w:val="41"/>
              <w:keepNext w:val="0"/>
              <w:keepLines w:val="0"/>
              <w:pageBreakBefore w:val="0"/>
              <w:kinsoku/>
              <w:wordWrap/>
              <w:bidi w:val="0"/>
              <w:snapToGrid/>
              <w:rPr>
                <w:b/>
                <w:bCs/>
              </w:rPr>
            </w:pPr>
            <w:r>
              <w:rPr>
                <w:b/>
                <w:bCs/>
              </w:rPr>
              <w:t>企业名称</w:t>
            </w:r>
          </w:p>
        </w:tc>
        <w:tc>
          <w:tcPr>
            <w:tcW w:w="2580" w:type="dxa"/>
            <w:tcBorders>
              <w:tl2br w:val="nil"/>
              <w:tr2bl w:val="nil"/>
            </w:tcBorders>
            <w:vAlign w:val="center"/>
          </w:tcPr>
          <w:p>
            <w:pPr>
              <w:pStyle w:val="41"/>
              <w:keepNext w:val="0"/>
              <w:keepLines w:val="0"/>
              <w:pageBreakBefore w:val="0"/>
              <w:kinsoku/>
              <w:wordWrap/>
              <w:bidi w:val="0"/>
              <w:snapToGrid/>
              <w:rPr>
                <w:b/>
                <w:bCs/>
              </w:rPr>
            </w:pPr>
            <w:r>
              <w:rPr>
                <w:b/>
                <w:bCs/>
              </w:rPr>
              <w:t>相对芜湖新兴铸管方位及</w:t>
            </w:r>
          </w:p>
          <w:p>
            <w:pPr>
              <w:pStyle w:val="41"/>
              <w:keepNext w:val="0"/>
              <w:keepLines w:val="0"/>
              <w:pageBreakBefore w:val="0"/>
              <w:kinsoku/>
              <w:wordWrap/>
              <w:bidi w:val="0"/>
              <w:snapToGrid/>
              <w:rPr>
                <w:b/>
                <w:bCs/>
              </w:rPr>
            </w:pPr>
            <w:r>
              <w:rPr>
                <w:b/>
                <w:bCs/>
              </w:rPr>
              <w:t>厂界最近距离</w:t>
            </w:r>
          </w:p>
        </w:tc>
        <w:tc>
          <w:tcPr>
            <w:tcW w:w="1364" w:type="dxa"/>
            <w:tcBorders>
              <w:tl2br w:val="nil"/>
              <w:tr2bl w:val="nil"/>
            </w:tcBorders>
            <w:vAlign w:val="center"/>
          </w:tcPr>
          <w:p>
            <w:pPr>
              <w:pStyle w:val="41"/>
              <w:keepNext w:val="0"/>
              <w:keepLines w:val="0"/>
              <w:pageBreakBefore w:val="0"/>
              <w:kinsoku/>
              <w:wordWrap/>
              <w:bidi w:val="0"/>
              <w:snapToGrid/>
              <w:rPr>
                <w:b/>
                <w:bCs/>
              </w:rPr>
            </w:pPr>
            <w:r>
              <w:rPr>
                <w:b/>
                <w:bCs/>
              </w:rPr>
              <w:t>COD排放量</w:t>
            </w:r>
          </w:p>
        </w:tc>
        <w:tc>
          <w:tcPr>
            <w:tcW w:w="1523" w:type="dxa"/>
            <w:tcBorders>
              <w:tl2br w:val="nil"/>
              <w:tr2bl w:val="nil"/>
            </w:tcBorders>
            <w:vAlign w:val="center"/>
          </w:tcPr>
          <w:p>
            <w:pPr>
              <w:pStyle w:val="41"/>
              <w:keepNext w:val="0"/>
              <w:keepLines w:val="0"/>
              <w:pageBreakBefore w:val="0"/>
              <w:kinsoku/>
              <w:wordWrap/>
              <w:bidi w:val="0"/>
              <w:snapToGrid/>
              <w:rPr>
                <w:b/>
                <w:bCs/>
              </w:rPr>
            </w:pPr>
            <w:r>
              <w:rPr>
                <w:b/>
                <w:bCs/>
              </w:rPr>
              <w:t>NH</w:t>
            </w:r>
            <w:r>
              <w:rPr>
                <w:b/>
                <w:bCs/>
                <w:vertAlign w:val="subscript"/>
              </w:rPr>
              <w:t>3</w:t>
            </w:r>
            <w:r>
              <w:rPr>
                <w:b/>
                <w:bCs/>
              </w:rPr>
              <w:t>-N排放量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26" w:type="dxa"/>
            <w:tcBorders>
              <w:tl2br w:val="nil"/>
              <w:tr2bl w:val="nil"/>
            </w:tcBorders>
            <w:vAlign w:val="center"/>
          </w:tcPr>
          <w:p>
            <w:pPr>
              <w:pStyle w:val="41"/>
              <w:keepNext w:val="0"/>
              <w:keepLines w:val="0"/>
              <w:pageBreakBefore w:val="0"/>
              <w:kinsoku/>
              <w:wordWrap/>
              <w:bidi w:val="0"/>
              <w:snapToGrid/>
            </w:pPr>
            <w:r>
              <w:t>1</w:t>
            </w:r>
          </w:p>
        </w:tc>
        <w:tc>
          <w:tcPr>
            <w:tcW w:w="2827" w:type="dxa"/>
            <w:tcBorders>
              <w:tl2br w:val="nil"/>
              <w:tr2bl w:val="nil"/>
            </w:tcBorders>
            <w:vAlign w:val="center"/>
          </w:tcPr>
          <w:p>
            <w:pPr>
              <w:pStyle w:val="41"/>
              <w:keepNext w:val="0"/>
              <w:keepLines w:val="0"/>
              <w:pageBreakBefore w:val="0"/>
              <w:kinsoku/>
              <w:wordWrap/>
              <w:bidi w:val="0"/>
              <w:snapToGrid/>
            </w:pPr>
            <w:r>
              <w:t>安徽华电芜湖发电有限公司</w:t>
            </w:r>
          </w:p>
        </w:tc>
        <w:tc>
          <w:tcPr>
            <w:tcW w:w="2580" w:type="dxa"/>
            <w:tcBorders>
              <w:tl2br w:val="nil"/>
              <w:tr2bl w:val="nil"/>
            </w:tcBorders>
            <w:vAlign w:val="center"/>
          </w:tcPr>
          <w:p>
            <w:pPr>
              <w:pStyle w:val="41"/>
              <w:keepNext w:val="0"/>
              <w:keepLines w:val="0"/>
              <w:pageBreakBefore w:val="0"/>
              <w:kinsoku/>
              <w:wordWrap/>
              <w:bidi w:val="0"/>
              <w:snapToGrid/>
            </w:pPr>
            <w:r>
              <w:t>NE，85km</w:t>
            </w:r>
          </w:p>
        </w:tc>
        <w:tc>
          <w:tcPr>
            <w:tcW w:w="1364" w:type="dxa"/>
            <w:tcBorders>
              <w:tl2br w:val="nil"/>
              <w:tr2bl w:val="nil"/>
            </w:tcBorders>
            <w:vAlign w:val="center"/>
          </w:tcPr>
          <w:p>
            <w:pPr>
              <w:pStyle w:val="41"/>
              <w:keepNext w:val="0"/>
              <w:keepLines w:val="0"/>
              <w:pageBreakBefore w:val="0"/>
              <w:kinsoku/>
              <w:wordWrap/>
              <w:bidi w:val="0"/>
              <w:snapToGrid/>
            </w:pPr>
            <w:r>
              <w:t>0</w:t>
            </w:r>
          </w:p>
        </w:tc>
        <w:tc>
          <w:tcPr>
            <w:tcW w:w="1523" w:type="dxa"/>
            <w:tcBorders>
              <w:tl2br w:val="nil"/>
              <w:tr2bl w:val="nil"/>
            </w:tcBorders>
            <w:vAlign w:val="center"/>
          </w:tcPr>
          <w:p>
            <w:pPr>
              <w:pStyle w:val="41"/>
              <w:keepNext w:val="0"/>
              <w:keepLines w:val="0"/>
              <w:pageBreakBefore w:val="0"/>
              <w:kinsoku/>
              <w:wordWrap/>
              <w:bidi w:val="0"/>
              <w:snapToGrid/>
            </w:pPr>
            <w: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26" w:type="dxa"/>
            <w:tcBorders>
              <w:tl2br w:val="nil"/>
              <w:tr2bl w:val="nil"/>
            </w:tcBorders>
            <w:vAlign w:val="center"/>
          </w:tcPr>
          <w:p>
            <w:pPr>
              <w:pStyle w:val="41"/>
              <w:keepNext w:val="0"/>
              <w:keepLines w:val="0"/>
              <w:pageBreakBefore w:val="0"/>
              <w:kinsoku/>
              <w:wordWrap/>
              <w:bidi w:val="0"/>
              <w:snapToGrid/>
            </w:pPr>
            <w:r>
              <w:t>2</w:t>
            </w:r>
          </w:p>
        </w:tc>
        <w:tc>
          <w:tcPr>
            <w:tcW w:w="2827" w:type="dxa"/>
            <w:tcBorders>
              <w:tl2br w:val="nil"/>
              <w:tr2bl w:val="nil"/>
            </w:tcBorders>
            <w:vAlign w:val="center"/>
          </w:tcPr>
          <w:p>
            <w:pPr>
              <w:pStyle w:val="41"/>
              <w:keepNext w:val="0"/>
              <w:keepLines w:val="0"/>
              <w:pageBreakBefore w:val="0"/>
              <w:kinsoku/>
              <w:wordWrap/>
              <w:bidi w:val="0"/>
              <w:snapToGrid/>
            </w:pPr>
            <w:r>
              <w:t>芜湖中电环保发电有限公司</w:t>
            </w:r>
          </w:p>
        </w:tc>
        <w:tc>
          <w:tcPr>
            <w:tcW w:w="2580" w:type="dxa"/>
            <w:tcBorders>
              <w:tl2br w:val="nil"/>
              <w:tr2bl w:val="nil"/>
            </w:tcBorders>
            <w:vAlign w:val="center"/>
          </w:tcPr>
          <w:p>
            <w:pPr>
              <w:pStyle w:val="41"/>
              <w:keepNext w:val="0"/>
              <w:keepLines w:val="0"/>
              <w:pageBreakBefore w:val="0"/>
              <w:kinsoku/>
              <w:wordWrap/>
              <w:bidi w:val="0"/>
              <w:snapToGrid/>
            </w:pPr>
            <w:r>
              <w:t>SE，205m</w:t>
            </w:r>
          </w:p>
        </w:tc>
        <w:tc>
          <w:tcPr>
            <w:tcW w:w="1364" w:type="dxa"/>
            <w:tcBorders>
              <w:tl2br w:val="nil"/>
              <w:tr2bl w:val="nil"/>
            </w:tcBorders>
            <w:vAlign w:val="center"/>
          </w:tcPr>
          <w:p>
            <w:pPr>
              <w:pStyle w:val="41"/>
              <w:keepNext w:val="0"/>
              <w:keepLines w:val="0"/>
              <w:pageBreakBefore w:val="0"/>
              <w:kinsoku/>
              <w:wordWrap/>
              <w:bidi w:val="0"/>
              <w:snapToGrid/>
            </w:pPr>
            <w:r>
              <w:t>0</w:t>
            </w:r>
          </w:p>
        </w:tc>
        <w:tc>
          <w:tcPr>
            <w:tcW w:w="1523" w:type="dxa"/>
            <w:tcBorders>
              <w:tl2br w:val="nil"/>
              <w:tr2bl w:val="nil"/>
            </w:tcBorders>
            <w:vAlign w:val="center"/>
          </w:tcPr>
          <w:p>
            <w:pPr>
              <w:pStyle w:val="41"/>
              <w:keepNext w:val="0"/>
              <w:keepLines w:val="0"/>
              <w:pageBreakBefore w:val="0"/>
              <w:kinsoku/>
              <w:wordWrap/>
              <w:bidi w:val="0"/>
              <w:snapToGrid/>
            </w:pPr>
            <w: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26" w:type="dxa"/>
            <w:tcBorders>
              <w:tl2br w:val="nil"/>
              <w:tr2bl w:val="nil"/>
            </w:tcBorders>
            <w:vAlign w:val="center"/>
          </w:tcPr>
          <w:p>
            <w:pPr>
              <w:pStyle w:val="41"/>
              <w:keepNext w:val="0"/>
              <w:keepLines w:val="0"/>
              <w:pageBreakBefore w:val="0"/>
              <w:kinsoku/>
              <w:wordWrap/>
              <w:bidi w:val="0"/>
              <w:snapToGrid/>
            </w:pPr>
            <w:r>
              <w:t>3</w:t>
            </w:r>
          </w:p>
        </w:tc>
        <w:tc>
          <w:tcPr>
            <w:tcW w:w="2827" w:type="dxa"/>
            <w:tcBorders>
              <w:tl2br w:val="nil"/>
              <w:tr2bl w:val="nil"/>
            </w:tcBorders>
            <w:vAlign w:val="center"/>
          </w:tcPr>
          <w:p>
            <w:pPr>
              <w:pStyle w:val="41"/>
              <w:keepNext w:val="0"/>
              <w:keepLines w:val="0"/>
              <w:pageBreakBefore w:val="0"/>
              <w:kinsoku/>
              <w:wordWrap/>
              <w:bidi w:val="0"/>
              <w:snapToGrid/>
            </w:pPr>
            <w:r>
              <w:t>芜湖新兴铸管有限责任公司</w:t>
            </w:r>
          </w:p>
        </w:tc>
        <w:tc>
          <w:tcPr>
            <w:tcW w:w="2580" w:type="dxa"/>
            <w:tcBorders>
              <w:tl2br w:val="nil"/>
              <w:tr2bl w:val="nil"/>
            </w:tcBorders>
            <w:vAlign w:val="center"/>
          </w:tcPr>
          <w:p>
            <w:pPr>
              <w:pStyle w:val="41"/>
              <w:keepNext w:val="0"/>
              <w:keepLines w:val="0"/>
              <w:pageBreakBefore w:val="0"/>
              <w:kinsoku/>
              <w:wordWrap/>
              <w:bidi w:val="0"/>
              <w:snapToGrid/>
            </w:pPr>
            <w:r>
              <w:t>-</w:t>
            </w:r>
          </w:p>
        </w:tc>
        <w:tc>
          <w:tcPr>
            <w:tcW w:w="1364" w:type="dxa"/>
            <w:tcBorders>
              <w:tl2br w:val="nil"/>
              <w:tr2bl w:val="nil"/>
            </w:tcBorders>
            <w:vAlign w:val="center"/>
          </w:tcPr>
          <w:p>
            <w:pPr>
              <w:pStyle w:val="41"/>
              <w:keepNext w:val="0"/>
              <w:keepLines w:val="0"/>
              <w:pageBreakBefore w:val="0"/>
              <w:kinsoku/>
              <w:wordWrap/>
              <w:bidi w:val="0"/>
              <w:snapToGrid/>
            </w:pPr>
            <w:r>
              <w:t>0</w:t>
            </w:r>
          </w:p>
        </w:tc>
        <w:tc>
          <w:tcPr>
            <w:tcW w:w="1523" w:type="dxa"/>
            <w:tcBorders>
              <w:tl2br w:val="nil"/>
              <w:tr2bl w:val="nil"/>
            </w:tcBorders>
            <w:vAlign w:val="center"/>
          </w:tcPr>
          <w:p>
            <w:pPr>
              <w:pStyle w:val="41"/>
              <w:keepNext w:val="0"/>
              <w:keepLines w:val="0"/>
              <w:pageBreakBefore w:val="0"/>
              <w:kinsoku/>
              <w:wordWrap/>
              <w:bidi w:val="0"/>
              <w:snapToGrid/>
            </w:pPr>
            <w:r>
              <w:t>0</w:t>
            </w:r>
          </w:p>
        </w:tc>
      </w:tr>
    </w:tbl>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5.3环境质量现状</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本</w:t>
      </w:r>
      <w:r>
        <w:rPr>
          <w:rFonts w:hint="eastAsia" w:ascii="Times New Roman" w:hAnsi="Times New Roman" w:eastAsia="宋体" w:cs="Times New Roman"/>
          <w:bCs/>
          <w:sz w:val="24"/>
          <w:szCs w:val="24"/>
          <w:lang w:eastAsia="zh-CN"/>
        </w:rPr>
        <w:t>次</w:t>
      </w:r>
      <w:r>
        <w:rPr>
          <w:rFonts w:ascii="Times New Roman" w:hAnsi="Times New Roman" w:eastAsia="宋体" w:cs="Times New Roman"/>
          <w:bCs/>
          <w:sz w:val="24"/>
          <w:szCs w:val="24"/>
        </w:rPr>
        <w:t>后评价</w:t>
      </w:r>
      <w:r>
        <w:rPr>
          <w:rFonts w:hint="eastAsia" w:ascii="Times New Roman" w:hAnsi="Times New Roman" w:eastAsia="宋体" w:cs="Times New Roman"/>
          <w:bCs/>
          <w:sz w:val="24"/>
          <w:szCs w:val="24"/>
          <w:lang w:eastAsia="zh-CN"/>
        </w:rPr>
        <w:t>阶段</w:t>
      </w:r>
      <w:r>
        <w:rPr>
          <w:rFonts w:ascii="Times New Roman" w:hAnsi="Times New Roman" w:eastAsia="宋体" w:cs="Times New Roman"/>
          <w:bCs/>
          <w:sz w:val="24"/>
          <w:szCs w:val="24"/>
        </w:rPr>
        <w:t>环境质量现状监测委托安徽世标检测技术有限公司的现状数据。</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5.3.1环境空气质量现状调查与评价</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5.3.1.1空气质量达标区判定</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根据《芜湖市2017年度环境质量状况简报》，2017年全市二氧化硫年均值浓度均值为15μg/m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；二氧化氮年均值浓度均值为49μg/m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；可吸入颗粒物年均值浓度均值为82μg/m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；细颗粒物年均值浓度均值为49μg/m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，除二氧化硫年均浓度值符合空气环境质量二级标准外，其余污染物浓度值均超过空气环境质量二级标准。2017年全市空气质量为优良的天数25</w:t>
      </w:r>
      <w:r>
        <w:rPr>
          <w:rFonts w:hint="eastAsia" w:ascii="Times New Roman" w:hAnsi="Times New Roman" w:eastAsia="宋体" w:cs="Times New Roman"/>
          <w:bCs/>
          <w:sz w:val="24"/>
          <w:szCs w:val="24"/>
          <w:lang w:val="en-US" w:eastAsia="zh-CN"/>
        </w:rPr>
        <w:t>1</w:t>
      </w:r>
      <w:r>
        <w:rPr>
          <w:rFonts w:ascii="Times New Roman" w:hAnsi="Times New Roman" w:eastAsia="宋体" w:cs="Times New Roman"/>
          <w:bCs/>
          <w:sz w:val="24"/>
          <w:szCs w:val="24"/>
        </w:rPr>
        <w:t>天、轻度污染93天，中度污染17天，重度污染4天，主要污染物为细颗粒物，全市环境空气质量指数（AQI）为89.4。因此，芜湖市为非达标区。</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5.3.1.2基本污染物环境质量现状</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r>
        <w:rPr>
          <w:rFonts w:ascii="Times New Roman" w:hAnsi="Times New Roman" w:eastAsia="宋体" w:cs="Times New Roman"/>
          <w:bCs/>
          <w:sz w:val="24"/>
          <w:szCs w:val="24"/>
        </w:rPr>
        <w:t>根据《芜湖市2017年度环境质量状况简报》中芜湖市环境保护监测站2017年1月1日~2017年12月31日的监测数据进行评价。基本污染物环境质量现状评价见表5.3-1。</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表5.3-1  基本污染物环境质量现状</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0"/>
        <w:gridCol w:w="851"/>
        <w:gridCol w:w="1694"/>
        <w:gridCol w:w="1601"/>
        <w:gridCol w:w="1782"/>
        <w:gridCol w:w="1301"/>
        <w:gridCol w:w="1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0" w:type="dxa"/>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序号</w:t>
            </w:r>
          </w:p>
        </w:tc>
        <w:tc>
          <w:tcPr>
            <w:tcW w:w="851" w:type="dxa"/>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污染物</w:t>
            </w:r>
          </w:p>
        </w:tc>
        <w:tc>
          <w:tcPr>
            <w:tcW w:w="1694" w:type="dxa"/>
            <w:vAlign w:val="center"/>
          </w:tcPr>
          <w:p>
            <w:pPr>
              <w:keepNext w:val="0"/>
              <w:keepLines w:val="0"/>
              <w:pageBreakBefore w:val="0"/>
              <w:kinsoku/>
              <w:wordWrap/>
              <w:bidi w:val="0"/>
              <w:snapToGrid/>
              <w:jc w:val="center"/>
              <w:rPr>
                <w:rFonts w:ascii="Times New Roman" w:hAnsi="Times New Roman" w:eastAsia="宋体" w:cs="Times New Roman"/>
                <w:b/>
                <w:kern w:val="0"/>
                <w:szCs w:val="21"/>
              </w:rPr>
            </w:pPr>
            <w:r>
              <w:rPr>
                <w:rFonts w:ascii="Times New Roman" w:hAnsi="Times New Roman" w:eastAsia="宋体" w:cs="Times New Roman"/>
                <w:b/>
                <w:kern w:val="0"/>
                <w:szCs w:val="21"/>
              </w:rPr>
              <w:t>年评价指标</w:t>
            </w:r>
          </w:p>
        </w:tc>
        <w:tc>
          <w:tcPr>
            <w:tcW w:w="1601" w:type="dxa"/>
            <w:vAlign w:val="center"/>
          </w:tcPr>
          <w:p>
            <w:pPr>
              <w:keepNext w:val="0"/>
              <w:keepLines w:val="0"/>
              <w:pageBreakBefore w:val="0"/>
              <w:kinsoku/>
              <w:wordWrap/>
              <w:bidi w:val="0"/>
              <w:snapToGrid/>
              <w:jc w:val="center"/>
              <w:rPr>
                <w:rFonts w:ascii="Times New Roman" w:hAnsi="Times New Roman" w:eastAsia="宋体" w:cs="Times New Roman"/>
                <w:b/>
                <w:kern w:val="0"/>
                <w:szCs w:val="21"/>
              </w:rPr>
            </w:pPr>
            <w:r>
              <w:rPr>
                <w:rFonts w:ascii="Times New Roman" w:hAnsi="Times New Roman" w:eastAsia="宋体" w:cs="Times New Roman"/>
                <w:b/>
                <w:kern w:val="0"/>
                <w:szCs w:val="21"/>
              </w:rPr>
              <w:t>现状浓度</w:t>
            </w:r>
          </w:p>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（μg/m</w:t>
            </w:r>
            <w:r>
              <w:rPr>
                <w:rFonts w:ascii="Times New Roman" w:hAnsi="Times New Roman" w:eastAsia="宋体" w:cs="Times New Roman"/>
                <w:b/>
                <w:szCs w:val="21"/>
                <w:vertAlign w:val="superscript"/>
              </w:rPr>
              <w:t>3</w:t>
            </w:r>
            <w:r>
              <w:rPr>
                <w:rFonts w:ascii="Times New Roman" w:hAnsi="Times New Roman" w:eastAsia="宋体" w:cs="Times New Roman"/>
                <w:b/>
                <w:szCs w:val="21"/>
              </w:rPr>
              <w:t>）</w:t>
            </w:r>
          </w:p>
        </w:tc>
        <w:tc>
          <w:tcPr>
            <w:tcW w:w="1782" w:type="dxa"/>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评价标准值（μg/m</w:t>
            </w:r>
            <w:r>
              <w:rPr>
                <w:rFonts w:ascii="Times New Roman" w:hAnsi="Times New Roman" w:eastAsia="宋体" w:cs="Times New Roman"/>
                <w:b/>
                <w:szCs w:val="21"/>
                <w:vertAlign w:val="superscript"/>
              </w:rPr>
              <w:t>3</w:t>
            </w:r>
            <w:r>
              <w:rPr>
                <w:rFonts w:ascii="Times New Roman" w:hAnsi="Times New Roman" w:eastAsia="宋体" w:cs="Times New Roman"/>
                <w:b/>
                <w:szCs w:val="21"/>
              </w:rPr>
              <w:t>）</w:t>
            </w:r>
          </w:p>
        </w:tc>
        <w:tc>
          <w:tcPr>
            <w:tcW w:w="1301" w:type="dxa"/>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占标率</w:t>
            </w:r>
          </w:p>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w:t>
            </w:r>
          </w:p>
        </w:tc>
        <w:tc>
          <w:tcPr>
            <w:tcW w:w="1133" w:type="dxa"/>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w:t>
            </w:r>
          </w:p>
        </w:tc>
        <w:tc>
          <w:tcPr>
            <w:tcW w:w="851" w:type="dxa"/>
            <w:vAlign w:val="center"/>
          </w:tcPr>
          <w:p>
            <w:pPr>
              <w:pStyle w:val="35"/>
              <w:keepNext w:val="0"/>
              <w:keepLines w:val="0"/>
              <w:pageBreakBefore w:val="0"/>
              <w:kinsoku/>
              <w:wordWrap/>
              <w:bidi w:val="0"/>
              <w:snapToGrid/>
              <w:spacing w:line="240" w:lineRule="auto"/>
              <w:rPr>
                <w:rFonts w:cs="Times New Roman"/>
                <w:szCs w:val="21"/>
              </w:rPr>
            </w:pPr>
            <w:r>
              <w:rPr>
                <w:rFonts w:cs="Times New Roman"/>
                <w:szCs w:val="21"/>
              </w:rPr>
              <w:t>SO</w:t>
            </w:r>
            <w:r>
              <w:rPr>
                <w:rFonts w:cs="Times New Roman"/>
                <w:szCs w:val="21"/>
                <w:vertAlign w:val="subscript"/>
              </w:rPr>
              <w:t>2</w:t>
            </w:r>
          </w:p>
        </w:tc>
        <w:tc>
          <w:tcPr>
            <w:tcW w:w="1694"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年平均质量浓度</w:t>
            </w:r>
          </w:p>
        </w:tc>
        <w:tc>
          <w:tcPr>
            <w:tcW w:w="16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15.1</w:t>
            </w:r>
          </w:p>
        </w:tc>
        <w:tc>
          <w:tcPr>
            <w:tcW w:w="178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60</w:t>
            </w:r>
          </w:p>
        </w:tc>
        <w:tc>
          <w:tcPr>
            <w:tcW w:w="13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25.17</w:t>
            </w:r>
          </w:p>
        </w:tc>
        <w:tc>
          <w:tcPr>
            <w:tcW w:w="1133"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w:t>
            </w:r>
          </w:p>
        </w:tc>
        <w:tc>
          <w:tcPr>
            <w:tcW w:w="851" w:type="dxa"/>
            <w:vAlign w:val="center"/>
          </w:tcPr>
          <w:p>
            <w:pPr>
              <w:pStyle w:val="35"/>
              <w:keepNext w:val="0"/>
              <w:keepLines w:val="0"/>
              <w:pageBreakBefore w:val="0"/>
              <w:kinsoku/>
              <w:wordWrap/>
              <w:bidi w:val="0"/>
              <w:snapToGrid/>
              <w:spacing w:line="240" w:lineRule="auto"/>
              <w:rPr>
                <w:rFonts w:cs="Times New Roman"/>
                <w:szCs w:val="21"/>
              </w:rPr>
            </w:pPr>
            <w:r>
              <w:rPr>
                <w:rFonts w:cs="Times New Roman"/>
                <w:szCs w:val="21"/>
              </w:rPr>
              <w:t>PM</w:t>
            </w:r>
            <w:r>
              <w:rPr>
                <w:rFonts w:cs="Times New Roman"/>
                <w:szCs w:val="21"/>
                <w:vertAlign w:val="subscript"/>
              </w:rPr>
              <w:t>10</w:t>
            </w:r>
          </w:p>
        </w:tc>
        <w:tc>
          <w:tcPr>
            <w:tcW w:w="169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6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81.6</w:t>
            </w:r>
          </w:p>
        </w:tc>
        <w:tc>
          <w:tcPr>
            <w:tcW w:w="178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70</w:t>
            </w:r>
          </w:p>
        </w:tc>
        <w:tc>
          <w:tcPr>
            <w:tcW w:w="13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116.57</w:t>
            </w:r>
          </w:p>
        </w:tc>
        <w:tc>
          <w:tcPr>
            <w:tcW w:w="1133"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w:t>
            </w:r>
          </w:p>
        </w:tc>
        <w:tc>
          <w:tcPr>
            <w:tcW w:w="851" w:type="dxa"/>
            <w:vAlign w:val="center"/>
          </w:tcPr>
          <w:p>
            <w:pPr>
              <w:pStyle w:val="35"/>
              <w:keepNext w:val="0"/>
              <w:keepLines w:val="0"/>
              <w:pageBreakBefore w:val="0"/>
              <w:kinsoku/>
              <w:wordWrap/>
              <w:bidi w:val="0"/>
              <w:snapToGrid/>
              <w:spacing w:line="240" w:lineRule="auto"/>
              <w:rPr>
                <w:rFonts w:cs="Times New Roman"/>
                <w:szCs w:val="21"/>
              </w:rPr>
            </w:pPr>
            <w:r>
              <w:rPr>
                <w:rFonts w:cs="Times New Roman"/>
                <w:szCs w:val="21"/>
              </w:rPr>
              <w:t>PM</w:t>
            </w:r>
            <w:r>
              <w:rPr>
                <w:rFonts w:cs="Times New Roman"/>
                <w:szCs w:val="21"/>
                <w:vertAlign w:val="subscript"/>
              </w:rPr>
              <w:t>2.5</w:t>
            </w:r>
          </w:p>
        </w:tc>
        <w:tc>
          <w:tcPr>
            <w:tcW w:w="169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6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48.5</w:t>
            </w:r>
          </w:p>
        </w:tc>
        <w:tc>
          <w:tcPr>
            <w:tcW w:w="178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35</w:t>
            </w:r>
          </w:p>
        </w:tc>
        <w:tc>
          <w:tcPr>
            <w:tcW w:w="13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138.57</w:t>
            </w:r>
          </w:p>
        </w:tc>
        <w:tc>
          <w:tcPr>
            <w:tcW w:w="1133"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w:t>
            </w:r>
          </w:p>
        </w:tc>
        <w:tc>
          <w:tcPr>
            <w:tcW w:w="851" w:type="dxa"/>
            <w:vAlign w:val="center"/>
          </w:tcPr>
          <w:p>
            <w:pPr>
              <w:pStyle w:val="35"/>
              <w:keepNext w:val="0"/>
              <w:keepLines w:val="0"/>
              <w:pageBreakBefore w:val="0"/>
              <w:kinsoku/>
              <w:wordWrap/>
              <w:bidi w:val="0"/>
              <w:snapToGrid/>
              <w:spacing w:line="240" w:lineRule="auto"/>
              <w:rPr>
                <w:rFonts w:cs="Times New Roman"/>
                <w:szCs w:val="21"/>
              </w:rPr>
            </w:pPr>
            <w:r>
              <w:rPr>
                <w:rFonts w:cs="Times New Roman"/>
                <w:szCs w:val="21"/>
              </w:rPr>
              <w:t>NO</w:t>
            </w:r>
            <w:r>
              <w:rPr>
                <w:rFonts w:cs="Times New Roman"/>
                <w:szCs w:val="21"/>
                <w:vertAlign w:val="subscript"/>
              </w:rPr>
              <w:t>2</w:t>
            </w:r>
          </w:p>
        </w:tc>
        <w:tc>
          <w:tcPr>
            <w:tcW w:w="169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6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48.9</w:t>
            </w:r>
          </w:p>
        </w:tc>
        <w:tc>
          <w:tcPr>
            <w:tcW w:w="178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40</w:t>
            </w:r>
          </w:p>
        </w:tc>
        <w:tc>
          <w:tcPr>
            <w:tcW w:w="13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122.25</w:t>
            </w:r>
          </w:p>
        </w:tc>
        <w:tc>
          <w:tcPr>
            <w:tcW w:w="1133"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5</w:t>
            </w:r>
          </w:p>
        </w:tc>
        <w:tc>
          <w:tcPr>
            <w:tcW w:w="851" w:type="dxa"/>
            <w:vAlign w:val="center"/>
          </w:tcPr>
          <w:p>
            <w:pPr>
              <w:pStyle w:val="35"/>
              <w:keepNext w:val="0"/>
              <w:keepLines w:val="0"/>
              <w:pageBreakBefore w:val="0"/>
              <w:kinsoku/>
              <w:wordWrap/>
              <w:bidi w:val="0"/>
              <w:snapToGrid/>
              <w:spacing w:line="240" w:lineRule="auto"/>
              <w:rPr>
                <w:rFonts w:cs="Times New Roman"/>
                <w:szCs w:val="21"/>
              </w:rPr>
            </w:pPr>
            <w:r>
              <w:rPr>
                <w:rFonts w:cs="Times New Roman"/>
                <w:szCs w:val="21"/>
              </w:rPr>
              <w:t>CO</w:t>
            </w:r>
          </w:p>
        </w:tc>
        <w:tc>
          <w:tcPr>
            <w:tcW w:w="169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6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1.1</w:t>
            </w:r>
          </w:p>
        </w:tc>
        <w:tc>
          <w:tcPr>
            <w:tcW w:w="178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13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1133"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6</w:t>
            </w:r>
          </w:p>
        </w:tc>
        <w:tc>
          <w:tcPr>
            <w:tcW w:w="851" w:type="dxa"/>
            <w:vAlign w:val="center"/>
          </w:tcPr>
          <w:p>
            <w:pPr>
              <w:pStyle w:val="35"/>
              <w:keepNext w:val="0"/>
              <w:keepLines w:val="0"/>
              <w:pageBreakBefore w:val="0"/>
              <w:kinsoku/>
              <w:wordWrap/>
              <w:bidi w:val="0"/>
              <w:snapToGrid/>
              <w:spacing w:line="240" w:lineRule="auto"/>
              <w:rPr>
                <w:rFonts w:cs="Times New Roman"/>
                <w:szCs w:val="21"/>
              </w:rPr>
            </w:pPr>
            <w:r>
              <w:rPr>
                <w:rFonts w:cs="Times New Roman"/>
                <w:szCs w:val="21"/>
              </w:rPr>
              <w:t>O</w:t>
            </w:r>
            <w:r>
              <w:rPr>
                <w:rFonts w:cs="Times New Roman"/>
                <w:szCs w:val="21"/>
                <w:vertAlign w:val="subscript"/>
              </w:rPr>
              <w:t>3</w:t>
            </w:r>
          </w:p>
        </w:tc>
        <w:tc>
          <w:tcPr>
            <w:tcW w:w="169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6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99.1</w:t>
            </w:r>
          </w:p>
        </w:tc>
        <w:tc>
          <w:tcPr>
            <w:tcW w:w="178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13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1133"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2017年芜湖市氮氧化物、PM</w:t>
      </w:r>
      <w:r>
        <w:rPr>
          <w:rFonts w:ascii="Times New Roman" w:hAnsi="Times New Roman" w:eastAsia="宋体" w:cs="Times New Roman"/>
          <w:bCs/>
          <w:sz w:val="24"/>
          <w:szCs w:val="24"/>
          <w:vertAlign w:val="subscript"/>
        </w:rPr>
        <w:t>10</w:t>
      </w:r>
      <w:r>
        <w:rPr>
          <w:rFonts w:ascii="Times New Roman" w:hAnsi="Times New Roman" w:eastAsia="宋体" w:cs="Times New Roman"/>
          <w:bCs/>
          <w:sz w:val="24"/>
          <w:szCs w:val="24"/>
        </w:rPr>
        <w:t>、PM</w:t>
      </w:r>
      <w:r>
        <w:rPr>
          <w:rFonts w:ascii="Times New Roman" w:hAnsi="Times New Roman" w:eastAsia="宋体" w:cs="Times New Roman"/>
          <w:bCs/>
          <w:sz w:val="24"/>
          <w:szCs w:val="24"/>
          <w:vertAlign w:val="subscript"/>
        </w:rPr>
        <w:t>2.5</w:t>
      </w:r>
      <w:r>
        <w:rPr>
          <w:rFonts w:ascii="Times New Roman" w:hAnsi="Times New Roman" w:eastAsia="宋体" w:cs="Times New Roman"/>
          <w:bCs/>
          <w:sz w:val="24"/>
          <w:szCs w:val="24"/>
        </w:rPr>
        <w:t>的年评价指标不能满足《环境空气质量》（GB3095-2012）的二级标准限值要求，项目所在区域为不达标区。</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5.3.1.3补充监测污染物环境质量现状评价</w:t>
      </w:r>
    </w:p>
    <w:p>
      <w:pPr>
        <w:keepNext w:val="0"/>
        <w:keepLines w:val="0"/>
        <w:pageBreakBefore w:val="0"/>
        <w:kinsoku/>
        <w:wordWrap/>
        <w:bidi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（1）监测布点</w:t>
      </w:r>
    </w:p>
    <w:p>
      <w:pPr>
        <w:keepNext w:val="0"/>
        <w:keepLines w:val="0"/>
        <w:pageBreakBefore w:val="0"/>
        <w:kinsoku/>
        <w:wordWrap/>
        <w:bidi w:val="0"/>
        <w:snapToGrid/>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bCs/>
          <w:sz w:val="24"/>
          <w:szCs w:val="24"/>
        </w:rPr>
        <w:t>综合考虑本地区风频特征、重点保护目标位置、本地区近年来开展的环境监测工作以及本项目废气污染物产生的种类和特征，本次项目在评价范围内设置1个大气环境监测点，具体点位见图5.3-1，详情见表5.3-2。</w:t>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pPr>
      <w:r>
        <w:rPr>
          <w:sz w:val="21"/>
        </w:rPr>
        <w:pict>
          <v:shape id="_x0000_s1035" o:spid="_x0000_s1035" o:spt="202" type="#_x0000_t202" style="position:absolute;left:0pt;margin-left:230.3pt;margin-top:415.85pt;height:28.45pt;width:266.95pt;z-index:251742208;mso-width-relative:page;mso-height-relative:page;" filled="f" stroked="f" coordsize="21600,21600">
            <v:path/>
            <v:fill on="f" focussize="0,0"/>
            <v:stroke on="f"/>
            <v:imagedata o:title=""/>
            <o:lock v:ext="edit" aspectratio="f"/>
            <v:textbox>
              <w:txbxContent>
                <w:p>
                  <w:pPr>
                    <w:autoSpaceDE w:val="0"/>
                    <w:autoSpaceDN w:val="0"/>
                    <w:adjustRightInd w:val="0"/>
                    <w:spacing w:line="360" w:lineRule="auto"/>
                    <w:jc w:val="center"/>
                  </w:pPr>
                  <w:r>
                    <w:rPr>
                      <w:rFonts w:hint="eastAsia" w:ascii="Times New Roman" w:hAnsi="Times New Roman" w:eastAsia="黑体" w:cs="Times New Roman"/>
                      <w:sz w:val="24"/>
                      <w:lang w:eastAsia="zh-CN"/>
                    </w:rPr>
                    <w:t>图</w:t>
                  </w:r>
                  <w:r>
                    <w:rPr>
                      <w:rFonts w:ascii="Times New Roman" w:hAnsi="Times New Roman" w:eastAsia="黑体" w:cs="Times New Roman"/>
                      <w:sz w:val="24"/>
                    </w:rPr>
                    <w:t>5.3-</w:t>
                  </w:r>
                  <w:r>
                    <w:rPr>
                      <w:rFonts w:hint="eastAsia" w:ascii="Times New Roman" w:hAnsi="Times New Roman" w:eastAsia="黑体" w:cs="Times New Roman"/>
                      <w:sz w:val="24"/>
                      <w:lang w:val="en-US" w:eastAsia="zh-CN"/>
                    </w:rPr>
                    <w:t>1</w:t>
                  </w:r>
                  <w:r>
                    <w:rPr>
                      <w:rFonts w:ascii="Times New Roman" w:hAnsi="Times New Roman" w:eastAsia="黑体" w:cs="Times New Roman"/>
                      <w:sz w:val="24"/>
                    </w:rPr>
                    <w:t xml:space="preserve">  环境空气</w:t>
                  </w:r>
                  <w:r>
                    <w:rPr>
                      <w:rFonts w:hint="eastAsia" w:ascii="Times New Roman" w:hAnsi="Times New Roman" w:eastAsia="黑体" w:cs="Times New Roman"/>
                      <w:sz w:val="24"/>
                      <w:lang w:eastAsia="zh-CN"/>
                    </w:rPr>
                    <w:t>、地表水监测断面示意图</w:t>
                  </w:r>
                </w:p>
              </w:txbxContent>
            </v:textbox>
          </v:shape>
        </w:pict>
      </w:r>
      <w:r>
        <w:rPr>
          <w:rFonts w:hint="eastAsia" w:eastAsiaTheme="minorEastAsia"/>
          <w:lang w:eastAsia="zh-CN"/>
        </w:rPr>
        <w:drawing>
          <wp:inline distT="0" distB="0" distL="114300" distR="114300">
            <wp:extent cx="7968615" cy="5264785"/>
            <wp:effectExtent l="0" t="0" r="13335" b="12065"/>
            <wp:docPr id="87" name="图片 87" descr="大气、地表水监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大气、地表水监测图"/>
                    <pic:cNvPicPr>
                      <a:picLocks noChangeAspect="1"/>
                    </pic:cNvPicPr>
                  </pic:nvPicPr>
                  <pic:blipFill>
                    <a:blip r:embed="rId62"/>
                    <a:stretch>
                      <a:fillRect/>
                    </a:stretch>
                  </pic:blipFill>
                  <pic:spPr>
                    <a:xfrm>
                      <a:off x="0" y="0"/>
                      <a:ext cx="7968615" cy="5264785"/>
                    </a:xfrm>
                    <a:prstGeom prst="rect">
                      <a:avLst/>
                    </a:prstGeom>
                  </pic:spPr>
                </pic:pic>
              </a:graphicData>
            </a:graphic>
          </wp:inline>
        </w:drawing>
      </w:r>
    </w:p>
    <w:p>
      <w:pPr>
        <w:pStyle w:val="2"/>
        <w:keepNext w:val="0"/>
        <w:keepLines w:val="0"/>
        <w:pageBreakBefore w:val="0"/>
        <w:kinsoku/>
        <w:wordWrap/>
        <w:bidi w:val="0"/>
        <w:snapToGrid/>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表5.3-2  环境空气质量现状监测点位一览表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4"/>
        <w:gridCol w:w="1037"/>
        <w:gridCol w:w="814"/>
        <w:gridCol w:w="707"/>
        <w:gridCol w:w="1730"/>
        <w:gridCol w:w="2510"/>
        <w:gridCol w:w="735"/>
        <w:gridCol w:w="9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594"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序号</w:t>
            </w:r>
          </w:p>
        </w:tc>
        <w:tc>
          <w:tcPr>
            <w:tcW w:w="1037"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监测点名称</w:t>
            </w:r>
          </w:p>
        </w:tc>
        <w:tc>
          <w:tcPr>
            <w:tcW w:w="1521" w:type="dxa"/>
            <w:gridSpan w:val="2"/>
            <w:vAlign w:val="center"/>
          </w:tcPr>
          <w:p>
            <w:pPr>
              <w:keepNext w:val="0"/>
              <w:keepLines w:val="0"/>
              <w:pageBreakBefore w:val="0"/>
              <w:kinsoku/>
              <w:wordWrap/>
              <w:bidi w:val="0"/>
              <w:snapToGrid/>
              <w:jc w:val="center"/>
              <w:rPr>
                <w:rFonts w:hint="eastAsia" w:ascii="Times New Roman" w:hAnsi="Times New Roman" w:eastAsia="宋体" w:cs="Times New Roman"/>
                <w:b/>
                <w:szCs w:val="21"/>
                <w:lang w:val="en-US" w:eastAsia="zh-CN"/>
              </w:rPr>
            </w:pPr>
            <w:r>
              <w:rPr>
                <w:rFonts w:ascii="Times New Roman" w:hAnsi="Times New Roman" w:eastAsia="宋体" w:cs="Times New Roman"/>
                <w:b/>
                <w:szCs w:val="21"/>
              </w:rPr>
              <w:t>监测点坐标</w:t>
            </w:r>
            <w:r>
              <w:rPr>
                <w:rFonts w:hint="eastAsia" w:ascii="Times New Roman" w:hAnsi="Times New Roman" w:eastAsia="宋体" w:cs="Times New Roman"/>
                <w:b/>
                <w:szCs w:val="21"/>
                <w:lang w:val="en-US" w:eastAsia="zh-CN"/>
              </w:rPr>
              <w:t>*</w:t>
            </w:r>
          </w:p>
        </w:tc>
        <w:tc>
          <w:tcPr>
            <w:tcW w:w="1730"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监测因子</w:t>
            </w:r>
          </w:p>
        </w:tc>
        <w:tc>
          <w:tcPr>
            <w:tcW w:w="2510"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监测时段</w:t>
            </w:r>
          </w:p>
        </w:tc>
        <w:tc>
          <w:tcPr>
            <w:tcW w:w="735"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相对厂址方位</w:t>
            </w:r>
          </w:p>
        </w:tc>
        <w:tc>
          <w:tcPr>
            <w:tcW w:w="944"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相对厂界距离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9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037"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14" w:type="dxa"/>
            <w:vAlign w:val="center"/>
          </w:tcPr>
          <w:p>
            <w:pPr>
              <w:keepNext w:val="0"/>
              <w:keepLines w:val="0"/>
              <w:pageBreakBefore w:val="0"/>
              <w:kinsoku/>
              <w:wordWrap/>
              <w:bidi w:val="0"/>
              <w:snapToGrid/>
              <w:jc w:val="center"/>
              <w:rPr>
                <w:rFonts w:hint="eastAsia" w:ascii="Times New Roman" w:hAnsi="Times New Roman" w:eastAsia="宋体" w:cs="Times New Roman"/>
                <w:szCs w:val="21"/>
                <w:lang w:val="en-US" w:eastAsia="zh-CN"/>
              </w:rPr>
            </w:pPr>
            <w:r>
              <w:rPr>
                <w:rFonts w:ascii="Times New Roman" w:hAnsi="Times New Roman" w:eastAsia="宋体" w:cs="Times New Roman"/>
                <w:szCs w:val="21"/>
              </w:rPr>
              <w:t>X</w:t>
            </w:r>
          </w:p>
        </w:tc>
        <w:tc>
          <w:tcPr>
            <w:tcW w:w="70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Y</w:t>
            </w:r>
          </w:p>
        </w:tc>
        <w:tc>
          <w:tcPr>
            <w:tcW w:w="173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25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35"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94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94"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G1</w:t>
            </w:r>
          </w:p>
        </w:tc>
        <w:tc>
          <w:tcPr>
            <w:tcW w:w="103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协力村</w:t>
            </w:r>
          </w:p>
        </w:tc>
        <w:tc>
          <w:tcPr>
            <w:tcW w:w="814" w:type="dxa"/>
            <w:vAlign w:val="center"/>
          </w:tcPr>
          <w:p>
            <w:pPr>
              <w:pStyle w:val="41"/>
              <w:keepNext w:val="0"/>
              <w:keepLines w:val="0"/>
              <w:pageBreakBefore w:val="0"/>
              <w:kinsoku/>
              <w:wordWrap/>
              <w:bidi w:val="0"/>
              <w:snapToGrid/>
              <w:spacing w:line="240" w:lineRule="auto"/>
              <w:rPr>
                <w:rFonts w:ascii="Times New Roman" w:hAnsi="Times New Roman" w:eastAsia="宋体" w:cs="Times New Roman"/>
                <w:szCs w:val="21"/>
              </w:rPr>
            </w:pPr>
            <w:r>
              <w:rPr>
                <w:rFonts w:hint="eastAsia"/>
                <w:color w:val="FF0000"/>
                <w:szCs w:val="21"/>
                <w:lang w:val="en-US" w:eastAsia="zh-CN"/>
              </w:rPr>
              <w:t>-3285</w:t>
            </w:r>
          </w:p>
        </w:tc>
        <w:tc>
          <w:tcPr>
            <w:tcW w:w="707" w:type="dxa"/>
            <w:vAlign w:val="center"/>
          </w:tcPr>
          <w:p>
            <w:pPr>
              <w:pStyle w:val="41"/>
              <w:keepNext w:val="0"/>
              <w:keepLines w:val="0"/>
              <w:pageBreakBefore w:val="0"/>
              <w:kinsoku/>
              <w:wordWrap/>
              <w:bidi w:val="0"/>
              <w:snapToGrid/>
              <w:spacing w:line="240" w:lineRule="auto"/>
              <w:rPr>
                <w:rFonts w:ascii="Times New Roman" w:hAnsi="Times New Roman" w:eastAsia="宋体" w:cs="Times New Roman"/>
                <w:szCs w:val="21"/>
              </w:rPr>
            </w:pPr>
            <w:r>
              <w:rPr>
                <w:rFonts w:hint="eastAsia"/>
                <w:color w:val="FF0000"/>
                <w:szCs w:val="21"/>
                <w:lang w:val="en-US" w:eastAsia="zh-CN"/>
              </w:rPr>
              <w:t>1667</w:t>
            </w:r>
          </w:p>
        </w:tc>
        <w:tc>
          <w:tcPr>
            <w:tcW w:w="173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TSP、氟化物、苯并芘、H</w:t>
            </w:r>
            <w:r>
              <w:rPr>
                <w:rFonts w:ascii="Times New Roman" w:hAnsi="Times New Roman" w:eastAsia="宋体" w:cs="Times New Roman"/>
                <w:szCs w:val="21"/>
                <w:vertAlign w:val="subscript"/>
              </w:rPr>
              <w:t>2</w:t>
            </w:r>
            <w:r>
              <w:rPr>
                <w:rFonts w:ascii="Times New Roman" w:hAnsi="Times New Roman" w:eastAsia="宋体" w:cs="Times New Roman"/>
                <w:szCs w:val="21"/>
              </w:rPr>
              <w:t>S、NH</w:t>
            </w:r>
            <w:r>
              <w:rPr>
                <w:rFonts w:ascii="Times New Roman" w:hAnsi="Times New Roman" w:eastAsia="宋体" w:cs="Times New Roman"/>
                <w:szCs w:val="21"/>
                <w:vertAlign w:val="subscript"/>
              </w:rPr>
              <w:t>3</w:t>
            </w:r>
            <w:r>
              <w:rPr>
                <w:rFonts w:ascii="Times New Roman" w:hAnsi="Times New Roman" w:eastAsia="宋体" w:cs="Times New Roman"/>
                <w:szCs w:val="21"/>
              </w:rPr>
              <w:t>、苯、二甲苯、酚、非甲烷总烃、二噁英</w:t>
            </w:r>
          </w:p>
        </w:tc>
        <w:tc>
          <w:tcPr>
            <w:tcW w:w="251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氟化物、NH</w:t>
            </w:r>
            <w:r>
              <w:rPr>
                <w:rFonts w:ascii="Times New Roman" w:hAnsi="Times New Roman" w:eastAsia="宋体" w:cs="Times New Roman"/>
                <w:szCs w:val="21"/>
                <w:vertAlign w:val="subscript"/>
              </w:rPr>
              <w:t>3</w:t>
            </w:r>
            <w:r>
              <w:rPr>
                <w:rFonts w:ascii="Times New Roman" w:hAnsi="Times New Roman" w:eastAsia="宋体" w:cs="Times New Roman"/>
                <w:szCs w:val="21"/>
              </w:rPr>
              <w:t>、H</w:t>
            </w:r>
            <w:r>
              <w:rPr>
                <w:rFonts w:ascii="Times New Roman" w:hAnsi="Times New Roman" w:eastAsia="宋体" w:cs="Times New Roman"/>
                <w:szCs w:val="21"/>
                <w:vertAlign w:val="subscript"/>
              </w:rPr>
              <w:t>2</w:t>
            </w:r>
            <w:r>
              <w:rPr>
                <w:rFonts w:ascii="Times New Roman" w:hAnsi="Times New Roman" w:eastAsia="宋体" w:cs="Times New Roman"/>
                <w:szCs w:val="21"/>
              </w:rPr>
              <w:t>S、非甲烷总烃、二甲苯、挥发酚监测小时平均值；氟化物、TSP、苯并芘监测24小时平均值；二噁英连续监测7天，监测日均值</w:t>
            </w:r>
          </w:p>
        </w:tc>
        <w:tc>
          <w:tcPr>
            <w:tcW w:w="73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w:t>
            </w:r>
          </w:p>
        </w:tc>
        <w:tc>
          <w:tcPr>
            <w:tcW w:w="944"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2.55km</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eastAsia="宋体" w:cs="Times New Roman"/>
          <w:sz w:val="24"/>
          <w:szCs w:val="24"/>
        </w:rPr>
      </w:pPr>
      <w:r>
        <w:rPr>
          <w:rFonts w:hint="eastAsia" w:ascii="Times New Roman" w:hAnsi="Times New Roman" w:eastAsia="宋体" w:cs="Times New Roman"/>
          <w:color w:val="FF0000"/>
          <w:sz w:val="18"/>
          <w:szCs w:val="18"/>
          <w:lang w:eastAsia="zh-CN"/>
        </w:rPr>
        <w:t>注：以厂区西南角为坐标原点，坐标为经度118.145213和维度31.221206。</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（2）监测时间、频次</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TSP、氟化物、苯并芘监测日均浓度，每天连续监测不少于20h。小时均值氟化物、NH</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rPr>
        <w:t>、H</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S、苯、二甲苯、非甲烷总烃、挥发酚每日监测4次，监测时段为02:00、08:00、14:00、20:00。二噁英连续监测7天，监测日均值。</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同步监测各监测时间的风向、风速、温度、湿度、气压等气象参数。检测期间气象条件见表5.3-3。</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表5.3-3  检测期间气象条件</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294"/>
        <w:gridCol w:w="1436"/>
        <w:gridCol w:w="1256"/>
        <w:gridCol w:w="1258"/>
        <w:gridCol w:w="1339"/>
        <w:gridCol w:w="1256"/>
        <w:gridCol w:w="123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采样日期</w:t>
            </w:r>
          </w:p>
        </w:tc>
        <w:tc>
          <w:tcPr>
            <w:tcW w:w="143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采样时间</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天气状况</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气温（℃）</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气压（hPa）</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风速（m/s）</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风向</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2019.04.08</w:t>
            </w: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2:00~3:00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17.6</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1011.1</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1.8</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西南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8:00~9:00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22.5</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1010.3</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1.9</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西南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14:00~15:00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28.2</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1008.7</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2.1</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西南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20:00~21:00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20.3</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1010.8</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2.3</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西南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2019.04.09</w:t>
            </w: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2:00~3:00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阴</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8.2</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1014.2</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2.1</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8:00~9:00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阴</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12.3</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1013.8</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2.4</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14:00~15:00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阴</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14.5</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1013.3</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2.5</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20:00~21:00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阴</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9.6</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1014.0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2.5</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2019.04.10</w:t>
            </w: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2:00~3:00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阴</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9.6</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1014.2</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1.6</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8:00~9:00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阴</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10.7</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1013.9</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1.9</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14:00~15:00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阴</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13.6</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1013.4</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2.3</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20:00~21:00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阴</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10.3</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1013.8</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2.1</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2019.04.11</w:t>
            </w: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2:00~3:00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10.4</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1013.9</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8:00~9:00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12.6</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1013.2</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1.6</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14:00~15:00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15.9</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1012.6</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20:00~21:00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11.7</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1013.1</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1.7</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2019.04.12</w:t>
            </w: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2:00~3:00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12.4</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1013.4</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8:00~9:00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15.7</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1013.1</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1.4</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14:00~15:00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18.9</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1012.5</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1.4</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20:00~21:00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12.6</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1013.6</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1.6</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2019.04.13</w:t>
            </w: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2:00~3:00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12.3</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1013.6</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1.6</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8:00~9:00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15.6</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1.4</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14:00~15:00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23.4</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1012.2</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20:00~21:00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13.4</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1013.4</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1.8</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2019.04.14</w:t>
            </w: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2:00~3:00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10.4</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1013.2</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1.8</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8:00~9:00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15.4</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1012.6</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2.1</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14:00~15:00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21.3</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1011.6</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2.3</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86" w:hRule="atLeast"/>
          <w:jc w:val="center"/>
        </w:trPr>
        <w:tc>
          <w:tcPr>
            <w:tcW w:w="1294"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p>
        </w:tc>
        <w:tc>
          <w:tcPr>
            <w:tcW w:w="143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20:00~21:00</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多云</w:t>
            </w:r>
          </w:p>
        </w:tc>
        <w:tc>
          <w:tcPr>
            <w:tcW w:w="125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12.6</w:t>
            </w:r>
          </w:p>
        </w:tc>
        <w:tc>
          <w:tcPr>
            <w:tcW w:w="133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1012.7</w:t>
            </w:r>
          </w:p>
        </w:tc>
        <w:tc>
          <w:tcPr>
            <w:tcW w:w="125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1.6</w:t>
            </w:r>
          </w:p>
        </w:tc>
        <w:tc>
          <w:tcPr>
            <w:tcW w:w="1232"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东北</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（3）监测技术方法</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采样监测方法按《环境监测技术规范》大气部分要求进行，分析方法按《环境空气质量标准》（GB3095-</w:t>
      </w:r>
      <w:r>
        <w:rPr>
          <w:rFonts w:hint="eastAsia" w:ascii="Times New Roman" w:hAnsi="Times New Roman" w:eastAsia="宋体" w:cs="Times New Roman"/>
          <w:sz w:val="24"/>
          <w:szCs w:val="24"/>
        </w:rPr>
        <w:t>2012</w:t>
      </w:r>
      <w:r>
        <w:rPr>
          <w:rFonts w:ascii="Times New Roman" w:hAnsi="Times New Roman" w:eastAsia="宋体" w:cs="Times New Roman"/>
          <w:sz w:val="24"/>
          <w:szCs w:val="24"/>
        </w:rPr>
        <w:t>）中推荐的方法进行。具体监测方法见表5.3-4。</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表5.3-4  环境空气质量现状监测分析方法</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1"/>
        <w:gridCol w:w="1777"/>
        <w:gridCol w:w="4289"/>
        <w:gridCol w:w="16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0" w:hRule="exact"/>
          <w:jc w:val="center"/>
        </w:trPr>
        <w:tc>
          <w:tcPr>
            <w:tcW w:w="138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样品类别</w:t>
            </w:r>
          </w:p>
        </w:tc>
        <w:tc>
          <w:tcPr>
            <w:tcW w:w="17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检测项目</w:t>
            </w:r>
          </w:p>
        </w:tc>
        <w:tc>
          <w:tcPr>
            <w:tcW w:w="428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检测依据</w:t>
            </w:r>
          </w:p>
        </w:tc>
        <w:tc>
          <w:tcPr>
            <w:tcW w:w="162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1381" w:type="dxa"/>
            <w:vMerge w:val="restart"/>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环境空气</w:t>
            </w:r>
          </w:p>
        </w:tc>
        <w:tc>
          <w:tcPr>
            <w:tcW w:w="1777"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氟化物</w:t>
            </w:r>
          </w:p>
        </w:tc>
        <w:tc>
          <w:tcPr>
            <w:tcW w:w="428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环境空气 氟化物的测定</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滤膜采样/氟离子选择电极法  HJ 955-2018</w:t>
            </w:r>
          </w:p>
        </w:tc>
        <w:tc>
          <w:tcPr>
            <w:tcW w:w="162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vertAlign w:val="superscript"/>
              </w:rPr>
            </w:pPr>
            <w:r>
              <w:rPr>
                <w:rFonts w:ascii="Times New Roman" w:hAnsi="Times New Roman" w:eastAsia="宋体" w:cs="Times New Roman"/>
                <w:szCs w:val="21"/>
              </w:rPr>
              <w:t>小时值0.5μg/m</w:t>
            </w:r>
            <w:r>
              <w:rPr>
                <w:rFonts w:ascii="Times New Roman" w:hAnsi="Times New Roman" w:eastAsia="宋体" w:cs="Times New Roman"/>
                <w:szCs w:val="21"/>
                <w:vertAlign w:val="superscript"/>
              </w:rPr>
              <w:t>3</w:t>
            </w:r>
          </w:p>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日均0.06μg/m</w:t>
            </w:r>
            <w:r>
              <w:rPr>
                <w:rFonts w:ascii="Times New Roman" w:hAnsi="Times New Roman" w:eastAsia="宋体" w:cs="Times New Roman"/>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34" w:hRule="atLeast"/>
          <w:jc w:val="center"/>
        </w:trPr>
        <w:tc>
          <w:tcPr>
            <w:tcW w:w="1381"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p>
        </w:tc>
        <w:tc>
          <w:tcPr>
            <w:tcW w:w="17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总悬浮颗粒物</w:t>
            </w:r>
          </w:p>
        </w:tc>
        <w:tc>
          <w:tcPr>
            <w:tcW w:w="428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环境空气   总悬浮颗粒物的测定</w:t>
            </w:r>
          </w:p>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重量法  GB/T 15432-1995</w:t>
            </w:r>
          </w:p>
        </w:tc>
        <w:tc>
          <w:tcPr>
            <w:tcW w:w="1624"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0.001mg/m</w:t>
            </w:r>
            <w:r>
              <w:rPr>
                <w:rFonts w:ascii="Times New Roman" w:hAnsi="Times New Roman" w:eastAsia="宋体" w:cs="Times New Roman"/>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9" w:hRule="atLeast"/>
          <w:jc w:val="center"/>
        </w:trPr>
        <w:tc>
          <w:tcPr>
            <w:tcW w:w="1381"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p>
        </w:tc>
        <w:tc>
          <w:tcPr>
            <w:tcW w:w="17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氨</w:t>
            </w:r>
          </w:p>
        </w:tc>
        <w:tc>
          <w:tcPr>
            <w:tcW w:w="428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环境空气和废气 氨的测定</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纳氏试剂分光光度法  HJ 533-2009</w:t>
            </w:r>
          </w:p>
        </w:tc>
        <w:tc>
          <w:tcPr>
            <w:tcW w:w="1624"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vertAlign w:val="superscript"/>
              </w:rPr>
            </w:pPr>
            <w:r>
              <w:rPr>
                <w:rFonts w:ascii="Times New Roman" w:hAnsi="Times New Roman" w:eastAsia="宋体" w:cs="Times New Roman"/>
                <w:szCs w:val="21"/>
              </w:rPr>
              <w:t>0.25mg/m</w:t>
            </w:r>
            <w:r>
              <w:rPr>
                <w:rFonts w:ascii="Times New Roman" w:hAnsi="Times New Roman" w:eastAsia="宋体" w:cs="Times New Roman"/>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7" w:hRule="atLeast"/>
          <w:jc w:val="center"/>
        </w:trPr>
        <w:tc>
          <w:tcPr>
            <w:tcW w:w="1381"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p>
        </w:tc>
        <w:tc>
          <w:tcPr>
            <w:tcW w:w="17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硫化氢</w:t>
            </w:r>
          </w:p>
        </w:tc>
        <w:tc>
          <w:tcPr>
            <w:tcW w:w="428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亚甲基兰分光光度法</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《空气和废气监测分析方法》（第四版）</w:t>
            </w:r>
          </w:p>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szCs w:val="21"/>
              </w:rPr>
              <w:t>国家环保总局（2003年）</w:t>
            </w:r>
          </w:p>
        </w:tc>
        <w:tc>
          <w:tcPr>
            <w:tcW w:w="1624"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0.001mg/m</w:t>
            </w:r>
            <w:r>
              <w:rPr>
                <w:rFonts w:ascii="Times New Roman" w:hAnsi="Times New Roman" w:eastAsia="宋体" w:cs="Times New Roman"/>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7" w:hRule="atLeast"/>
          <w:jc w:val="center"/>
        </w:trPr>
        <w:tc>
          <w:tcPr>
            <w:tcW w:w="1381"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p>
        </w:tc>
        <w:tc>
          <w:tcPr>
            <w:tcW w:w="17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苯</w:t>
            </w:r>
          </w:p>
        </w:tc>
        <w:tc>
          <w:tcPr>
            <w:tcW w:w="428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环境空气 苯系物的测定</w:t>
            </w:r>
          </w:p>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活性炭吸附/二硫化碳解吸-气相色谱法</w:t>
            </w:r>
          </w:p>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HJ 584-2010</w:t>
            </w:r>
          </w:p>
        </w:tc>
        <w:tc>
          <w:tcPr>
            <w:tcW w:w="1624"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0.0005mg/m</w:t>
            </w:r>
            <w:r>
              <w:rPr>
                <w:rFonts w:ascii="Times New Roman" w:hAnsi="Times New Roman" w:eastAsia="宋体" w:cs="Times New Roman"/>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7" w:hRule="atLeast"/>
          <w:jc w:val="center"/>
        </w:trPr>
        <w:tc>
          <w:tcPr>
            <w:tcW w:w="1381"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p>
        </w:tc>
        <w:tc>
          <w:tcPr>
            <w:tcW w:w="17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二甲苯</w:t>
            </w:r>
          </w:p>
        </w:tc>
        <w:tc>
          <w:tcPr>
            <w:tcW w:w="428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环境空气 苯系物的测定</w:t>
            </w:r>
          </w:p>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活性炭吸附/二硫化碳解吸-气相色谱法</w:t>
            </w:r>
          </w:p>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HJ 584-2010</w:t>
            </w:r>
          </w:p>
        </w:tc>
        <w:tc>
          <w:tcPr>
            <w:tcW w:w="1624"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0.0005mg/m</w:t>
            </w:r>
            <w:r>
              <w:rPr>
                <w:rFonts w:ascii="Times New Roman" w:hAnsi="Times New Roman" w:eastAsia="宋体" w:cs="Times New Roman"/>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7" w:hRule="atLeast"/>
          <w:jc w:val="center"/>
        </w:trPr>
        <w:tc>
          <w:tcPr>
            <w:tcW w:w="1381"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p>
        </w:tc>
        <w:tc>
          <w:tcPr>
            <w:tcW w:w="17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酚类化合物</w:t>
            </w:r>
          </w:p>
        </w:tc>
        <w:tc>
          <w:tcPr>
            <w:tcW w:w="428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固定污染源排气中酚类化合物的测定</w:t>
            </w:r>
          </w:p>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4-氨基安替比林分光光度法</w:t>
            </w:r>
          </w:p>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HJ/T 32-1999</w:t>
            </w:r>
          </w:p>
        </w:tc>
        <w:tc>
          <w:tcPr>
            <w:tcW w:w="1624"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0.003mg/m</w:t>
            </w:r>
            <w:r>
              <w:rPr>
                <w:rFonts w:ascii="Times New Roman" w:hAnsi="Times New Roman" w:eastAsia="宋体" w:cs="Times New Roman"/>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30" w:hRule="atLeast"/>
          <w:jc w:val="center"/>
        </w:trPr>
        <w:tc>
          <w:tcPr>
            <w:tcW w:w="1381" w:type="dxa"/>
            <w:vMerge w:val="continue"/>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p>
        </w:tc>
        <w:tc>
          <w:tcPr>
            <w:tcW w:w="17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非甲烷总烃</w:t>
            </w:r>
          </w:p>
        </w:tc>
        <w:tc>
          <w:tcPr>
            <w:tcW w:w="428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环境空气 总烃、甲烷和非甲烷总烃的测定</w:t>
            </w:r>
          </w:p>
          <w:p>
            <w:pPr>
              <w:keepNext w:val="0"/>
              <w:keepLines w:val="0"/>
              <w:pageBreakBefore w:val="0"/>
              <w:kinsoku/>
              <w:wordWrap/>
              <w:bidi w:val="0"/>
              <w:snapToGrid/>
              <w:jc w:val="center"/>
              <w:rPr>
                <w:rFonts w:ascii="Times New Roman" w:hAnsi="Times New Roman" w:eastAsia="宋体" w:cs="Times New Roman"/>
                <w:kern w:val="1"/>
                <w:szCs w:val="21"/>
              </w:rPr>
            </w:pPr>
            <w:r>
              <w:rPr>
                <w:rFonts w:ascii="Times New Roman" w:hAnsi="Times New Roman" w:eastAsia="宋体" w:cs="Times New Roman"/>
                <w:kern w:val="1"/>
                <w:szCs w:val="21"/>
              </w:rPr>
              <w:t>直接进样-气相色谱法  HJ 604-2017</w:t>
            </w:r>
          </w:p>
        </w:tc>
        <w:tc>
          <w:tcPr>
            <w:tcW w:w="1624"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0.07mg/m</w:t>
            </w:r>
            <w:r>
              <w:rPr>
                <w:rFonts w:ascii="Times New Roman" w:hAnsi="Times New Roman" w:eastAsia="宋体" w:cs="Times New Roman"/>
                <w:szCs w:val="21"/>
                <w:vertAlign w:val="superscript"/>
              </w:rPr>
              <w:t>3</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（4）监测结果及评价</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1）评价标准</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bCs/>
          <w:sz w:val="24"/>
          <w:szCs w:val="24"/>
        </w:rPr>
        <w:t>SO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、NO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、CO、O</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rPr>
        <w:t>、PM</w:t>
      </w:r>
      <w:r>
        <w:rPr>
          <w:rFonts w:ascii="Times New Roman" w:hAnsi="Times New Roman" w:eastAsia="宋体" w:cs="Times New Roman"/>
          <w:bCs/>
          <w:sz w:val="24"/>
          <w:szCs w:val="24"/>
          <w:vertAlign w:val="subscript"/>
        </w:rPr>
        <w:t>10</w:t>
      </w:r>
      <w:r>
        <w:rPr>
          <w:rFonts w:ascii="Times New Roman" w:hAnsi="Times New Roman" w:eastAsia="宋体" w:cs="Times New Roman"/>
          <w:bCs/>
          <w:sz w:val="24"/>
          <w:szCs w:val="24"/>
        </w:rPr>
        <w:t>、PM</w:t>
      </w:r>
      <w:r>
        <w:rPr>
          <w:rFonts w:ascii="Times New Roman" w:hAnsi="Times New Roman" w:eastAsia="宋体" w:cs="Times New Roman"/>
          <w:bCs/>
          <w:sz w:val="24"/>
          <w:szCs w:val="24"/>
          <w:vertAlign w:val="subscript"/>
        </w:rPr>
        <w:t>2.5</w:t>
      </w:r>
      <w:r>
        <w:rPr>
          <w:rFonts w:ascii="Times New Roman" w:hAnsi="Times New Roman" w:eastAsia="宋体" w:cs="Times New Roman"/>
          <w:bCs/>
          <w:sz w:val="24"/>
          <w:szCs w:val="24"/>
        </w:rPr>
        <w:t>、TSP、苯并[a]芘执行《环境空气质量标准》（GB3095-2012）二级标准，氟化物执行《环境空气质量标准》（GB3095-2012）附录A中二级标准；氨、硫化氢、苯、二甲苯参照执行《环境影响评价技术导则 大气环境》（HJ2.2-2018）附录D表D.1中标准限值；非甲烷总烃执行《大气污染物综合排放标准详解》相关标准；二噁英参考执行日本环境厅中央环境审议会制定的标准；酚参考执行《炼焦化学工业污染物排放标准》（GB16171-2012）企业边界大气污染物浓度限值</w:t>
      </w:r>
      <w:r>
        <w:rPr>
          <w:rFonts w:ascii="Times New Roman" w:hAnsi="Times New Roman" w:eastAsia="宋体" w:cs="Times New Roman"/>
          <w:sz w:val="24"/>
          <w:szCs w:val="24"/>
        </w:rPr>
        <w:t>。评价执行标准见表5.3-5。</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表5.3-5  环境空气质量标准（单位：μg/m</w:t>
      </w:r>
      <w:r>
        <w:rPr>
          <w:rFonts w:ascii="Times New Roman" w:hAnsi="Times New Roman" w:eastAsia="黑体" w:cs="Times New Roman"/>
          <w:sz w:val="24"/>
          <w:vertAlign w:val="superscript"/>
        </w:rPr>
        <w:t>3</w:t>
      </w:r>
      <w:r>
        <w:rPr>
          <w:rFonts w:ascii="Times New Roman" w:hAnsi="Times New Roman" w:eastAsia="黑体" w:cs="Times New Roman"/>
          <w:sz w:val="24"/>
        </w:rPr>
        <w:t>）</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507"/>
        <w:gridCol w:w="1183"/>
        <w:gridCol w:w="1606"/>
        <w:gridCol w:w="1378"/>
        <w:gridCol w:w="25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846" w:type="dxa"/>
            <w:vMerge w:val="restart"/>
            <w:tcBorders>
              <w:tl2br w:val="nil"/>
              <w:tr2bl w:val="nil"/>
            </w:tcBorders>
            <w:vAlign w:val="center"/>
          </w:tcPr>
          <w:p>
            <w:pPr>
              <w:pStyle w:val="41"/>
              <w:keepNext w:val="0"/>
              <w:keepLines w:val="0"/>
              <w:pageBreakBefore w:val="0"/>
              <w:kinsoku/>
              <w:wordWrap/>
              <w:bidi w:val="0"/>
              <w:snapToGrid/>
              <w:spacing w:line="240" w:lineRule="auto"/>
              <w:rPr>
                <w:b/>
                <w:bCs/>
              </w:rPr>
            </w:pPr>
            <w:r>
              <w:rPr>
                <w:b/>
                <w:bCs/>
              </w:rPr>
              <w:t>序号</w:t>
            </w:r>
          </w:p>
        </w:tc>
        <w:tc>
          <w:tcPr>
            <w:tcW w:w="1507" w:type="dxa"/>
            <w:vMerge w:val="restart"/>
            <w:tcBorders>
              <w:tl2br w:val="nil"/>
              <w:tr2bl w:val="nil"/>
            </w:tcBorders>
            <w:vAlign w:val="center"/>
          </w:tcPr>
          <w:p>
            <w:pPr>
              <w:pStyle w:val="41"/>
              <w:keepNext w:val="0"/>
              <w:keepLines w:val="0"/>
              <w:pageBreakBefore w:val="0"/>
              <w:kinsoku/>
              <w:wordWrap/>
              <w:bidi w:val="0"/>
              <w:snapToGrid/>
              <w:spacing w:line="240" w:lineRule="auto"/>
              <w:rPr>
                <w:b/>
                <w:bCs/>
              </w:rPr>
            </w:pPr>
            <w:r>
              <w:rPr>
                <w:b/>
                <w:bCs/>
              </w:rPr>
              <w:t>污染因子</w:t>
            </w:r>
          </w:p>
        </w:tc>
        <w:tc>
          <w:tcPr>
            <w:tcW w:w="4167" w:type="dxa"/>
            <w:gridSpan w:val="3"/>
            <w:tcBorders>
              <w:tl2br w:val="nil"/>
              <w:tr2bl w:val="nil"/>
            </w:tcBorders>
            <w:vAlign w:val="center"/>
          </w:tcPr>
          <w:p>
            <w:pPr>
              <w:pStyle w:val="41"/>
              <w:keepNext w:val="0"/>
              <w:keepLines w:val="0"/>
              <w:pageBreakBefore w:val="0"/>
              <w:kinsoku/>
              <w:wordWrap/>
              <w:bidi w:val="0"/>
              <w:snapToGrid/>
              <w:spacing w:line="240" w:lineRule="auto"/>
              <w:rPr>
                <w:b/>
                <w:bCs/>
              </w:rPr>
            </w:pPr>
            <w:r>
              <w:rPr>
                <w:b/>
                <w:bCs/>
              </w:rPr>
              <w:t>标准限值</w:t>
            </w:r>
          </w:p>
        </w:tc>
        <w:tc>
          <w:tcPr>
            <w:tcW w:w="2551" w:type="dxa"/>
            <w:vMerge w:val="restart"/>
            <w:tcBorders>
              <w:tl2br w:val="nil"/>
              <w:tr2bl w:val="nil"/>
            </w:tcBorders>
            <w:vAlign w:val="center"/>
          </w:tcPr>
          <w:p>
            <w:pPr>
              <w:pStyle w:val="41"/>
              <w:keepNext w:val="0"/>
              <w:keepLines w:val="0"/>
              <w:pageBreakBefore w:val="0"/>
              <w:kinsoku/>
              <w:wordWrap/>
              <w:bidi w:val="0"/>
              <w:snapToGrid/>
              <w:spacing w:line="240" w:lineRule="auto"/>
            </w:pPr>
            <w:r>
              <w:rPr>
                <w:b/>
                <w:bCs/>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846" w:type="dxa"/>
            <w:vMerge w:val="continue"/>
            <w:tcBorders>
              <w:tl2br w:val="nil"/>
              <w:tr2bl w:val="nil"/>
            </w:tcBorders>
            <w:vAlign w:val="center"/>
          </w:tcPr>
          <w:p>
            <w:pPr>
              <w:pStyle w:val="41"/>
              <w:keepNext w:val="0"/>
              <w:keepLines w:val="0"/>
              <w:pageBreakBefore w:val="0"/>
              <w:kinsoku/>
              <w:wordWrap/>
              <w:bidi w:val="0"/>
              <w:snapToGrid/>
              <w:spacing w:line="240" w:lineRule="auto"/>
              <w:rPr>
                <w:b/>
                <w:bCs/>
              </w:rPr>
            </w:pPr>
          </w:p>
        </w:tc>
        <w:tc>
          <w:tcPr>
            <w:tcW w:w="1507" w:type="dxa"/>
            <w:vMerge w:val="continue"/>
            <w:tcBorders>
              <w:tl2br w:val="nil"/>
              <w:tr2bl w:val="nil"/>
            </w:tcBorders>
            <w:vAlign w:val="center"/>
          </w:tcPr>
          <w:p>
            <w:pPr>
              <w:pStyle w:val="41"/>
              <w:keepNext w:val="0"/>
              <w:keepLines w:val="0"/>
              <w:pageBreakBefore w:val="0"/>
              <w:kinsoku/>
              <w:wordWrap/>
              <w:bidi w:val="0"/>
              <w:snapToGrid/>
              <w:spacing w:line="240" w:lineRule="auto"/>
              <w:rPr>
                <w:b/>
                <w:bCs/>
              </w:rPr>
            </w:pPr>
          </w:p>
        </w:tc>
        <w:tc>
          <w:tcPr>
            <w:tcW w:w="1183"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年平均</w:t>
            </w:r>
          </w:p>
        </w:tc>
        <w:tc>
          <w:tcPr>
            <w:tcW w:w="1606"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日平均</w:t>
            </w:r>
          </w:p>
        </w:tc>
        <w:tc>
          <w:tcPr>
            <w:tcW w:w="1378"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小时平均</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SO</w:t>
            </w:r>
            <w:r>
              <w:rPr>
                <w:vertAlign w:val="subscript"/>
              </w:rPr>
              <w:t>2</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60</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150</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500</w:t>
            </w:r>
          </w:p>
        </w:tc>
        <w:tc>
          <w:tcPr>
            <w:tcW w:w="2551" w:type="dxa"/>
            <w:vMerge w:val="restart"/>
            <w:tcBorders>
              <w:tl2br w:val="nil"/>
              <w:tr2bl w:val="nil"/>
            </w:tcBorders>
            <w:vAlign w:val="center"/>
          </w:tcPr>
          <w:p>
            <w:pPr>
              <w:pStyle w:val="41"/>
              <w:keepNext w:val="0"/>
              <w:keepLines w:val="0"/>
              <w:pageBreakBefore w:val="0"/>
              <w:kinsoku/>
              <w:wordWrap/>
              <w:bidi w:val="0"/>
              <w:snapToGrid/>
              <w:spacing w:line="240" w:lineRule="auto"/>
            </w:pPr>
            <w: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2</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NO</w:t>
            </w:r>
            <w:r>
              <w:rPr>
                <w:vertAlign w:val="subscript"/>
              </w:rPr>
              <w:t>2</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40</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80</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200</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3</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CO</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4mg/m</w:t>
            </w:r>
            <w:r>
              <w:rPr>
                <w:vertAlign w:val="superscript"/>
              </w:rPr>
              <w:t>3</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10mg/m</w:t>
            </w:r>
            <w:r>
              <w:rPr>
                <w:vertAlign w:val="superscript"/>
              </w:rPr>
              <w:t>3</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4</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O</w:t>
            </w:r>
            <w:r>
              <w:rPr>
                <w:vertAlign w:val="subscript"/>
              </w:rPr>
              <w:t>3</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160（日最大8</w:t>
            </w:r>
          </w:p>
          <w:p>
            <w:pPr>
              <w:pStyle w:val="41"/>
              <w:keepNext w:val="0"/>
              <w:keepLines w:val="0"/>
              <w:pageBreakBefore w:val="0"/>
              <w:kinsoku/>
              <w:wordWrap/>
              <w:bidi w:val="0"/>
              <w:snapToGrid/>
              <w:spacing w:line="240" w:lineRule="auto"/>
            </w:pPr>
            <w:r>
              <w:t>小时平均）</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200</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5</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PM</w:t>
            </w:r>
            <w:r>
              <w:rPr>
                <w:vertAlign w:val="subscript"/>
              </w:rPr>
              <w:t>10</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70</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150</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6</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PM</w:t>
            </w:r>
            <w:r>
              <w:rPr>
                <w:vertAlign w:val="subscript"/>
              </w:rPr>
              <w:t>2.5</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35</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75</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7</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TSP</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200</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300</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8</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苯并[a]芘</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0.001</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0.0025</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9</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氟化物</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7</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20</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10</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氨</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200</w:t>
            </w:r>
          </w:p>
        </w:tc>
        <w:tc>
          <w:tcPr>
            <w:tcW w:w="2551" w:type="dxa"/>
            <w:vMerge w:val="restart"/>
            <w:tcBorders>
              <w:tl2br w:val="nil"/>
              <w:tr2bl w:val="nil"/>
            </w:tcBorders>
            <w:vAlign w:val="center"/>
          </w:tcPr>
          <w:p>
            <w:pPr>
              <w:pStyle w:val="41"/>
              <w:keepNext w:val="0"/>
              <w:keepLines w:val="0"/>
              <w:pageBreakBefore w:val="0"/>
              <w:kinsoku/>
              <w:wordWrap/>
              <w:bidi w:val="0"/>
              <w:snapToGrid/>
              <w:spacing w:line="240" w:lineRule="auto"/>
            </w:pPr>
            <w:r>
              <w:t>《环境影响评价技术导则 大气环境》（HJ2.2-2018）附录D表D.1中标准限值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11</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硫化氢</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10</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12</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苯</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110</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13</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二甲苯</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200</w:t>
            </w:r>
          </w:p>
        </w:tc>
        <w:tc>
          <w:tcPr>
            <w:tcW w:w="2551" w:type="dxa"/>
            <w:vMerge w:val="continue"/>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14</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非甲烷总烃</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2.0mg/m</w:t>
            </w:r>
            <w:r>
              <w:rPr>
                <w:vertAlign w:val="superscript"/>
              </w:rPr>
              <w:t>3</w:t>
            </w:r>
          </w:p>
        </w:tc>
        <w:tc>
          <w:tcPr>
            <w:tcW w:w="2551" w:type="dxa"/>
            <w:tcBorders>
              <w:tl2br w:val="nil"/>
              <w:tr2bl w:val="nil"/>
            </w:tcBorders>
            <w:vAlign w:val="center"/>
          </w:tcPr>
          <w:p>
            <w:pPr>
              <w:pStyle w:val="41"/>
              <w:keepNext w:val="0"/>
              <w:keepLines w:val="0"/>
              <w:pageBreakBefore w:val="0"/>
              <w:kinsoku/>
              <w:wordWrap/>
              <w:bidi w:val="0"/>
              <w:snapToGrid/>
              <w:spacing w:line="240" w:lineRule="auto"/>
            </w:pPr>
            <w:r>
              <w:t>《大气污染物排放标准》详解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15</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二噁英</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0.6</w:t>
            </w:r>
          </w:p>
          <w:p>
            <w:pPr>
              <w:pStyle w:val="41"/>
              <w:keepNext w:val="0"/>
              <w:keepLines w:val="0"/>
              <w:pageBreakBefore w:val="0"/>
              <w:kinsoku/>
              <w:wordWrap/>
              <w:bidi w:val="0"/>
              <w:snapToGrid/>
              <w:spacing w:line="240" w:lineRule="auto"/>
            </w:pPr>
            <w:r>
              <w:t>pgTEQ/m</w:t>
            </w:r>
            <w:r>
              <w:rPr>
                <w:vertAlign w:val="superscript"/>
              </w:rPr>
              <w:t>3</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p>
        </w:tc>
        <w:tc>
          <w:tcPr>
            <w:tcW w:w="2551" w:type="dxa"/>
            <w:tcBorders>
              <w:tl2br w:val="nil"/>
              <w:tr2bl w:val="nil"/>
            </w:tcBorders>
            <w:vAlign w:val="center"/>
          </w:tcPr>
          <w:p>
            <w:pPr>
              <w:pStyle w:val="41"/>
              <w:keepNext w:val="0"/>
              <w:keepLines w:val="0"/>
              <w:pageBreakBefore w:val="0"/>
              <w:kinsoku/>
              <w:wordWrap/>
              <w:bidi w:val="0"/>
              <w:snapToGrid/>
              <w:spacing w:line="240" w:lineRule="auto"/>
            </w:pPr>
            <w:r>
              <w:t>日本环境厅中央环境审议会制定的标准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6" w:type="dxa"/>
            <w:tcBorders>
              <w:tl2br w:val="nil"/>
              <w:tr2bl w:val="nil"/>
            </w:tcBorders>
            <w:vAlign w:val="center"/>
          </w:tcPr>
          <w:p>
            <w:pPr>
              <w:pStyle w:val="41"/>
              <w:keepNext w:val="0"/>
              <w:keepLines w:val="0"/>
              <w:pageBreakBefore w:val="0"/>
              <w:kinsoku/>
              <w:wordWrap/>
              <w:bidi w:val="0"/>
              <w:snapToGrid/>
              <w:spacing w:line="240" w:lineRule="auto"/>
            </w:pPr>
            <w:r>
              <w:t>16</w:t>
            </w:r>
          </w:p>
        </w:tc>
        <w:tc>
          <w:tcPr>
            <w:tcW w:w="1507" w:type="dxa"/>
            <w:tcBorders>
              <w:tl2br w:val="nil"/>
              <w:tr2bl w:val="nil"/>
            </w:tcBorders>
            <w:vAlign w:val="center"/>
          </w:tcPr>
          <w:p>
            <w:pPr>
              <w:pStyle w:val="41"/>
              <w:keepNext w:val="0"/>
              <w:keepLines w:val="0"/>
              <w:pageBreakBefore w:val="0"/>
              <w:kinsoku/>
              <w:wordWrap/>
              <w:bidi w:val="0"/>
              <w:snapToGrid/>
              <w:spacing w:line="240" w:lineRule="auto"/>
            </w:pPr>
            <w:r>
              <w:t>酚</w:t>
            </w:r>
          </w:p>
        </w:tc>
        <w:tc>
          <w:tcPr>
            <w:tcW w:w="1183"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606"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378" w:type="dxa"/>
            <w:tcBorders>
              <w:tl2br w:val="nil"/>
              <w:tr2bl w:val="nil"/>
            </w:tcBorders>
            <w:vAlign w:val="center"/>
          </w:tcPr>
          <w:p>
            <w:pPr>
              <w:pStyle w:val="41"/>
              <w:keepNext w:val="0"/>
              <w:keepLines w:val="0"/>
              <w:pageBreakBefore w:val="0"/>
              <w:kinsoku/>
              <w:wordWrap/>
              <w:bidi w:val="0"/>
              <w:snapToGrid/>
              <w:spacing w:line="240" w:lineRule="auto"/>
            </w:pPr>
            <w:r>
              <w:t>0.02mg/m</w:t>
            </w:r>
            <w:r>
              <w:rPr>
                <w:vertAlign w:val="superscript"/>
              </w:rPr>
              <w:t>3</w:t>
            </w:r>
            <w:r>
              <w:t>（一次）</w:t>
            </w:r>
          </w:p>
        </w:tc>
        <w:tc>
          <w:tcPr>
            <w:tcW w:w="2551" w:type="dxa"/>
            <w:tcBorders>
              <w:tl2br w:val="nil"/>
              <w:tr2bl w:val="nil"/>
            </w:tcBorders>
            <w:vAlign w:val="center"/>
          </w:tcPr>
          <w:p>
            <w:pPr>
              <w:pStyle w:val="41"/>
              <w:keepNext w:val="0"/>
              <w:keepLines w:val="0"/>
              <w:pageBreakBefore w:val="0"/>
              <w:kinsoku/>
              <w:wordWrap/>
              <w:bidi w:val="0"/>
              <w:snapToGrid/>
              <w:spacing w:line="240" w:lineRule="auto"/>
            </w:pPr>
            <w:r>
              <w:t>《炼焦化学工业污染物排放标准》（GB16171-2012）企业边界大气污染物浓度限值</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2）评价方法</w:t>
      </w:r>
    </w:p>
    <w:p>
      <w:pPr>
        <w:pStyle w:val="50"/>
        <w:keepNext w:val="0"/>
        <w:keepLines w:val="0"/>
        <w:pageBreakBefore w:val="0"/>
        <w:kinsoku/>
        <w:wordWrap/>
        <w:bidi w:val="0"/>
        <w:snapToGrid/>
        <w:spacing w:line="360" w:lineRule="auto"/>
        <w:rPr>
          <w:color w:val="auto"/>
        </w:rPr>
      </w:pPr>
      <w:r>
        <w:rPr>
          <w:color w:val="auto"/>
        </w:rPr>
        <w:t>评价方法采用单因子标准指数法：</w:t>
      </w:r>
    </w:p>
    <w:p>
      <w:pPr>
        <w:pStyle w:val="50"/>
        <w:keepNext w:val="0"/>
        <w:keepLines w:val="0"/>
        <w:pageBreakBefore w:val="0"/>
        <w:kinsoku/>
        <w:wordWrap/>
        <w:bidi w:val="0"/>
        <w:snapToGrid/>
        <w:spacing w:line="360" w:lineRule="auto"/>
        <w:ind w:firstLine="0" w:firstLineChars="0"/>
        <w:jc w:val="center"/>
        <w:rPr>
          <w:color w:val="auto"/>
        </w:rPr>
      </w:pPr>
      <w:r>
        <w:rPr>
          <w:color w:val="auto"/>
        </w:rPr>
        <w:drawing>
          <wp:inline distT="0" distB="0" distL="0" distR="0">
            <wp:extent cx="553085" cy="457200"/>
            <wp:effectExtent l="0" t="0" r="18415" b="0"/>
            <wp:docPr id="17" name="图片 2" descr="C:\Users\ADMINI~1\AppData\Local\Temp\ksohtml\wps864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descr="C:\Users\ADMINI~1\AppData\Local\Temp\ksohtml\wps864E.tmp.png"/>
                    <pic:cNvPicPr>
                      <a:picLocks noChangeAspect="1" noChangeArrowheads="1"/>
                    </pic:cNvPicPr>
                  </pic:nvPicPr>
                  <pic:blipFill>
                    <a:blip r:embed="rId63" cstate="print"/>
                    <a:srcRect/>
                    <a:stretch>
                      <a:fillRect/>
                    </a:stretch>
                  </pic:blipFill>
                  <pic:spPr>
                    <a:xfrm>
                      <a:off x="0" y="0"/>
                      <a:ext cx="553085" cy="457200"/>
                    </a:xfrm>
                    <a:prstGeom prst="rect">
                      <a:avLst/>
                    </a:prstGeom>
                    <a:noFill/>
                    <a:ln w="9525">
                      <a:noFill/>
                      <a:miter lim="800000"/>
                      <a:headEnd/>
                      <a:tailEnd/>
                    </a:ln>
                  </pic:spPr>
                </pic:pic>
              </a:graphicData>
            </a:graphic>
          </wp:inline>
        </w:drawing>
      </w:r>
    </w:p>
    <w:p>
      <w:pPr>
        <w:pStyle w:val="50"/>
        <w:keepNext w:val="0"/>
        <w:keepLines w:val="0"/>
        <w:pageBreakBefore w:val="0"/>
        <w:kinsoku/>
        <w:wordWrap/>
        <w:bidi w:val="0"/>
        <w:snapToGrid/>
        <w:spacing w:line="360" w:lineRule="auto"/>
        <w:rPr>
          <w:color w:val="auto"/>
        </w:rPr>
      </w:pPr>
      <w:r>
        <w:rPr>
          <w:color w:val="auto"/>
        </w:rPr>
        <w:t>式中：S</w:t>
      </w:r>
      <w:r>
        <w:rPr>
          <w:i/>
          <w:iCs/>
          <w:color w:val="auto"/>
          <w:vertAlign w:val="subscript"/>
        </w:rPr>
        <w:t>i</w:t>
      </w:r>
      <w:r>
        <w:rPr>
          <w:color w:val="auto"/>
        </w:rPr>
        <w:t>——评价因子单项标准指数；</w:t>
      </w:r>
    </w:p>
    <w:p>
      <w:pPr>
        <w:pStyle w:val="50"/>
        <w:keepNext w:val="0"/>
        <w:keepLines w:val="0"/>
        <w:pageBreakBefore w:val="0"/>
        <w:kinsoku/>
        <w:wordWrap/>
        <w:bidi w:val="0"/>
        <w:snapToGrid/>
        <w:spacing w:line="360" w:lineRule="auto"/>
        <w:rPr>
          <w:color w:val="auto"/>
        </w:rPr>
      </w:pPr>
      <w:r>
        <w:rPr>
          <w:color w:val="auto"/>
        </w:rPr>
        <w:tab/>
      </w:r>
      <w:r>
        <w:rPr>
          <w:color w:val="auto"/>
        </w:rPr>
        <w:tab/>
      </w:r>
      <w:r>
        <w:rPr>
          <w:color w:val="auto"/>
        </w:rPr>
        <w:t>C</w:t>
      </w:r>
      <w:r>
        <w:rPr>
          <w:i/>
          <w:iCs/>
          <w:color w:val="auto"/>
          <w:vertAlign w:val="subscript"/>
        </w:rPr>
        <w:t>i</w:t>
      </w:r>
      <w:r>
        <w:rPr>
          <w:color w:val="auto"/>
        </w:rPr>
        <w:t>——评价因子的实测浓度值，mg/m</w:t>
      </w:r>
      <w:r>
        <w:rPr>
          <w:color w:val="auto"/>
          <w:vertAlign w:val="superscript"/>
        </w:rPr>
        <w:t>3</w:t>
      </w:r>
      <w:r>
        <w:rPr>
          <w:color w:val="auto"/>
        </w:rPr>
        <w:t>；</w:t>
      </w:r>
    </w:p>
    <w:p>
      <w:pPr>
        <w:pStyle w:val="50"/>
        <w:keepNext w:val="0"/>
        <w:keepLines w:val="0"/>
        <w:pageBreakBefore w:val="0"/>
        <w:kinsoku/>
        <w:wordWrap/>
        <w:bidi w:val="0"/>
        <w:snapToGrid/>
        <w:spacing w:line="360" w:lineRule="auto"/>
        <w:rPr>
          <w:color w:val="auto"/>
        </w:rPr>
      </w:pPr>
      <w:r>
        <w:rPr>
          <w:color w:val="auto"/>
        </w:rPr>
        <w:tab/>
      </w:r>
      <w:r>
        <w:rPr>
          <w:color w:val="auto"/>
        </w:rPr>
        <w:tab/>
      </w:r>
      <w:r>
        <w:rPr>
          <w:color w:val="auto"/>
        </w:rPr>
        <w:t>C</w:t>
      </w:r>
      <w:r>
        <w:rPr>
          <w:i/>
          <w:iCs/>
          <w:color w:val="auto"/>
          <w:vertAlign w:val="subscript"/>
        </w:rPr>
        <w:t>oi</w:t>
      </w:r>
      <w:r>
        <w:rPr>
          <w:color w:val="auto"/>
        </w:rPr>
        <w:t>——评价因子的环境质量标准值，mg/m</w:t>
      </w:r>
      <w:r>
        <w:rPr>
          <w:color w:val="auto"/>
          <w:vertAlign w:val="superscript"/>
        </w:rPr>
        <w:t>3</w:t>
      </w:r>
      <w:r>
        <w:rPr>
          <w:color w:val="auto"/>
        </w:rPr>
        <w:t>。</w:t>
      </w:r>
    </w:p>
    <w:p>
      <w:pPr>
        <w:pStyle w:val="50"/>
        <w:keepNext w:val="0"/>
        <w:keepLines w:val="0"/>
        <w:pageBreakBefore w:val="0"/>
        <w:kinsoku/>
        <w:wordWrap/>
        <w:bidi w:val="0"/>
        <w:snapToGrid/>
        <w:spacing w:line="360" w:lineRule="auto"/>
        <w:rPr>
          <w:color w:val="auto"/>
        </w:rPr>
      </w:pPr>
      <w:r>
        <w:rPr>
          <w:color w:val="auto"/>
        </w:rPr>
        <w:t>当S</w:t>
      </w:r>
      <w:r>
        <w:rPr>
          <w:color w:val="auto"/>
          <w:vertAlign w:val="subscript"/>
        </w:rPr>
        <w:t>i</w:t>
      </w:r>
      <w:r>
        <w:rPr>
          <w:color w:val="auto"/>
        </w:rPr>
        <w:t>≥1时，即该因子超标。对照评价标准计算各监测点的各污染物小时平均浓度和日均浓度的最大浓度占标率和超标率。</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3）监测及评价结果</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监测及评价结果见表5.3-6。</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表5.3-6  环境空气质量现状监测结果表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1"/>
        <w:gridCol w:w="710"/>
        <w:gridCol w:w="654"/>
        <w:gridCol w:w="855"/>
        <w:gridCol w:w="1087"/>
        <w:gridCol w:w="1211"/>
        <w:gridCol w:w="1309"/>
        <w:gridCol w:w="1101"/>
        <w:gridCol w:w="701"/>
        <w:gridCol w:w="7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监测点位</w:t>
            </w:r>
          </w:p>
        </w:tc>
        <w:tc>
          <w:tcPr>
            <w:tcW w:w="1364" w:type="dxa"/>
            <w:gridSpan w:val="2"/>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监测点坐标</w:t>
            </w:r>
          </w:p>
        </w:tc>
        <w:tc>
          <w:tcPr>
            <w:tcW w:w="855"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污染物</w:t>
            </w:r>
          </w:p>
        </w:tc>
        <w:tc>
          <w:tcPr>
            <w:tcW w:w="1087"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平均时间</w:t>
            </w:r>
          </w:p>
        </w:tc>
        <w:tc>
          <w:tcPr>
            <w:tcW w:w="1211"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评价标准</w:t>
            </w:r>
            <w:r>
              <w:rPr>
                <w:rFonts w:ascii="Times New Roman" w:hAnsi="Times New Roman" w:eastAsia="宋体" w:cs="Times New Roman"/>
                <w:b/>
                <w:bCs/>
                <w:szCs w:val="21"/>
              </w:rPr>
              <w:t>（μg/m</w:t>
            </w:r>
            <w:r>
              <w:rPr>
                <w:rFonts w:ascii="Times New Roman" w:hAnsi="Times New Roman" w:eastAsia="宋体" w:cs="Times New Roman"/>
                <w:b/>
                <w:bCs/>
                <w:szCs w:val="21"/>
                <w:vertAlign w:val="superscript"/>
              </w:rPr>
              <w:t>3</w:t>
            </w:r>
            <w:r>
              <w:rPr>
                <w:rFonts w:ascii="Times New Roman" w:hAnsi="Times New Roman" w:eastAsia="宋体" w:cs="Times New Roman"/>
                <w:b/>
                <w:bCs/>
                <w:szCs w:val="21"/>
              </w:rPr>
              <w:t>）</w:t>
            </w:r>
          </w:p>
        </w:tc>
        <w:tc>
          <w:tcPr>
            <w:tcW w:w="1309"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监测浓度范围</w:t>
            </w:r>
            <w:r>
              <w:rPr>
                <w:rFonts w:ascii="Times New Roman" w:hAnsi="Times New Roman" w:eastAsia="宋体" w:cs="Times New Roman"/>
                <w:b/>
                <w:bCs/>
                <w:szCs w:val="21"/>
              </w:rPr>
              <w:t>（μg/m</w:t>
            </w:r>
            <w:r>
              <w:rPr>
                <w:rFonts w:ascii="Times New Roman" w:hAnsi="Times New Roman" w:eastAsia="宋体" w:cs="Times New Roman"/>
                <w:b/>
                <w:bCs/>
                <w:szCs w:val="21"/>
                <w:vertAlign w:val="superscript"/>
              </w:rPr>
              <w:t>3</w:t>
            </w:r>
            <w:r>
              <w:rPr>
                <w:rFonts w:ascii="Times New Roman" w:hAnsi="Times New Roman" w:eastAsia="宋体" w:cs="Times New Roman"/>
                <w:b/>
                <w:bCs/>
                <w:szCs w:val="21"/>
              </w:rPr>
              <w:t>）</w:t>
            </w:r>
          </w:p>
        </w:tc>
        <w:tc>
          <w:tcPr>
            <w:tcW w:w="1101"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最大浓度占标率/</w:t>
            </w:r>
            <w:r>
              <w:rPr>
                <w:rFonts w:ascii="Times New Roman" w:hAnsi="Times New Roman" w:eastAsia="宋体" w:cs="Times New Roman"/>
                <w:b/>
                <w:bCs/>
                <w:szCs w:val="21"/>
              </w:rPr>
              <w:t>%</w:t>
            </w:r>
          </w:p>
        </w:tc>
        <w:tc>
          <w:tcPr>
            <w:tcW w:w="701"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超标率%</w:t>
            </w:r>
          </w:p>
        </w:tc>
        <w:tc>
          <w:tcPr>
            <w:tcW w:w="722"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X</w:t>
            </w:r>
          </w:p>
        </w:tc>
        <w:tc>
          <w:tcPr>
            <w:tcW w:w="654"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Y</w:t>
            </w:r>
          </w:p>
        </w:tc>
        <w:tc>
          <w:tcPr>
            <w:tcW w:w="855"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087"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21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309"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10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0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22"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协力村</w:t>
            </w:r>
          </w:p>
        </w:tc>
        <w:tc>
          <w:tcPr>
            <w:tcW w:w="710" w:type="dxa"/>
            <w:vMerge w:val="restart"/>
            <w:vAlign w:val="center"/>
          </w:tcPr>
          <w:p>
            <w:pPr>
              <w:pStyle w:val="41"/>
              <w:keepNext w:val="0"/>
              <w:keepLines w:val="0"/>
              <w:pageBreakBefore w:val="0"/>
              <w:kinsoku/>
              <w:wordWrap/>
              <w:bidi w:val="0"/>
              <w:snapToGrid/>
              <w:spacing w:line="240" w:lineRule="auto"/>
              <w:rPr>
                <w:rFonts w:ascii="Times New Roman" w:hAnsi="Times New Roman" w:eastAsia="宋体" w:cs="Times New Roman"/>
                <w:szCs w:val="21"/>
              </w:rPr>
            </w:pPr>
            <w:r>
              <w:rPr>
                <w:rFonts w:hint="eastAsia"/>
                <w:color w:val="FF0000"/>
                <w:szCs w:val="21"/>
                <w:lang w:val="en-US" w:eastAsia="zh-CN"/>
              </w:rPr>
              <w:t>-3285</w:t>
            </w:r>
          </w:p>
        </w:tc>
        <w:tc>
          <w:tcPr>
            <w:tcW w:w="654" w:type="dxa"/>
            <w:vMerge w:val="restart"/>
            <w:vAlign w:val="center"/>
          </w:tcPr>
          <w:p>
            <w:pPr>
              <w:pStyle w:val="41"/>
              <w:keepNext w:val="0"/>
              <w:keepLines w:val="0"/>
              <w:pageBreakBefore w:val="0"/>
              <w:kinsoku/>
              <w:wordWrap/>
              <w:bidi w:val="0"/>
              <w:snapToGrid/>
              <w:spacing w:line="240" w:lineRule="auto"/>
              <w:rPr>
                <w:rFonts w:ascii="Times New Roman" w:hAnsi="Times New Roman" w:eastAsia="宋体" w:cs="Times New Roman"/>
                <w:szCs w:val="21"/>
              </w:rPr>
            </w:pPr>
            <w:r>
              <w:rPr>
                <w:rFonts w:hint="eastAsia"/>
                <w:color w:val="FF0000"/>
                <w:szCs w:val="21"/>
                <w:lang w:val="en-US" w:eastAsia="zh-CN"/>
              </w:rPr>
              <w:t>1667</w:t>
            </w: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TSP</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21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136-148</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74</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二甲苯</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21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＜0.5-23.8</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11.9</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21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50-180</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90</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H</w:t>
            </w:r>
            <w:r>
              <w:rPr>
                <w:rFonts w:ascii="Times New Roman" w:hAnsi="Times New Roman" w:eastAsia="宋体" w:cs="Times New Roman"/>
                <w:szCs w:val="21"/>
                <w:vertAlign w:val="subscript"/>
              </w:rPr>
              <w:t>2</w:t>
            </w:r>
            <w:r>
              <w:rPr>
                <w:rFonts w:ascii="Times New Roman" w:hAnsi="Times New Roman" w:eastAsia="宋体" w:cs="Times New Roman"/>
                <w:szCs w:val="21"/>
              </w:rPr>
              <w:t>S</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21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5</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氟化物</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21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＜0.5</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12.5</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21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7</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＜0.06</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0.43</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苯</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21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110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41.3-57.2</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52</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挥发酚</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211" w:type="dxa"/>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eastAsia="宋体" w:cs="Times New Roman"/>
                <w:szCs w:val="21"/>
              </w:rPr>
              <w:t>0.02</w:t>
            </w:r>
            <w:r>
              <w:rPr>
                <w:rFonts w:ascii="Times New Roman" w:hAnsi="Times New Roman" w:cs="Times New Roman"/>
              </w:rPr>
              <w:t>mg/m</w:t>
            </w:r>
            <w:r>
              <w:rPr>
                <w:rFonts w:ascii="Times New Roman" w:hAnsi="Times New Roman" w:cs="Times New Roman"/>
                <w:vertAlign w:val="superscript"/>
              </w:rPr>
              <w:t>3</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&lt;3-3</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15</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highlight w:val="none"/>
              </w:rPr>
              <w:t>苯并[a]芘</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21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0.0025</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w:t>
            </w:r>
            <w:r>
              <w:rPr>
                <w:rFonts w:hint="eastAsia" w:ascii="Times New Roman" w:hAnsi="Times New Roman" w:eastAsia="宋体" w:cs="Times New Roman"/>
                <w:szCs w:val="21"/>
                <w:lang w:val="en-US" w:eastAsia="zh-CN"/>
              </w:rPr>
              <w:t>0.000</w:t>
            </w:r>
            <w:r>
              <w:rPr>
                <w:rFonts w:ascii="Times New Roman" w:hAnsi="Times New Roman" w:eastAsia="宋体" w:cs="Times New Roman"/>
                <w:szCs w:val="21"/>
              </w:rPr>
              <w:t>3</w:t>
            </w:r>
          </w:p>
        </w:tc>
        <w:tc>
          <w:tcPr>
            <w:tcW w:w="1101" w:type="dxa"/>
            <w:vAlign w:val="center"/>
          </w:tcPr>
          <w:p>
            <w:pPr>
              <w:keepNext w:val="0"/>
              <w:keepLines w:val="0"/>
              <w:pageBreakBefore w:val="0"/>
              <w:kinsoku/>
              <w:wordWrap/>
              <w:bidi w:val="0"/>
              <w:snapToGrid/>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6</w:t>
            </w:r>
          </w:p>
        </w:tc>
        <w:tc>
          <w:tcPr>
            <w:tcW w:w="701" w:type="dxa"/>
            <w:vAlign w:val="center"/>
          </w:tcPr>
          <w:p>
            <w:pPr>
              <w:keepNext w:val="0"/>
              <w:keepLines w:val="0"/>
              <w:pageBreakBefore w:val="0"/>
              <w:kinsoku/>
              <w:wordWrap/>
              <w:bidi w:val="0"/>
              <w:snapToGrid/>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非甲烷总烃</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21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2.0mg/m</w:t>
            </w:r>
            <w:r>
              <w:rPr>
                <w:rFonts w:ascii="Times New Roman" w:hAnsi="Times New Roman" w:eastAsia="宋体" w:cs="Times New Roman"/>
                <w:szCs w:val="21"/>
                <w:vertAlign w:val="superscript"/>
              </w:rPr>
              <w:t>3</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430-720</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36</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二噁英</w:t>
            </w:r>
          </w:p>
        </w:tc>
        <w:tc>
          <w:tcPr>
            <w:tcW w:w="108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211" w:type="dxa"/>
            <w:vAlign w:val="center"/>
          </w:tcPr>
          <w:p>
            <w:pPr>
              <w:keepNext w:val="0"/>
              <w:keepLines w:val="0"/>
              <w:pageBreakBefore w:val="0"/>
              <w:kinsoku/>
              <w:wordWrap/>
              <w:bidi w:val="0"/>
              <w:snapToGrid/>
              <w:jc w:val="center"/>
              <w:rPr>
                <w:rFonts w:ascii="Times New Roman" w:hAnsi="Times New Roman" w:cs="Times New Roman"/>
              </w:rPr>
            </w:pPr>
            <w:r>
              <w:rPr>
                <w:rFonts w:ascii="Times New Roman" w:hAnsi="Times New Roman" w:cs="Times New Roman"/>
              </w:rPr>
              <w:t>1.65</w:t>
            </w:r>
          </w:p>
          <w:p>
            <w:pPr>
              <w:keepNext w:val="0"/>
              <w:keepLines w:val="0"/>
              <w:pageBreakBefore w:val="0"/>
              <w:kinsoku/>
              <w:wordWrap/>
              <w:bidi w:val="0"/>
              <w:snapToGrid/>
              <w:jc w:val="center"/>
              <w:rPr>
                <w:rFonts w:ascii="Times New Roman" w:hAnsi="Times New Roman" w:cs="Times New Roman"/>
              </w:rPr>
            </w:pPr>
            <w:r>
              <w:rPr>
                <w:rFonts w:ascii="Times New Roman" w:hAnsi="Times New Roman" w:cs="Times New Roman"/>
              </w:rPr>
              <w:t>pgTEQ/m</w:t>
            </w:r>
            <w:r>
              <w:rPr>
                <w:rFonts w:ascii="Times New Roman" w:hAnsi="Times New Roman" w:cs="Times New Roman"/>
                <w:vertAlign w:val="superscript"/>
              </w:rPr>
              <w:t>3</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0.02-</w:t>
            </w:r>
            <w:r>
              <w:rPr>
                <w:rFonts w:hint="eastAsia" w:ascii="Times New Roman" w:hAnsi="Times New Roman" w:eastAsia="宋体" w:cs="Times New Roman"/>
                <w:szCs w:val="21"/>
              </w:rPr>
              <w:t>0.10</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cs="Times New Roman"/>
              </w:rPr>
              <w:t>pgTEQ/m</w:t>
            </w:r>
            <w:r>
              <w:rPr>
                <w:rFonts w:ascii="Times New Roman" w:hAnsi="Times New Roman" w:cs="Times New Roman"/>
                <w:vertAlign w:val="superscript"/>
              </w:rPr>
              <w:t>3</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hint="eastAsia" w:ascii="Times New Roman" w:hAnsi="Times New Roman" w:eastAsia="宋体" w:cs="Times New Roman"/>
                <w:szCs w:val="21"/>
              </w:rPr>
              <w:t>6.06</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bl>
    <w:p>
      <w:pPr>
        <w:keepNext w:val="0"/>
        <w:keepLines w:val="0"/>
        <w:pageBreakBefore w:val="0"/>
        <w:kinsoku/>
        <w:wordWrap/>
        <w:bidi w:val="0"/>
        <w:snapToGrid/>
        <w:rPr>
          <w:rFonts w:ascii="Times New Roman" w:hAnsi="Times New Roman" w:eastAsia="宋体" w:cs="Times New Roman"/>
          <w:sz w:val="18"/>
          <w:szCs w:val="18"/>
        </w:rPr>
      </w:pPr>
      <w:r>
        <w:rPr>
          <w:rFonts w:ascii="Times New Roman" w:hAnsi="Times New Roman" w:eastAsia="宋体" w:cs="Times New Roman"/>
          <w:sz w:val="18"/>
          <w:szCs w:val="18"/>
        </w:rPr>
        <w:t>注：未检出的项目按照检出限一半计算占标率。</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5.3.1.4环境空气质量现状评价结论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sz w:val="24"/>
          <w:szCs w:val="24"/>
        </w:rPr>
        <w:t>根据芜湖市环境保护局发布的</w:t>
      </w:r>
      <w:r>
        <w:rPr>
          <w:rFonts w:ascii="Times New Roman" w:hAnsi="Times New Roman" w:eastAsia="宋体" w:cs="Times New Roman"/>
          <w:bCs/>
          <w:sz w:val="24"/>
          <w:szCs w:val="24"/>
        </w:rPr>
        <w:t>《芜湖市2017年度环境质量状况简报》，二氧化氮、PM</w:t>
      </w:r>
      <w:r>
        <w:rPr>
          <w:rFonts w:ascii="Times New Roman" w:hAnsi="Times New Roman" w:eastAsia="宋体" w:cs="Times New Roman"/>
          <w:bCs/>
          <w:sz w:val="24"/>
          <w:szCs w:val="24"/>
          <w:vertAlign w:val="subscript"/>
        </w:rPr>
        <w:t>2.5</w:t>
      </w:r>
      <w:r>
        <w:rPr>
          <w:rFonts w:ascii="Times New Roman" w:hAnsi="Times New Roman" w:eastAsia="宋体" w:cs="Times New Roman"/>
          <w:bCs/>
          <w:sz w:val="24"/>
          <w:szCs w:val="24"/>
        </w:rPr>
        <w:t>及PM</w:t>
      </w:r>
      <w:r>
        <w:rPr>
          <w:rFonts w:ascii="Times New Roman" w:hAnsi="Times New Roman" w:eastAsia="宋体" w:cs="Times New Roman"/>
          <w:bCs/>
          <w:sz w:val="24"/>
          <w:szCs w:val="24"/>
          <w:vertAlign w:val="subscript"/>
        </w:rPr>
        <w:t>10</w:t>
      </w:r>
      <w:r>
        <w:rPr>
          <w:rFonts w:ascii="Times New Roman" w:hAnsi="Times New Roman" w:eastAsia="宋体" w:cs="Times New Roman"/>
          <w:bCs/>
          <w:sz w:val="24"/>
          <w:szCs w:val="24"/>
        </w:rPr>
        <w:t>均不达标。因此判定项目所在区域属于不达标区。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根据环境质量补充监测数据分析，评价区域内TSP、氟化物、苯并芘、H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、苯、二甲苯、酚、非甲烷总烃以及二噁英均满足相应标准限值要求。</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5.3.1.5环境空气质量变化趋势分析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（1）区域历史环境空气质量检测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本评价引用《芜湖新兴铸管有限责任公司2×58孔焦炉技术改造工程环境影响报告书》和《芜湖新兴铸管有限责任公司2×265m</w:t>
      </w:r>
      <w:r>
        <w:rPr>
          <w:rFonts w:ascii="Times New Roman" w:hAnsi="Times New Roman" w:eastAsia="宋体" w:cs="Times New Roman"/>
          <w:bCs/>
          <w:sz w:val="24"/>
          <w:szCs w:val="24"/>
          <w:vertAlign w:val="superscript"/>
        </w:rPr>
        <w:t>2</w:t>
      </w:r>
      <w:r>
        <w:rPr>
          <w:rFonts w:ascii="Times New Roman" w:hAnsi="Times New Roman" w:eastAsia="宋体" w:cs="Times New Roman"/>
          <w:bCs/>
          <w:sz w:val="24"/>
          <w:szCs w:val="24"/>
        </w:rPr>
        <w:t>烧结机技术改造项目环境影响报告书》中的环境空气质量现状监测数据，检测日期为2016年7月25日至7月31日，详见表5.3-7。</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表5.3-7  区域历史环境空气质量检测数据及分析一览表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1"/>
        <w:gridCol w:w="710"/>
        <w:gridCol w:w="654"/>
        <w:gridCol w:w="855"/>
        <w:gridCol w:w="1181"/>
        <w:gridCol w:w="1117"/>
        <w:gridCol w:w="1309"/>
        <w:gridCol w:w="1101"/>
        <w:gridCol w:w="701"/>
        <w:gridCol w:w="7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监测点位</w:t>
            </w:r>
          </w:p>
        </w:tc>
        <w:tc>
          <w:tcPr>
            <w:tcW w:w="1364" w:type="dxa"/>
            <w:gridSpan w:val="2"/>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监测点坐标</w:t>
            </w:r>
          </w:p>
        </w:tc>
        <w:tc>
          <w:tcPr>
            <w:tcW w:w="855"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污染物</w:t>
            </w:r>
          </w:p>
        </w:tc>
        <w:tc>
          <w:tcPr>
            <w:tcW w:w="1181"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平均时间</w:t>
            </w:r>
          </w:p>
        </w:tc>
        <w:tc>
          <w:tcPr>
            <w:tcW w:w="1117"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评价标准</w:t>
            </w:r>
            <w:r>
              <w:rPr>
                <w:rFonts w:ascii="Times New Roman" w:hAnsi="Times New Roman" w:eastAsia="宋体" w:cs="Times New Roman"/>
                <w:b/>
                <w:bCs/>
                <w:szCs w:val="21"/>
              </w:rPr>
              <w:t>（μg/m</w:t>
            </w:r>
            <w:r>
              <w:rPr>
                <w:rFonts w:ascii="Times New Roman" w:hAnsi="Times New Roman" w:eastAsia="宋体" w:cs="Times New Roman"/>
                <w:b/>
                <w:bCs/>
                <w:szCs w:val="21"/>
                <w:vertAlign w:val="superscript"/>
              </w:rPr>
              <w:t>3</w:t>
            </w:r>
            <w:r>
              <w:rPr>
                <w:rFonts w:ascii="Times New Roman" w:hAnsi="Times New Roman" w:eastAsia="宋体" w:cs="Times New Roman"/>
                <w:b/>
                <w:bCs/>
                <w:szCs w:val="21"/>
              </w:rPr>
              <w:t>）</w:t>
            </w:r>
          </w:p>
        </w:tc>
        <w:tc>
          <w:tcPr>
            <w:tcW w:w="1309"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监测浓度范围</w:t>
            </w:r>
            <w:r>
              <w:rPr>
                <w:rFonts w:ascii="Times New Roman" w:hAnsi="Times New Roman" w:eastAsia="宋体" w:cs="Times New Roman"/>
                <w:b/>
                <w:bCs/>
                <w:szCs w:val="21"/>
              </w:rPr>
              <w:t>（μg/m</w:t>
            </w:r>
            <w:r>
              <w:rPr>
                <w:rFonts w:ascii="Times New Roman" w:hAnsi="Times New Roman" w:eastAsia="宋体" w:cs="Times New Roman"/>
                <w:b/>
                <w:bCs/>
                <w:szCs w:val="21"/>
                <w:vertAlign w:val="superscript"/>
              </w:rPr>
              <w:t>3</w:t>
            </w:r>
            <w:r>
              <w:rPr>
                <w:rFonts w:ascii="Times New Roman" w:hAnsi="Times New Roman" w:eastAsia="宋体" w:cs="Times New Roman"/>
                <w:b/>
                <w:bCs/>
                <w:szCs w:val="21"/>
              </w:rPr>
              <w:t>）</w:t>
            </w:r>
          </w:p>
        </w:tc>
        <w:tc>
          <w:tcPr>
            <w:tcW w:w="1101"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最大浓度占标率/</w:t>
            </w:r>
            <w:r>
              <w:rPr>
                <w:rFonts w:ascii="Times New Roman" w:hAnsi="Times New Roman" w:eastAsia="宋体" w:cs="Times New Roman"/>
                <w:b/>
                <w:bCs/>
                <w:szCs w:val="21"/>
              </w:rPr>
              <w:t>%</w:t>
            </w:r>
          </w:p>
        </w:tc>
        <w:tc>
          <w:tcPr>
            <w:tcW w:w="701"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超标率%</w:t>
            </w:r>
          </w:p>
        </w:tc>
        <w:tc>
          <w:tcPr>
            <w:tcW w:w="722" w:type="dxa"/>
            <w:vMerge w:val="restart"/>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X</w:t>
            </w:r>
          </w:p>
        </w:tc>
        <w:tc>
          <w:tcPr>
            <w:tcW w:w="654"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Y</w:t>
            </w:r>
          </w:p>
        </w:tc>
        <w:tc>
          <w:tcPr>
            <w:tcW w:w="855"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18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117"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309"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10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0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22"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协力村</w:t>
            </w:r>
          </w:p>
        </w:tc>
        <w:tc>
          <w:tcPr>
            <w:tcW w:w="710" w:type="dxa"/>
            <w:vMerge w:val="restart"/>
            <w:vAlign w:val="center"/>
          </w:tcPr>
          <w:p>
            <w:pPr>
              <w:pStyle w:val="41"/>
              <w:keepNext w:val="0"/>
              <w:keepLines w:val="0"/>
              <w:pageBreakBefore w:val="0"/>
              <w:kinsoku/>
              <w:wordWrap/>
              <w:bidi w:val="0"/>
              <w:snapToGrid/>
              <w:spacing w:line="240" w:lineRule="auto"/>
              <w:rPr>
                <w:rFonts w:ascii="Times New Roman" w:hAnsi="Times New Roman" w:eastAsia="宋体" w:cs="Times New Roman"/>
                <w:szCs w:val="21"/>
              </w:rPr>
            </w:pPr>
            <w:r>
              <w:rPr>
                <w:rFonts w:hint="eastAsia"/>
                <w:color w:val="FF0000"/>
                <w:szCs w:val="21"/>
                <w:lang w:val="en-US" w:eastAsia="zh-CN"/>
              </w:rPr>
              <w:t>-3285</w:t>
            </w:r>
          </w:p>
        </w:tc>
        <w:tc>
          <w:tcPr>
            <w:tcW w:w="654" w:type="dxa"/>
            <w:vMerge w:val="restart"/>
            <w:vAlign w:val="center"/>
          </w:tcPr>
          <w:p>
            <w:pPr>
              <w:pStyle w:val="41"/>
              <w:keepNext w:val="0"/>
              <w:keepLines w:val="0"/>
              <w:pageBreakBefore w:val="0"/>
              <w:kinsoku/>
              <w:wordWrap/>
              <w:bidi w:val="0"/>
              <w:snapToGrid/>
              <w:spacing w:line="240" w:lineRule="auto"/>
              <w:rPr>
                <w:rFonts w:ascii="Times New Roman" w:hAnsi="Times New Roman" w:eastAsia="宋体" w:cs="Times New Roman"/>
                <w:szCs w:val="21"/>
              </w:rPr>
            </w:pPr>
            <w:r>
              <w:rPr>
                <w:rFonts w:hint="eastAsia"/>
                <w:color w:val="FF0000"/>
                <w:szCs w:val="21"/>
                <w:lang w:val="en-US" w:eastAsia="zh-CN"/>
              </w:rPr>
              <w:t>1667</w:t>
            </w:r>
          </w:p>
        </w:tc>
        <w:tc>
          <w:tcPr>
            <w:tcW w:w="855"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SO</w:t>
            </w:r>
            <w:r>
              <w:rPr>
                <w:rFonts w:ascii="Times New Roman" w:hAnsi="Times New Roman" w:eastAsia="宋体" w:cs="Times New Roman"/>
                <w:szCs w:val="21"/>
                <w:vertAlign w:val="subscript"/>
              </w:rPr>
              <w:t>2</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500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23-65</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13</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150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35-46</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30.67</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NO</w:t>
            </w:r>
            <w:r>
              <w:rPr>
                <w:rFonts w:ascii="Times New Roman" w:hAnsi="Times New Roman" w:eastAsia="宋体" w:cs="Times New Roman"/>
                <w:szCs w:val="21"/>
                <w:vertAlign w:val="subscript"/>
              </w:rPr>
              <w:t>2</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45-79</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39.5</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80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44-50</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62.5</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10</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150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86-96</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64</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2.5</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75</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48-53</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70.67</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CO</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10000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620-1000</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10</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4000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750-870</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21.75</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O</w:t>
            </w:r>
            <w:r>
              <w:rPr>
                <w:rFonts w:ascii="Times New Roman" w:hAnsi="Times New Roman" w:eastAsia="宋体" w:cs="Times New Roman"/>
                <w:szCs w:val="21"/>
                <w:vertAlign w:val="subscript"/>
              </w:rPr>
              <w:t>3</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33-88</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44</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日最大8</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160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36-51</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31.88</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TSP</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171-180</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90</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二甲苯</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未检出</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30-60</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30</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H</w:t>
            </w:r>
            <w:r>
              <w:rPr>
                <w:rFonts w:ascii="Times New Roman" w:hAnsi="Times New Roman" w:eastAsia="宋体" w:cs="Times New Roman"/>
                <w:szCs w:val="21"/>
                <w:vertAlign w:val="subscript"/>
              </w:rPr>
              <w:t>2</w:t>
            </w:r>
            <w:r>
              <w:rPr>
                <w:rFonts w:ascii="Times New Roman" w:hAnsi="Times New Roman" w:eastAsia="宋体" w:cs="Times New Roman"/>
                <w:szCs w:val="21"/>
              </w:rPr>
              <w:t>S</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2-8</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80</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氟化物</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3-18</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90</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7</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2-5</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71.43</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苯</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110</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4-15</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13.63</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挥发酚</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eastAsia="宋体" w:cs="Times New Roman"/>
                <w:szCs w:val="21"/>
              </w:rPr>
              <w:t>0.02</w:t>
            </w:r>
            <w:r>
              <w:rPr>
                <w:rFonts w:ascii="Times New Roman" w:hAnsi="Times New Roman" w:cs="Times New Roman"/>
              </w:rPr>
              <w:t>mg/m</w:t>
            </w:r>
            <w:r>
              <w:rPr>
                <w:rFonts w:ascii="Times New Roman" w:hAnsi="Times New Roman" w:cs="Times New Roman"/>
                <w:vertAlign w:val="superscript"/>
              </w:rPr>
              <w:t>3</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未检出</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15</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苯并[a]芘</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0.0025</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未检出</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非甲烷总烃</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117"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2.0mg/m</w:t>
            </w:r>
            <w:r>
              <w:rPr>
                <w:rFonts w:ascii="Times New Roman" w:hAnsi="Times New Roman" w:eastAsia="宋体" w:cs="Times New Roman"/>
                <w:szCs w:val="21"/>
                <w:vertAlign w:val="superscript"/>
              </w:rPr>
              <w:t>3</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470-1140</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57</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1"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710"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654"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855"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二噁英</w:t>
            </w:r>
          </w:p>
        </w:tc>
        <w:tc>
          <w:tcPr>
            <w:tcW w:w="118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日均值</w:t>
            </w:r>
          </w:p>
        </w:tc>
        <w:tc>
          <w:tcPr>
            <w:tcW w:w="1117" w:type="dxa"/>
            <w:vAlign w:val="center"/>
          </w:tcPr>
          <w:p>
            <w:pPr>
              <w:keepNext w:val="0"/>
              <w:keepLines w:val="0"/>
              <w:pageBreakBefore w:val="0"/>
              <w:kinsoku/>
              <w:wordWrap/>
              <w:bidi w:val="0"/>
              <w:snapToGrid/>
              <w:jc w:val="center"/>
              <w:rPr>
                <w:rFonts w:ascii="Times New Roman" w:hAnsi="Times New Roman" w:cs="Times New Roman"/>
              </w:rPr>
            </w:pPr>
            <w:r>
              <w:rPr>
                <w:rFonts w:ascii="Times New Roman" w:hAnsi="Times New Roman" w:cs="Times New Roman"/>
              </w:rPr>
              <w:t>1.65pgTEQ/m</w:t>
            </w:r>
            <w:r>
              <w:rPr>
                <w:rFonts w:ascii="Times New Roman" w:hAnsi="Times New Roman" w:cs="Times New Roman"/>
                <w:vertAlign w:val="superscript"/>
              </w:rPr>
              <w:t>3</w:t>
            </w:r>
          </w:p>
        </w:tc>
        <w:tc>
          <w:tcPr>
            <w:tcW w:w="1309"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0.08-0.096</w:t>
            </w:r>
            <w:r>
              <w:rPr>
                <w:rFonts w:ascii="Times New Roman" w:hAnsi="Times New Roman" w:cs="Times New Roman"/>
              </w:rPr>
              <w:t>pgTEQ/m</w:t>
            </w:r>
            <w:r>
              <w:rPr>
                <w:rFonts w:ascii="Times New Roman" w:hAnsi="Times New Roman" w:cs="Times New Roman"/>
                <w:vertAlign w:val="superscript"/>
              </w:rPr>
              <w:t>3</w:t>
            </w:r>
          </w:p>
        </w:tc>
        <w:tc>
          <w:tcPr>
            <w:tcW w:w="11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5.82</w:t>
            </w:r>
          </w:p>
        </w:tc>
        <w:tc>
          <w:tcPr>
            <w:tcW w:w="70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722"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达标</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（2）区域环境空气质量变化趋势</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项目区域环境空气质量变化趋势见表5.3-8。</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表5.3-8  区域环境空气质量变化趋势一览表（单位：μg/m</w:t>
      </w:r>
      <w:r>
        <w:rPr>
          <w:rFonts w:ascii="Times New Roman" w:hAnsi="Times New Roman" w:eastAsia="黑体" w:cs="Times New Roman"/>
          <w:sz w:val="24"/>
          <w:vertAlign w:val="superscript"/>
        </w:rPr>
        <w:t>3</w:t>
      </w:r>
      <w:r>
        <w:rPr>
          <w:rFonts w:ascii="Times New Roman" w:hAnsi="Times New Roman" w:eastAsia="黑体" w:cs="Times New Roman"/>
          <w:sz w:val="24"/>
        </w:rPr>
        <w:t>）</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1"/>
        <w:gridCol w:w="1512"/>
        <w:gridCol w:w="1511"/>
        <w:gridCol w:w="1512"/>
        <w:gridCol w:w="1512"/>
        <w:gridCol w:w="15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监测点位</w:t>
            </w:r>
          </w:p>
        </w:tc>
        <w:tc>
          <w:tcPr>
            <w:tcW w:w="1512"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监测因子</w:t>
            </w:r>
          </w:p>
        </w:tc>
        <w:tc>
          <w:tcPr>
            <w:tcW w:w="1511"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平均时间</w:t>
            </w:r>
          </w:p>
        </w:tc>
        <w:tc>
          <w:tcPr>
            <w:tcW w:w="3024" w:type="dxa"/>
            <w:gridSpan w:val="2"/>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监测浓度范围（μg/m</w:t>
            </w:r>
            <w:r>
              <w:rPr>
                <w:rFonts w:ascii="Times New Roman" w:hAnsi="Times New Roman" w:eastAsia="宋体" w:cs="Times New Roman"/>
                <w:b/>
                <w:bCs/>
                <w:color w:val="FF0000"/>
                <w:szCs w:val="21"/>
                <w:vertAlign w:val="superscript"/>
              </w:rPr>
              <w:t>3</w:t>
            </w:r>
            <w:r>
              <w:rPr>
                <w:rFonts w:ascii="Times New Roman" w:hAnsi="Times New Roman" w:eastAsia="宋体" w:cs="Times New Roman"/>
                <w:b/>
                <w:bCs/>
                <w:color w:val="FF0000"/>
                <w:szCs w:val="21"/>
              </w:rPr>
              <w:t>）</w:t>
            </w:r>
          </w:p>
        </w:tc>
        <w:tc>
          <w:tcPr>
            <w:tcW w:w="1513" w:type="dxa"/>
            <w:vMerge w:val="restart"/>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b/>
                <w:bCs/>
                <w:color w:val="FF0000"/>
                <w:szCs w:val="21"/>
                <w:lang w:eastAsia="zh-CN"/>
              </w:rPr>
            </w:pPr>
            <w:r>
              <w:rPr>
                <w:rFonts w:ascii="Times New Roman" w:hAnsi="Times New Roman" w:eastAsia="宋体" w:cs="Times New Roman"/>
                <w:b/>
                <w:bCs/>
                <w:color w:val="FF0000"/>
                <w:szCs w:val="21"/>
              </w:rPr>
              <w:t>变化</w:t>
            </w:r>
            <w:r>
              <w:rPr>
                <w:rFonts w:hint="eastAsia" w:ascii="Times New Roman" w:hAnsi="Times New Roman" w:eastAsia="宋体" w:cs="Times New Roman"/>
                <w:b/>
                <w:bCs/>
                <w:color w:val="FF0000"/>
                <w:szCs w:val="21"/>
                <w:lang w:eastAsia="zh-CN"/>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p>
        </w:tc>
        <w:tc>
          <w:tcPr>
            <w:tcW w:w="151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p>
        </w:tc>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2016年7月</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r>
              <w:rPr>
                <w:rFonts w:ascii="Times New Roman" w:hAnsi="Times New Roman" w:eastAsia="宋体" w:cs="Times New Roman"/>
                <w:b/>
                <w:bCs/>
                <w:color w:val="FF0000"/>
                <w:szCs w:val="21"/>
              </w:rPr>
              <w:t>2019年4月</w:t>
            </w:r>
          </w:p>
        </w:tc>
        <w:tc>
          <w:tcPr>
            <w:tcW w:w="151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协力村</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TSP</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日平均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171-180</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136-148</w:t>
            </w:r>
          </w:p>
        </w:tc>
        <w:tc>
          <w:tcPr>
            <w:tcW w:w="1513" w:type="dxa"/>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二甲苯</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小时平均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未检出</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＜0.5-23.8</w:t>
            </w:r>
          </w:p>
        </w:tc>
        <w:tc>
          <w:tcPr>
            <w:tcW w:w="1513" w:type="dxa"/>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氨气</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小时平均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30-60</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50-180</w:t>
            </w:r>
          </w:p>
        </w:tc>
        <w:tc>
          <w:tcPr>
            <w:tcW w:w="151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硫化氢</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小时平均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2-8</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＜1</w:t>
            </w:r>
          </w:p>
        </w:tc>
        <w:tc>
          <w:tcPr>
            <w:tcW w:w="151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氟化物</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小时平均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3-18</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＜0.5</w:t>
            </w:r>
          </w:p>
        </w:tc>
        <w:tc>
          <w:tcPr>
            <w:tcW w:w="151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日平均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2-5</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＜0.06</w:t>
            </w:r>
          </w:p>
        </w:tc>
        <w:tc>
          <w:tcPr>
            <w:tcW w:w="151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苯</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小时平均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4-15</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41.3-57.2</w:t>
            </w:r>
          </w:p>
        </w:tc>
        <w:tc>
          <w:tcPr>
            <w:tcW w:w="151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挥发酚</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小时平均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未检出</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&lt;3-3</w:t>
            </w:r>
          </w:p>
        </w:tc>
        <w:tc>
          <w:tcPr>
            <w:tcW w:w="151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highlight w:val="none"/>
              </w:rPr>
              <w:t>苯并[a]芘</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小时平均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未检出</w:t>
            </w:r>
          </w:p>
        </w:tc>
        <w:tc>
          <w:tcPr>
            <w:tcW w:w="1512"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FF0000"/>
                <w:szCs w:val="21"/>
                <w:lang w:val="en-US" w:eastAsia="zh-CN"/>
              </w:rPr>
            </w:pPr>
            <w:r>
              <w:rPr>
                <w:rFonts w:ascii="Times New Roman" w:hAnsi="Times New Roman" w:eastAsia="宋体" w:cs="Times New Roman"/>
                <w:color w:val="FF0000"/>
                <w:szCs w:val="21"/>
              </w:rPr>
              <w:t>&lt;</w:t>
            </w:r>
            <w:r>
              <w:rPr>
                <w:rFonts w:hint="eastAsia" w:ascii="Times New Roman" w:hAnsi="Times New Roman" w:eastAsia="宋体" w:cs="Times New Roman"/>
                <w:color w:val="FF0000"/>
                <w:szCs w:val="21"/>
                <w:lang w:val="en-US" w:eastAsia="zh-CN"/>
              </w:rPr>
              <w:t>0.0003</w:t>
            </w:r>
          </w:p>
        </w:tc>
        <w:tc>
          <w:tcPr>
            <w:tcW w:w="1513" w:type="dxa"/>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非甲烷总烃</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小时平均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470-1140</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430-720</w:t>
            </w:r>
          </w:p>
        </w:tc>
        <w:tc>
          <w:tcPr>
            <w:tcW w:w="151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二噁英</w:t>
            </w:r>
          </w:p>
        </w:tc>
        <w:tc>
          <w:tcPr>
            <w:tcW w:w="15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日平均</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0.08-0.096</w:t>
            </w:r>
          </w:p>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cs="Times New Roman"/>
                <w:color w:val="FF0000"/>
              </w:rPr>
              <w:t>pgTEQ/m</w:t>
            </w:r>
            <w:r>
              <w:rPr>
                <w:rFonts w:ascii="Times New Roman" w:hAnsi="Times New Roman" w:cs="Times New Roman"/>
                <w:color w:val="FF0000"/>
                <w:vertAlign w:val="superscript"/>
              </w:rPr>
              <w:t>3</w:t>
            </w:r>
          </w:p>
        </w:tc>
        <w:tc>
          <w:tcPr>
            <w:tcW w:w="151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0.02-</w:t>
            </w:r>
            <w:r>
              <w:rPr>
                <w:rFonts w:hint="eastAsia" w:ascii="Times New Roman" w:hAnsi="Times New Roman" w:eastAsia="宋体" w:cs="Times New Roman"/>
                <w:color w:val="FF0000"/>
                <w:szCs w:val="21"/>
              </w:rPr>
              <w:t>0.10</w:t>
            </w:r>
          </w:p>
          <w:p>
            <w:pPr>
              <w:keepNext w:val="0"/>
              <w:keepLines w:val="0"/>
              <w:pageBreakBefore w:val="0"/>
              <w:kinsoku/>
              <w:wordWrap/>
              <w:bidi w:val="0"/>
              <w:snapToGrid/>
              <w:jc w:val="center"/>
              <w:rPr>
                <w:rFonts w:ascii="Times New Roman" w:hAnsi="Times New Roman" w:eastAsia="宋体" w:cs="Times New Roman"/>
                <w:color w:val="FF0000"/>
                <w:szCs w:val="21"/>
              </w:rPr>
            </w:pPr>
            <w:r>
              <w:rPr>
                <w:rFonts w:ascii="Times New Roman" w:hAnsi="Times New Roman" w:cs="Times New Roman"/>
                <w:color w:val="FF0000"/>
              </w:rPr>
              <w:t>pgTEQ/m</w:t>
            </w:r>
            <w:r>
              <w:rPr>
                <w:rFonts w:ascii="Times New Roman" w:hAnsi="Times New Roman" w:cs="Times New Roman"/>
                <w:color w:val="FF0000"/>
                <w:vertAlign w:val="superscript"/>
              </w:rPr>
              <w:t>3</w:t>
            </w:r>
          </w:p>
        </w:tc>
        <w:tc>
          <w:tcPr>
            <w:tcW w:w="151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几乎不变</w:t>
            </w:r>
          </w:p>
        </w:tc>
      </w:tr>
    </w:tbl>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lang w:eastAsia="zh-CN"/>
        </w:rPr>
      </w:pPr>
      <w:r>
        <w:rPr>
          <w:rFonts w:hint="eastAsia" w:ascii="Times New Roman" w:hAnsi="Times New Roman" w:eastAsia="宋体" w:cs="Times New Roman"/>
          <w:bCs/>
          <w:color w:val="FF0000"/>
          <w:sz w:val="24"/>
          <w:szCs w:val="24"/>
          <w:lang w:eastAsia="zh-CN"/>
        </w:rPr>
        <w:t>由上表可知，</w:t>
      </w:r>
      <w:r>
        <w:rPr>
          <w:rFonts w:ascii="Times New Roman" w:hAnsi="Times New Roman" w:eastAsia="宋体" w:cs="Times New Roman"/>
          <w:bCs/>
          <w:color w:val="FF0000"/>
          <w:sz w:val="24"/>
          <w:szCs w:val="24"/>
        </w:rPr>
        <w:t>2016年至2019年</w:t>
      </w:r>
      <w:r>
        <w:rPr>
          <w:rFonts w:hint="eastAsia" w:ascii="Times New Roman" w:hAnsi="Times New Roman" w:eastAsia="宋体" w:cs="Times New Roman"/>
          <w:bCs/>
          <w:color w:val="FF0000"/>
          <w:sz w:val="24"/>
          <w:szCs w:val="24"/>
          <w:lang w:eastAsia="zh-CN"/>
        </w:rPr>
        <w:t>协力村</w:t>
      </w:r>
      <w:r>
        <w:rPr>
          <w:rFonts w:ascii="Times New Roman" w:hAnsi="Times New Roman" w:eastAsia="宋体" w:cs="Times New Roman"/>
          <w:bCs/>
          <w:color w:val="FF0000"/>
          <w:sz w:val="24"/>
          <w:szCs w:val="24"/>
        </w:rPr>
        <w:t>TSP、硫化氢、氟化物、非甲烷总烃等指标的监测数据</w:t>
      </w:r>
      <w:r>
        <w:rPr>
          <w:rFonts w:hint="eastAsia" w:ascii="Times New Roman" w:hAnsi="Times New Roman" w:eastAsia="宋体" w:cs="Times New Roman"/>
          <w:bCs/>
          <w:color w:val="FF0000"/>
          <w:sz w:val="24"/>
          <w:szCs w:val="24"/>
          <w:lang w:eastAsia="zh-CN"/>
        </w:rPr>
        <w:t>明显变低，二甲苯、氨气、苯、挥发酚等指标的监测数据明显变高。</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lang w:val="en-US" w:eastAsia="zh-CN"/>
        </w:rPr>
      </w:pPr>
      <w:r>
        <w:rPr>
          <w:rFonts w:hint="eastAsia" w:ascii="Times New Roman" w:hAnsi="Times New Roman" w:eastAsia="宋体" w:cs="Times New Roman"/>
          <w:bCs/>
          <w:color w:val="FF0000"/>
          <w:sz w:val="24"/>
          <w:szCs w:val="24"/>
          <w:lang w:eastAsia="zh-CN"/>
        </w:rPr>
        <w:t>由于缺少区域环境空气质量整体趋势变化数据，本次评价建议企业可加强后期跟踪监测，用以反应企业的建设对周边环境空气质量影响趋势。</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5.3.2地表水质量现状调查与评价</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5.3.2.1地表水环境质量现状监测</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（1）监测因子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地表水监测因子包括水温、pH值、COD、BOD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、DO、SS、NH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-N、石油类、挥发酚、硫化物、氰化物、总磷、粪大肠菌群，共计13项。</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（2）监测点位</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现有厂区生产用水经各生产工序的水处理设施处理后大部分循环使用，少量排水排入全厂综合污水处理站；各车间生活设施产生的生活污水，经化粪池处理后进入全厂综合污水处理站，经统一处理后的水全部作为各生产用户的生产补充水使用，无生产废水、生活污水外排。因此在厂区周边水体--长江布置监测点位，监测地表水环境质量背景值。监测断面设置情况见表5.3-</w:t>
      </w:r>
      <w:r>
        <w:rPr>
          <w:rFonts w:hint="eastAsia" w:ascii="Times New Roman" w:hAnsi="Times New Roman" w:eastAsia="宋体" w:cs="Times New Roman"/>
          <w:sz w:val="24"/>
          <w:szCs w:val="24"/>
          <w:lang w:val="en-US" w:eastAsia="zh-CN"/>
        </w:rPr>
        <w:t>9</w:t>
      </w:r>
      <w:r>
        <w:rPr>
          <w:rFonts w:ascii="Times New Roman" w:hAnsi="Times New Roman" w:eastAsia="宋体" w:cs="Times New Roman"/>
          <w:sz w:val="24"/>
          <w:szCs w:val="24"/>
        </w:rPr>
        <w:t>和图5.3-1。</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w:t>
      </w:r>
      <w:r>
        <w:rPr>
          <w:rFonts w:hint="eastAsia" w:ascii="Times New Roman" w:hAnsi="Times New Roman" w:eastAsia="黑体" w:cs="Times New Roman"/>
          <w:sz w:val="24"/>
          <w:lang w:val="en-US" w:eastAsia="zh-CN"/>
        </w:rPr>
        <w:t>9</w:t>
      </w:r>
      <w:r>
        <w:rPr>
          <w:rFonts w:ascii="Times New Roman" w:hAnsi="Times New Roman" w:eastAsia="黑体" w:cs="Times New Roman"/>
          <w:sz w:val="24"/>
        </w:rPr>
        <w:t xml:space="preserve">  地表水监测断面布设</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1056"/>
        <w:gridCol w:w="2330"/>
        <w:gridCol w:w="46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1021" w:type="dxa"/>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序号</w:t>
            </w:r>
          </w:p>
        </w:tc>
        <w:tc>
          <w:tcPr>
            <w:tcW w:w="1056" w:type="dxa"/>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河流</w:t>
            </w:r>
          </w:p>
        </w:tc>
        <w:tc>
          <w:tcPr>
            <w:tcW w:w="2330" w:type="dxa"/>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监测断面</w:t>
            </w:r>
          </w:p>
        </w:tc>
        <w:tc>
          <w:tcPr>
            <w:tcW w:w="4664" w:type="dxa"/>
            <w:vAlign w:val="center"/>
          </w:tcPr>
          <w:p>
            <w:pPr>
              <w:keepNext w:val="0"/>
              <w:keepLines w:val="0"/>
              <w:pageBreakBefore w:val="0"/>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99" w:hRule="atLeast"/>
          <w:jc w:val="center"/>
        </w:trPr>
        <w:tc>
          <w:tcPr>
            <w:tcW w:w="102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W1</w:t>
            </w:r>
          </w:p>
        </w:tc>
        <w:tc>
          <w:tcPr>
            <w:tcW w:w="1056"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长江</w:t>
            </w:r>
          </w:p>
        </w:tc>
        <w:tc>
          <w:tcPr>
            <w:tcW w:w="233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bCs/>
                <w:color w:val="000000"/>
                <w:szCs w:val="21"/>
              </w:rPr>
              <w:t>厂址南侧上游200m</w:t>
            </w:r>
          </w:p>
        </w:tc>
        <w:tc>
          <w:tcPr>
            <w:tcW w:w="4664" w:type="dxa"/>
            <w:vMerge w:val="restart"/>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水温、pH值、COD、BOD</w:t>
            </w:r>
            <w:r>
              <w:rPr>
                <w:rFonts w:ascii="Times New Roman" w:hAnsi="Times New Roman" w:eastAsia="宋体" w:cs="Times New Roman"/>
                <w:szCs w:val="21"/>
                <w:vertAlign w:val="subscript"/>
              </w:rPr>
              <w:t>5</w:t>
            </w:r>
            <w:r>
              <w:rPr>
                <w:rFonts w:ascii="Times New Roman" w:hAnsi="Times New Roman" w:eastAsia="宋体" w:cs="Times New Roman"/>
                <w:szCs w:val="21"/>
              </w:rPr>
              <w:t>、DO、SS、NH</w:t>
            </w:r>
            <w:r>
              <w:rPr>
                <w:rFonts w:ascii="Times New Roman" w:hAnsi="Times New Roman" w:eastAsia="宋体" w:cs="Times New Roman"/>
                <w:szCs w:val="21"/>
                <w:vertAlign w:val="subscript"/>
              </w:rPr>
              <w:t>3</w:t>
            </w:r>
            <w:r>
              <w:rPr>
                <w:rFonts w:ascii="Times New Roman" w:hAnsi="Times New Roman" w:eastAsia="宋体" w:cs="Times New Roman"/>
                <w:szCs w:val="21"/>
              </w:rPr>
              <w:t>-N、石油类、挥发酚、硫化物、氰化物、总磷、粪大肠菌群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102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W2</w:t>
            </w:r>
          </w:p>
        </w:tc>
        <w:tc>
          <w:tcPr>
            <w:tcW w:w="1056"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233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bCs/>
                <w:color w:val="000000"/>
                <w:szCs w:val="21"/>
              </w:rPr>
              <w:t>厂址北侧下游1000m</w:t>
            </w:r>
          </w:p>
        </w:tc>
        <w:tc>
          <w:tcPr>
            <w:tcW w:w="4664" w:type="dxa"/>
            <w:vMerge w:val="continue"/>
            <w:vAlign w:val="center"/>
          </w:tcPr>
          <w:p>
            <w:pPr>
              <w:keepNext w:val="0"/>
              <w:keepLines w:val="0"/>
              <w:pageBreakBefore w:val="0"/>
              <w:kinsoku/>
              <w:wordWrap/>
              <w:bidi w:val="0"/>
              <w:snapToGrid/>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jc w:val="center"/>
        </w:trPr>
        <w:tc>
          <w:tcPr>
            <w:tcW w:w="1021"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W3</w:t>
            </w:r>
          </w:p>
        </w:tc>
        <w:tc>
          <w:tcPr>
            <w:tcW w:w="1056"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233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bCs/>
                <w:color w:val="000000"/>
                <w:szCs w:val="21"/>
              </w:rPr>
              <w:t>厂址北侧下游3000m</w:t>
            </w:r>
          </w:p>
        </w:tc>
        <w:tc>
          <w:tcPr>
            <w:tcW w:w="4664" w:type="dxa"/>
            <w:vMerge w:val="continue"/>
            <w:vAlign w:val="center"/>
          </w:tcPr>
          <w:p>
            <w:pPr>
              <w:keepNext w:val="0"/>
              <w:keepLines w:val="0"/>
              <w:pageBreakBefore w:val="0"/>
              <w:kinsoku/>
              <w:wordWrap/>
              <w:bidi w:val="0"/>
              <w:snapToGrid/>
              <w:rPr>
                <w:rFonts w:ascii="Times New Roman" w:hAnsi="Times New Roman" w:eastAsia="宋体" w:cs="Times New Roman"/>
                <w:szCs w:val="21"/>
              </w:rPr>
            </w:pP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（3）监测时间及频率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2019年4月11日至13日，连续监测3天，每天监测2次。</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（4）监测方法</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采样方法按《环境监测技术规范》（废水部分）执行，分析方法按《地表水环境质量标准》（GB3838-2002）中有关规定执行。</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（5）监测结果</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bCs/>
          <w:sz w:val="24"/>
          <w:szCs w:val="24"/>
        </w:rPr>
        <w:t>监测期间地表水环境质量见表5.3-1</w:t>
      </w:r>
      <w:r>
        <w:rPr>
          <w:rFonts w:hint="eastAsia" w:ascii="Times New Roman" w:hAnsi="Times New Roman" w:eastAsia="宋体" w:cs="Times New Roman"/>
          <w:bCs/>
          <w:sz w:val="24"/>
          <w:szCs w:val="24"/>
          <w:lang w:val="en-US" w:eastAsia="zh-CN"/>
        </w:rPr>
        <w:t>0</w:t>
      </w:r>
      <w:r>
        <w:rPr>
          <w:rFonts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表5.3-1</w:t>
      </w:r>
      <w:r>
        <w:rPr>
          <w:rFonts w:hint="eastAsia" w:ascii="Times New Roman" w:hAnsi="Times New Roman" w:eastAsia="黑体" w:cs="Times New Roman"/>
          <w:sz w:val="24"/>
          <w:lang w:val="en-US" w:eastAsia="zh-CN"/>
        </w:rPr>
        <w:t>0</w:t>
      </w:r>
      <w:r>
        <w:rPr>
          <w:rFonts w:ascii="Times New Roman" w:hAnsi="Times New Roman" w:eastAsia="黑体" w:cs="Times New Roman"/>
          <w:sz w:val="24"/>
        </w:rPr>
        <w:t xml:space="preserve">  地表水水质监测结果一览表-1（单位：mg/L，pH无量纲，粪大肠菌群：MPN/100mL）</w:t>
      </w:r>
    </w:p>
    <w:tbl>
      <w:tblPr>
        <w:tblStyle w:val="21"/>
        <w:tblW w:w="14564"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1248"/>
        <w:gridCol w:w="1443"/>
        <w:gridCol w:w="1137"/>
        <w:gridCol w:w="1842"/>
        <w:gridCol w:w="1271"/>
        <w:gridCol w:w="1271"/>
        <w:gridCol w:w="1271"/>
        <w:gridCol w:w="1271"/>
        <w:gridCol w:w="1270"/>
        <w:gridCol w:w="1270"/>
        <w:gridCol w:w="1270"/>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采样日期</w:t>
            </w:r>
          </w:p>
        </w:tc>
        <w:tc>
          <w:tcPr>
            <w:tcW w:w="1443"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检测点位</w:t>
            </w:r>
          </w:p>
        </w:tc>
        <w:tc>
          <w:tcPr>
            <w:tcW w:w="1137"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检测频次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样品性状</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pH</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水温</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溶解氧</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氨氮</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化学需氧量</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粪大肠菌群</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restart"/>
            <w:tcBorders>
              <w:tl2br w:val="nil"/>
              <w:tr2bl w:val="nil"/>
            </w:tcBorders>
            <w:vAlign w:val="center"/>
          </w:tcPr>
          <w:p>
            <w:pPr>
              <w:keepNext w:val="0"/>
              <w:keepLines w:val="0"/>
              <w:pageBreakBefore w:val="0"/>
              <w:kinsoku/>
              <w:wordWrap/>
              <w:autoSpaceDE w:val="0"/>
              <w:autoSpaceDN w:val="0"/>
              <w:bidi w:val="0"/>
              <w:adjustRightInd w:val="0"/>
              <w:snapToGrid/>
              <w:jc w:val="center"/>
              <w:textAlignment w:val="baseline"/>
              <w:rPr>
                <w:rFonts w:ascii="Times New Roman" w:hAnsi="Times New Roman" w:eastAsia="宋体" w:cs="Times New Roman"/>
                <w:szCs w:val="21"/>
              </w:rPr>
            </w:pPr>
            <w:r>
              <w:rPr>
                <w:rFonts w:ascii="Times New Roman" w:hAnsi="Times New Roman" w:eastAsia="宋体" w:cs="Times New Roman"/>
                <w:szCs w:val="21"/>
              </w:rPr>
              <w:t>2019.04.11</w:t>
            </w:r>
          </w:p>
        </w:tc>
        <w:tc>
          <w:tcPr>
            <w:tcW w:w="1443"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厂址南侧上游200m</w:t>
            </w: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7.6</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9.8</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7.1</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0.074</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16.7</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2.7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63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jc w:val="center"/>
              <w:textAlignment w:val="baseline"/>
              <w:rPr>
                <w:rFonts w:ascii="Times New Roman" w:hAnsi="Times New Roman" w:eastAsia="宋体" w:cs="Times New Roman"/>
                <w:szCs w:val="21"/>
              </w:rPr>
            </w:pPr>
          </w:p>
        </w:tc>
        <w:tc>
          <w:tcPr>
            <w:tcW w:w="1443"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7.5</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10.1</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7.2</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0.068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27.3</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4.4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厂址北侧下游1000m</w:t>
            </w: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7.7</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9.7</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7.0</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0.048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32.3</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5.5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43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7.8</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10.2</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7.2</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0.068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29.2</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5.0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49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厂址北侧下游3000m</w:t>
            </w: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7.7</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9.8</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7.1</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0.055</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26.0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4.2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49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7.7</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10.3</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7.3</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0.056</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22.3</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3.6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33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restart"/>
            <w:tcBorders>
              <w:tl2br w:val="nil"/>
              <w:tr2bl w:val="nil"/>
            </w:tcBorders>
            <w:vAlign w:val="center"/>
          </w:tcPr>
          <w:p>
            <w:pPr>
              <w:keepNext w:val="0"/>
              <w:keepLines w:val="0"/>
              <w:pageBreakBefore w:val="0"/>
              <w:kinsoku/>
              <w:wordWrap/>
              <w:autoSpaceDE w:val="0"/>
              <w:autoSpaceDN w:val="0"/>
              <w:bidi w:val="0"/>
              <w:adjustRightInd w:val="0"/>
              <w:snapToGrid/>
              <w:jc w:val="center"/>
              <w:textAlignment w:val="baseline"/>
              <w:rPr>
                <w:rFonts w:ascii="Times New Roman" w:hAnsi="Times New Roman" w:eastAsia="宋体" w:cs="Times New Roman"/>
                <w:szCs w:val="21"/>
              </w:rPr>
            </w:pPr>
            <w:r>
              <w:rPr>
                <w:rFonts w:ascii="Times New Roman" w:hAnsi="Times New Roman" w:eastAsia="宋体" w:cs="Times New Roman"/>
                <w:szCs w:val="21"/>
              </w:rPr>
              <w:t>2019.04.12</w:t>
            </w:r>
          </w:p>
        </w:tc>
        <w:tc>
          <w:tcPr>
            <w:tcW w:w="1443"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厂址南侧上游200m</w:t>
            </w: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7.5</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11.5</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7.9</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0.060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17.9</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7.4</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12.1</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8.2</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0.056</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25.6</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63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厂址北侧下游1000m</w:t>
            </w: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7.6</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11.5</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7.9</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0.051</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31.7</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5.5</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7.6</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12.2</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8.3</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0.042</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34.8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5.9</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厂址北侧下游3000m</w:t>
            </w: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7.7</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11.2</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7.8</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0.065</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17.9</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33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7.8</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12.1</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8.2</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0.076</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14.8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2.4</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49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restart"/>
            <w:tcBorders>
              <w:tl2br w:val="nil"/>
              <w:tr2bl w:val="nil"/>
            </w:tcBorders>
            <w:vAlign w:val="center"/>
          </w:tcPr>
          <w:p>
            <w:pPr>
              <w:keepNext w:val="0"/>
              <w:keepLines w:val="0"/>
              <w:pageBreakBefore w:val="0"/>
              <w:kinsoku/>
              <w:wordWrap/>
              <w:autoSpaceDE w:val="0"/>
              <w:autoSpaceDN w:val="0"/>
              <w:bidi w:val="0"/>
              <w:adjustRightInd w:val="0"/>
              <w:snapToGrid/>
              <w:jc w:val="center"/>
              <w:textAlignment w:val="baseline"/>
              <w:rPr>
                <w:rFonts w:ascii="Times New Roman" w:hAnsi="Times New Roman" w:eastAsia="宋体" w:cs="Times New Roman"/>
                <w:szCs w:val="21"/>
              </w:rPr>
            </w:pPr>
            <w:r>
              <w:rPr>
                <w:rFonts w:ascii="Times New Roman" w:hAnsi="Times New Roman" w:eastAsia="宋体" w:cs="Times New Roman"/>
                <w:szCs w:val="21"/>
              </w:rPr>
              <w:t>2019.04.13</w:t>
            </w:r>
          </w:p>
        </w:tc>
        <w:tc>
          <w:tcPr>
            <w:tcW w:w="1443"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厂址南侧上游200m</w:t>
            </w: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7.4</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10.1</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7.2</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0.088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22.9</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3.6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94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7.5</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10.7</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7.6</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0.062</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28.6</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4.5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厂址北侧下游1000m</w:t>
            </w: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7.7</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10.1</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7.3</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0.062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31.1</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5.1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7.6</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11.2</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7.8</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0.074</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29.8</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5.3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厂址北侧下游3000m</w:t>
            </w: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7.8</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10.1</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7.3</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0.056</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25.4</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4.0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63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43"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7"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42"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7.8</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11.3</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7.9</w:t>
            </w:r>
          </w:p>
        </w:tc>
        <w:tc>
          <w:tcPr>
            <w:tcW w:w="1271"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0.042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21.7</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3.5 </w:t>
            </w:r>
          </w:p>
        </w:tc>
        <w:tc>
          <w:tcPr>
            <w:tcW w:w="127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70</w:t>
            </w:r>
          </w:p>
        </w:tc>
      </w:tr>
    </w:tbl>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表5.3-1</w:t>
      </w:r>
      <w:r>
        <w:rPr>
          <w:rFonts w:hint="eastAsia" w:ascii="Times New Roman" w:hAnsi="Times New Roman" w:eastAsia="黑体" w:cs="Times New Roman"/>
          <w:sz w:val="24"/>
          <w:lang w:val="en-US" w:eastAsia="zh-CN"/>
        </w:rPr>
        <w:t>1</w:t>
      </w:r>
      <w:r>
        <w:rPr>
          <w:rFonts w:ascii="Times New Roman" w:hAnsi="Times New Roman" w:eastAsia="黑体" w:cs="Times New Roman"/>
          <w:sz w:val="24"/>
        </w:rPr>
        <w:t xml:space="preserve">  地表水水质监测结果一览表-2（单位：mg/L，pH无量纲）</w:t>
      </w:r>
    </w:p>
    <w:tbl>
      <w:tblPr>
        <w:tblStyle w:val="21"/>
        <w:tblW w:w="14529" w:type="dxa"/>
        <w:jc w:val="center"/>
        <w:tblInd w:w="0" w:type="dxa"/>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1248"/>
        <w:gridCol w:w="1438"/>
        <w:gridCol w:w="1136"/>
        <w:gridCol w:w="1836"/>
        <w:gridCol w:w="1479"/>
        <w:gridCol w:w="1479"/>
        <w:gridCol w:w="1479"/>
        <w:gridCol w:w="1746"/>
        <w:gridCol w:w="1440"/>
        <w:gridCol w:w="1248"/>
      </w:tblGrid>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90" w:hRule="atLeast"/>
          <w:jc w:val="center"/>
        </w:trPr>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采样日期</w:t>
            </w:r>
          </w:p>
        </w:tc>
        <w:tc>
          <w:tcPr>
            <w:tcW w:w="143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检测点位</w:t>
            </w:r>
          </w:p>
        </w:tc>
        <w:tc>
          <w:tcPr>
            <w:tcW w:w="11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检测频次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样品性状</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悬浮物</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总磷</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石油类</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挥发酚</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硫化物</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氰化物</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restart"/>
            <w:tcBorders>
              <w:tl2br w:val="nil"/>
              <w:tr2bl w:val="nil"/>
            </w:tcBorders>
            <w:vAlign w:val="center"/>
          </w:tcPr>
          <w:p>
            <w:pPr>
              <w:keepNext w:val="0"/>
              <w:keepLines w:val="0"/>
              <w:pageBreakBefore w:val="0"/>
              <w:kinsoku/>
              <w:wordWrap/>
              <w:autoSpaceDE w:val="0"/>
              <w:autoSpaceDN w:val="0"/>
              <w:bidi w:val="0"/>
              <w:adjustRightInd w:val="0"/>
              <w:snapToGrid/>
              <w:jc w:val="center"/>
              <w:textAlignment w:val="baseline"/>
              <w:rPr>
                <w:rFonts w:ascii="Times New Roman" w:hAnsi="Times New Roman" w:eastAsia="宋体" w:cs="Times New Roman"/>
                <w:szCs w:val="21"/>
              </w:rPr>
            </w:pPr>
            <w:r>
              <w:rPr>
                <w:rFonts w:ascii="Times New Roman" w:hAnsi="Times New Roman" w:eastAsia="宋体" w:cs="Times New Roman"/>
                <w:szCs w:val="21"/>
              </w:rPr>
              <w:t>2019.04.11</w:t>
            </w:r>
          </w:p>
        </w:tc>
        <w:tc>
          <w:tcPr>
            <w:tcW w:w="143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厂址南侧上游200m</w:t>
            </w: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14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0.06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jc w:val="center"/>
              <w:textAlignment w:val="baseline"/>
              <w:rPr>
                <w:rFonts w:ascii="Times New Roman" w:hAnsi="Times New Roman" w:eastAsia="宋体" w:cs="Times New Roman"/>
                <w:szCs w:val="21"/>
              </w:rPr>
            </w:pPr>
          </w:p>
        </w:tc>
        <w:tc>
          <w:tcPr>
            <w:tcW w:w="143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11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0.06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厂址北侧下游1000m</w:t>
            </w: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23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0.07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26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0.06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厂址北侧下游3000m</w:t>
            </w: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34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0.06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35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0.06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restart"/>
            <w:tcBorders>
              <w:tl2br w:val="nil"/>
              <w:tr2bl w:val="nil"/>
            </w:tcBorders>
            <w:vAlign w:val="center"/>
          </w:tcPr>
          <w:p>
            <w:pPr>
              <w:keepNext w:val="0"/>
              <w:keepLines w:val="0"/>
              <w:pageBreakBefore w:val="0"/>
              <w:kinsoku/>
              <w:wordWrap/>
              <w:autoSpaceDE w:val="0"/>
              <w:autoSpaceDN w:val="0"/>
              <w:bidi w:val="0"/>
              <w:adjustRightInd w:val="0"/>
              <w:snapToGrid/>
              <w:jc w:val="center"/>
              <w:textAlignment w:val="baseline"/>
              <w:rPr>
                <w:rFonts w:ascii="Times New Roman" w:hAnsi="Times New Roman" w:eastAsia="宋体" w:cs="Times New Roman"/>
                <w:szCs w:val="21"/>
              </w:rPr>
            </w:pPr>
            <w:r>
              <w:rPr>
                <w:rFonts w:ascii="Times New Roman" w:hAnsi="Times New Roman" w:eastAsia="宋体" w:cs="Times New Roman"/>
                <w:szCs w:val="21"/>
              </w:rPr>
              <w:t>2019.04.12</w:t>
            </w:r>
          </w:p>
        </w:tc>
        <w:tc>
          <w:tcPr>
            <w:tcW w:w="143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厂址南侧上游200m</w:t>
            </w: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21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0.07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24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0.08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厂址北侧下游1000m</w:t>
            </w: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24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0.08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20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0.08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厂址北侧下游3000m</w:t>
            </w: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30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0.07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33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0.06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restart"/>
            <w:tcBorders>
              <w:tl2br w:val="nil"/>
              <w:tr2bl w:val="nil"/>
            </w:tcBorders>
            <w:vAlign w:val="center"/>
          </w:tcPr>
          <w:p>
            <w:pPr>
              <w:keepNext w:val="0"/>
              <w:keepLines w:val="0"/>
              <w:pageBreakBefore w:val="0"/>
              <w:kinsoku/>
              <w:wordWrap/>
              <w:autoSpaceDE w:val="0"/>
              <w:autoSpaceDN w:val="0"/>
              <w:bidi w:val="0"/>
              <w:adjustRightInd w:val="0"/>
              <w:snapToGrid/>
              <w:jc w:val="center"/>
              <w:textAlignment w:val="baseline"/>
              <w:rPr>
                <w:rFonts w:ascii="Times New Roman" w:hAnsi="Times New Roman" w:eastAsia="宋体" w:cs="Times New Roman"/>
                <w:szCs w:val="21"/>
              </w:rPr>
            </w:pPr>
            <w:r>
              <w:rPr>
                <w:rFonts w:ascii="Times New Roman" w:hAnsi="Times New Roman" w:eastAsia="宋体" w:cs="Times New Roman"/>
                <w:szCs w:val="21"/>
              </w:rPr>
              <w:t>2019.04.13</w:t>
            </w:r>
          </w:p>
        </w:tc>
        <w:tc>
          <w:tcPr>
            <w:tcW w:w="143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厂址南侧上游200m</w:t>
            </w: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17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0.06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14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0.07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厂址北侧下游1000m</w:t>
            </w: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19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0.07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23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0.08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厂址北侧下游3000m</w:t>
            </w: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第一次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31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0.07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r>
        <w:tblPrEx>
          <w:tblBorders>
            <w:top w:val="single" w:color="auto" w:sz="18" w:space="0"/>
            <w:left w:val="none" w:color="auto" w:sz="0" w:space="0"/>
            <w:bottom w:val="single" w:color="auto" w:sz="18"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48" w:type="dxa"/>
            <w:vMerge w:val="continue"/>
            <w:tcBorders>
              <w:tl2br w:val="nil"/>
              <w:tr2bl w:val="nil"/>
            </w:tcBorders>
            <w:vAlign w:val="center"/>
          </w:tcPr>
          <w:p>
            <w:pPr>
              <w:keepNext w:val="0"/>
              <w:keepLines w:val="0"/>
              <w:pageBreakBefore w:val="0"/>
              <w:kinsoku/>
              <w:wordWrap/>
              <w:autoSpaceDE w:val="0"/>
              <w:autoSpaceDN w:val="0"/>
              <w:bidi w:val="0"/>
              <w:adjustRightInd w:val="0"/>
              <w:snapToGrid/>
              <w:textAlignment w:val="baseline"/>
              <w:rPr>
                <w:rFonts w:ascii="Times New Roman" w:hAnsi="Times New Roman" w:eastAsia="宋体" w:cs="Times New Roman"/>
                <w:color w:val="FF0000"/>
                <w:szCs w:val="21"/>
              </w:rPr>
            </w:pPr>
          </w:p>
        </w:tc>
        <w:tc>
          <w:tcPr>
            <w:tcW w:w="143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Cs/>
                <w:szCs w:val="21"/>
              </w:rPr>
            </w:pPr>
          </w:p>
        </w:tc>
        <w:tc>
          <w:tcPr>
            <w:tcW w:w="1136" w:type="dxa"/>
            <w:tcBorders>
              <w:tl2br w:val="nil"/>
              <w:tr2bl w:val="nil"/>
            </w:tcBorders>
            <w:vAlign w:val="center"/>
          </w:tcPr>
          <w:p>
            <w:pPr>
              <w:pStyle w:val="8"/>
              <w:keepNext w:val="0"/>
              <w:keepLines w:val="0"/>
              <w:pageBreakBefore w:val="0"/>
              <w:kinsoku/>
              <w:wordWrap/>
              <w:bidi w:val="0"/>
              <w:adjustRightInd w:val="0"/>
              <w:snapToGrid/>
              <w:ind w:firstLine="0" w:firstLineChars="0"/>
              <w:jc w:val="center"/>
              <w:rPr>
                <w:rFonts w:ascii="Times New Roman" w:hAnsi="Times New Roman" w:eastAsia="宋体" w:cs="Times New Roman"/>
                <w:szCs w:val="21"/>
              </w:rPr>
            </w:pPr>
            <w:r>
              <w:rPr>
                <w:rFonts w:ascii="Times New Roman" w:hAnsi="Times New Roman" w:eastAsia="宋体" w:cs="Times New Roman"/>
                <w:szCs w:val="21"/>
              </w:rPr>
              <w:t>第二次</w:t>
            </w:r>
          </w:p>
        </w:tc>
        <w:tc>
          <w:tcPr>
            <w:tcW w:w="183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无色、无味、微浊</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 xml:space="preserve">34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 xml:space="preserve">0.07 </w:t>
            </w:r>
          </w:p>
        </w:tc>
        <w:tc>
          <w:tcPr>
            <w:tcW w:w="147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746"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440"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4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r>
    </w:tbl>
    <w:p>
      <w:pPr>
        <w:pStyle w:val="2"/>
        <w:keepNext w:val="0"/>
        <w:keepLines w:val="0"/>
        <w:pageBreakBefore w:val="0"/>
        <w:kinsoku/>
        <w:wordWrap/>
        <w:bidi w:val="0"/>
        <w:snapToGrid/>
        <w:rPr>
          <w:rFonts w:ascii="Times New Roman" w:hAnsi="Times New Roman" w:eastAsia="黑体" w:cs="Times New Roman"/>
          <w:sz w:val="24"/>
        </w:rPr>
      </w:pPr>
    </w:p>
    <w:p>
      <w:pPr>
        <w:pStyle w:val="2"/>
        <w:keepNext w:val="0"/>
        <w:keepLines w:val="0"/>
        <w:pageBreakBefore w:val="0"/>
        <w:kinsoku/>
        <w:wordWrap/>
        <w:bidi w:val="0"/>
        <w:snapToGrid/>
        <w:rPr>
          <w:rFonts w:ascii="Times New Roman" w:hAnsi="Times New Roman" w:eastAsia="黑体" w:cs="Times New Roman"/>
          <w:sz w:val="24"/>
        </w:rPr>
      </w:pPr>
    </w:p>
    <w:p>
      <w:pPr>
        <w:pStyle w:val="2"/>
        <w:keepNext w:val="0"/>
        <w:keepLines w:val="0"/>
        <w:pageBreakBefore w:val="0"/>
        <w:kinsoku/>
        <w:wordWrap/>
        <w:bidi w:val="0"/>
        <w:snapToGrid/>
        <w:rPr>
          <w:rFonts w:ascii="Times New Roman" w:hAnsi="Times New Roman" w:cs="Times New Roma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5.3.2.2地表水环境质量现状评价</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（1）评价标准</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bCs/>
          <w:sz w:val="24"/>
          <w:szCs w:val="24"/>
        </w:rPr>
        <w:t>芜湖新兴铸管有限责任公司现有厂区附近地表水体为长江芜湖段，执行《地表水环境质量标准》（GB3838-2002）III类标准，SS参照执行《农田灌溉水质标准》（GB5084-2005）表1“旱作”标准</w:t>
      </w:r>
      <w:r>
        <w:rPr>
          <w:rFonts w:ascii="Times New Roman" w:hAnsi="Times New Roman" w:eastAsia="宋体" w:cs="Times New Roman"/>
          <w:sz w:val="24"/>
          <w:szCs w:val="24"/>
        </w:rPr>
        <w:t>。具体标准值见表5.3-1</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表5.3-1</w:t>
      </w:r>
      <w:r>
        <w:rPr>
          <w:rFonts w:hint="eastAsia" w:ascii="Times New Roman" w:hAnsi="Times New Roman" w:eastAsia="黑体" w:cs="Times New Roman"/>
          <w:sz w:val="24"/>
          <w:lang w:val="en-US" w:eastAsia="zh-CN"/>
        </w:rPr>
        <w:t>2</w:t>
      </w:r>
      <w:r>
        <w:rPr>
          <w:rFonts w:ascii="Times New Roman" w:hAnsi="Times New Roman" w:eastAsia="黑体" w:cs="Times New Roman"/>
          <w:sz w:val="24"/>
        </w:rPr>
        <w:t xml:space="preserve">  地表水环境质量标准（单位：mg/L，pH无量纲）</w:t>
      </w:r>
    </w:p>
    <w:tbl>
      <w:tblPr>
        <w:tblStyle w:val="21"/>
        <w:tblW w:w="907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2365"/>
        <w:gridCol w:w="2567"/>
        <w:gridCol w:w="1964"/>
        <w:gridCol w:w="217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20" w:hRule="atLeast"/>
          <w:tblHeader/>
          <w:jc w:val="center"/>
        </w:trPr>
        <w:tc>
          <w:tcPr>
            <w:tcW w:w="236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项目</w:t>
            </w:r>
          </w:p>
        </w:tc>
        <w:tc>
          <w:tcPr>
            <w:tcW w:w="2567"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III类标准</w:t>
            </w:r>
          </w:p>
        </w:tc>
        <w:tc>
          <w:tcPr>
            <w:tcW w:w="1964"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项目</w:t>
            </w:r>
          </w:p>
        </w:tc>
        <w:tc>
          <w:tcPr>
            <w:tcW w:w="217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III类标准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20" w:hRule="atLeast"/>
          <w:jc w:val="center"/>
        </w:trPr>
        <w:tc>
          <w:tcPr>
            <w:tcW w:w="2365" w:type="dxa"/>
            <w:tcBorders>
              <w:tl2br w:val="nil"/>
              <w:tr2bl w:val="nil"/>
            </w:tcBorders>
            <w:vAlign w:val="center"/>
          </w:tcPr>
          <w:p>
            <w:pPr>
              <w:pStyle w:val="41"/>
              <w:keepNext w:val="0"/>
              <w:keepLines w:val="0"/>
              <w:pageBreakBefore w:val="0"/>
              <w:kinsoku/>
              <w:wordWrap/>
              <w:bidi w:val="0"/>
              <w:snapToGrid/>
              <w:spacing w:line="240" w:lineRule="auto"/>
            </w:pPr>
            <w:r>
              <w:t>pH值</w:t>
            </w:r>
          </w:p>
        </w:tc>
        <w:tc>
          <w:tcPr>
            <w:tcW w:w="2567" w:type="dxa"/>
            <w:tcBorders>
              <w:tl2br w:val="nil"/>
              <w:tr2bl w:val="nil"/>
            </w:tcBorders>
            <w:vAlign w:val="center"/>
          </w:tcPr>
          <w:p>
            <w:pPr>
              <w:pStyle w:val="41"/>
              <w:keepNext w:val="0"/>
              <w:keepLines w:val="0"/>
              <w:pageBreakBefore w:val="0"/>
              <w:kinsoku/>
              <w:wordWrap/>
              <w:bidi w:val="0"/>
              <w:snapToGrid/>
              <w:spacing w:line="240" w:lineRule="auto"/>
            </w:pPr>
            <w:r>
              <w:t>6~9</w:t>
            </w:r>
          </w:p>
        </w:tc>
        <w:tc>
          <w:tcPr>
            <w:tcW w:w="1964" w:type="dxa"/>
            <w:tcBorders>
              <w:tl2br w:val="nil"/>
              <w:tr2bl w:val="nil"/>
            </w:tcBorders>
            <w:vAlign w:val="center"/>
          </w:tcPr>
          <w:p>
            <w:pPr>
              <w:pStyle w:val="41"/>
              <w:keepNext w:val="0"/>
              <w:keepLines w:val="0"/>
              <w:pageBreakBefore w:val="0"/>
              <w:kinsoku/>
              <w:wordWrap/>
              <w:bidi w:val="0"/>
              <w:snapToGrid/>
              <w:spacing w:line="240" w:lineRule="auto"/>
            </w:pPr>
            <w:r>
              <w:t>石油类</w:t>
            </w:r>
          </w:p>
        </w:tc>
        <w:tc>
          <w:tcPr>
            <w:tcW w:w="2175" w:type="dxa"/>
            <w:tcBorders>
              <w:tl2br w:val="nil"/>
              <w:tr2bl w:val="nil"/>
            </w:tcBorders>
            <w:vAlign w:val="center"/>
          </w:tcPr>
          <w:p>
            <w:pPr>
              <w:pStyle w:val="41"/>
              <w:keepNext w:val="0"/>
              <w:keepLines w:val="0"/>
              <w:pageBreakBefore w:val="0"/>
              <w:kinsoku/>
              <w:wordWrap/>
              <w:bidi w:val="0"/>
              <w:snapToGrid/>
              <w:spacing w:line="240" w:lineRule="auto"/>
            </w:pPr>
            <w: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20" w:hRule="atLeast"/>
          <w:jc w:val="center"/>
        </w:trPr>
        <w:tc>
          <w:tcPr>
            <w:tcW w:w="2365" w:type="dxa"/>
            <w:tcBorders>
              <w:tl2br w:val="nil"/>
              <w:tr2bl w:val="nil"/>
            </w:tcBorders>
            <w:vAlign w:val="center"/>
          </w:tcPr>
          <w:p>
            <w:pPr>
              <w:pStyle w:val="41"/>
              <w:keepNext w:val="0"/>
              <w:keepLines w:val="0"/>
              <w:pageBreakBefore w:val="0"/>
              <w:kinsoku/>
              <w:wordWrap/>
              <w:bidi w:val="0"/>
              <w:snapToGrid/>
              <w:spacing w:line="240" w:lineRule="auto"/>
            </w:pPr>
            <w:r>
              <w:t>COD</w:t>
            </w:r>
          </w:p>
        </w:tc>
        <w:tc>
          <w:tcPr>
            <w:tcW w:w="2567" w:type="dxa"/>
            <w:tcBorders>
              <w:tl2br w:val="nil"/>
              <w:tr2bl w:val="nil"/>
            </w:tcBorders>
            <w:vAlign w:val="center"/>
          </w:tcPr>
          <w:p>
            <w:pPr>
              <w:pStyle w:val="41"/>
              <w:keepNext w:val="0"/>
              <w:keepLines w:val="0"/>
              <w:pageBreakBefore w:val="0"/>
              <w:kinsoku/>
              <w:wordWrap/>
              <w:bidi w:val="0"/>
              <w:snapToGrid/>
              <w:spacing w:line="240" w:lineRule="auto"/>
            </w:pPr>
            <w:r>
              <w:t>≤20</w:t>
            </w:r>
          </w:p>
        </w:tc>
        <w:tc>
          <w:tcPr>
            <w:tcW w:w="1964" w:type="dxa"/>
            <w:tcBorders>
              <w:tl2br w:val="nil"/>
              <w:tr2bl w:val="nil"/>
            </w:tcBorders>
            <w:vAlign w:val="center"/>
          </w:tcPr>
          <w:p>
            <w:pPr>
              <w:pStyle w:val="41"/>
              <w:keepNext w:val="0"/>
              <w:keepLines w:val="0"/>
              <w:pageBreakBefore w:val="0"/>
              <w:kinsoku/>
              <w:wordWrap/>
              <w:bidi w:val="0"/>
              <w:snapToGrid/>
              <w:spacing w:line="240" w:lineRule="auto"/>
            </w:pPr>
            <w:r>
              <w:t>硫化物</w:t>
            </w:r>
          </w:p>
        </w:tc>
        <w:tc>
          <w:tcPr>
            <w:tcW w:w="2175" w:type="dxa"/>
            <w:tcBorders>
              <w:tl2br w:val="nil"/>
              <w:tr2bl w:val="nil"/>
            </w:tcBorders>
            <w:vAlign w:val="center"/>
          </w:tcPr>
          <w:p>
            <w:pPr>
              <w:pStyle w:val="41"/>
              <w:keepNext w:val="0"/>
              <w:keepLines w:val="0"/>
              <w:pageBreakBefore w:val="0"/>
              <w:kinsoku/>
              <w:wordWrap/>
              <w:bidi w:val="0"/>
              <w:snapToGrid/>
              <w:spacing w:line="240" w:lineRule="auto"/>
            </w:pPr>
            <w:r>
              <w:t>≤0.2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20" w:hRule="atLeast"/>
          <w:jc w:val="center"/>
        </w:trPr>
        <w:tc>
          <w:tcPr>
            <w:tcW w:w="2365" w:type="dxa"/>
            <w:tcBorders>
              <w:tl2br w:val="nil"/>
              <w:tr2bl w:val="nil"/>
            </w:tcBorders>
            <w:vAlign w:val="center"/>
          </w:tcPr>
          <w:p>
            <w:pPr>
              <w:pStyle w:val="41"/>
              <w:keepNext w:val="0"/>
              <w:keepLines w:val="0"/>
              <w:pageBreakBefore w:val="0"/>
              <w:kinsoku/>
              <w:wordWrap/>
              <w:bidi w:val="0"/>
              <w:snapToGrid/>
              <w:spacing w:line="240" w:lineRule="auto"/>
            </w:pPr>
            <w:r>
              <w:t>BOD</w:t>
            </w:r>
            <w:r>
              <w:rPr>
                <w:vertAlign w:val="subscript"/>
              </w:rPr>
              <w:t>5</w:t>
            </w:r>
          </w:p>
        </w:tc>
        <w:tc>
          <w:tcPr>
            <w:tcW w:w="2567" w:type="dxa"/>
            <w:tcBorders>
              <w:tl2br w:val="nil"/>
              <w:tr2bl w:val="nil"/>
            </w:tcBorders>
            <w:vAlign w:val="center"/>
          </w:tcPr>
          <w:p>
            <w:pPr>
              <w:pStyle w:val="41"/>
              <w:keepNext w:val="0"/>
              <w:keepLines w:val="0"/>
              <w:pageBreakBefore w:val="0"/>
              <w:kinsoku/>
              <w:wordWrap/>
              <w:bidi w:val="0"/>
              <w:snapToGrid/>
              <w:spacing w:line="240" w:lineRule="auto"/>
            </w:pPr>
            <w:r>
              <w:t>≤4</w:t>
            </w:r>
          </w:p>
        </w:tc>
        <w:tc>
          <w:tcPr>
            <w:tcW w:w="1964" w:type="dxa"/>
            <w:tcBorders>
              <w:tl2br w:val="nil"/>
              <w:tr2bl w:val="nil"/>
            </w:tcBorders>
            <w:vAlign w:val="center"/>
          </w:tcPr>
          <w:p>
            <w:pPr>
              <w:pStyle w:val="41"/>
              <w:keepNext w:val="0"/>
              <w:keepLines w:val="0"/>
              <w:pageBreakBefore w:val="0"/>
              <w:kinsoku/>
              <w:wordWrap/>
              <w:bidi w:val="0"/>
              <w:snapToGrid/>
              <w:spacing w:line="240" w:lineRule="auto"/>
            </w:pPr>
            <w:r>
              <w:t>氰化物</w:t>
            </w:r>
          </w:p>
        </w:tc>
        <w:tc>
          <w:tcPr>
            <w:tcW w:w="2175" w:type="dxa"/>
            <w:tcBorders>
              <w:tl2br w:val="nil"/>
              <w:tr2bl w:val="nil"/>
            </w:tcBorders>
            <w:vAlign w:val="center"/>
          </w:tcPr>
          <w:p>
            <w:pPr>
              <w:pStyle w:val="41"/>
              <w:keepNext w:val="0"/>
              <w:keepLines w:val="0"/>
              <w:pageBreakBefore w:val="0"/>
              <w:kinsoku/>
              <w:wordWrap/>
              <w:bidi w:val="0"/>
              <w:snapToGrid/>
              <w:spacing w:line="240" w:lineRule="auto"/>
            </w:pPr>
            <w:r>
              <w:t>≤0.2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20" w:hRule="atLeast"/>
          <w:jc w:val="center"/>
        </w:trPr>
        <w:tc>
          <w:tcPr>
            <w:tcW w:w="2365" w:type="dxa"/>
            <w:tcBorders>
              <w:tl2br w:val="nil"/>
              <w:tr2bl w:val="nil"/>
            </w:tcBorders>
            <w:vAlign w:val="center"/>
          </w:tcPr>
          <w:p>
            <w:pPr>
              <w:pStyle w:val="41"/>
              <w:keepNext w:val="0"/>
              <w:keepLines w:val="0"/>
              <w:pageBreakBefore w:val="0"/>
              <w:kinsoku/>
              <w:wordWrap/>
              <w:bidi w:val="0"/>
              <w:snapToGrid/>
              <w:spacing w:line="240" w:lineRule="auto"/>
            </w:pPr>
            <w:r>
              <w:t>DO</w:t>
            </w:r>
          </w:p>
        </w:tc>
        <w:tc>
          <w:tcPr>
            <w:tcW w:w="2567" w:type="dxa"/>
            <w:tcBorders>
              <w:tl2br w:val="nil"/>
              <w:tr2bl w:val="nil"/>
            </w:tcBorders>
            <w:vAlign w:val="center"/>
          </w:tcPr>
          <w:p>
            <w:pPr>
              <w:pStyle w:val="41"/>
              <w:keepNext w:val="0"/>
              <w:keepLines w:val="0"/>
              <w:pageBreakBefore w:val="0"/>
              <w:kinsoku/>
              <w:wordWrap/>
              <w:bidi w:val="0"/>
              <w:snapToGrid/>
              <w:spacing w:line="240" w:lineRule="auto"/>
            </w:pPr>
            <w:r>
              <w:t>≥5</w:t>
            </w:r>
          </w:p>
        </w:tc>
        <w:tc>
          <w:tcPr>
            <w:tcW w:w="1964" w:type="dxa"/>
            <w:tcBorders>
              <w:tl2br w:val="nil"/>
              <w:tr2bl w:val="nil"/>
            </w:tcBorders>
            <w:vAlign w:val="center"/>
          </w:tcPr>
          <w:p>
            <w:pPr>
              <w:pStyle w:val="41"/>
              <w:keepNext w:val="0"/>
              <w:keepLines w:val="0"/>
              <w:pageBreakBefore w:val="0"/>
              <w:kinsoku/>
              <w:wordWrap/>
              <w:bidi w:val="0"/>
              <w:snapToGrid/>
              <w:spacing w:line="240" w:lineRule="auto"/>
            </w:pPr>
            <w:r>
              <w:t>总磷</w:t>
            </w:r>
          </w:p>
        </w:tc>
        <w:tc>
          <w:tcPr>
            <w:tcW w:w="2175" w:type="dxa"/>
            <w:tcBorders>
              <w:tl2br w:val="nil"/>
              <w:tr2bl w:val="nil"/>
            </w:tcBorders>
            <w:vAlign w:val="center"/>
          </w:tcPr>
          <w:p>
            <w:pPr>
              <w:pStyle w:val="41"/>
              <w:keepNext w:val="0"/>
              <w:keepLines w:val="0"/>
              <w:pageBreakBefore w:val="0"/>
              <w:kinsoku/>
              <w:wordWrap/>
              <w:bidi w:val="0"/>
              <w:snapToGrid/>
              <w:spacing w:line="240" w:lineRule="auto"/>
            </w:pPr>
            <w:r>
              <w:t>≤0.2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20" w:hRule="atLeast"/>
          <w:jc w:val="center"/>
        </w:trPr>
        <w:tc>
          <w:tcPr>
            <w:tcW w:w="2365" w:type="dxa"/>
            <w:tcBorders>
              <w:tl2br w:val="nil"/>
              <w:tr2bl w:val="nil"/>
            </w:tcBorders>
            <w:vAlign w:val="center"/>
          </w:tcPr>
          <w:p>
            <w:pPr>
              <w:pStyle w:val="41"/>
              <w:keepNext w:val="0"/>
              <w:keepLines w:val="0"/>
              <w:pageBreakBefore w:val="0"/>
              <w:kinsoku/>
              <w:wordWrap/>
              <w:bidi w:val="0"/>
              <w:snapToGrid/>
              <w:spacing w:line="240" w:lineRule="auto"/>
            </w:pPr>
            <w:r>
              <w:t>SS</w:t>
            </w:r>
          </w:p>
        </w:tc>
        <w:tc>
          <w:tcPr>
            <w:tcW w:w="2567" w:type="dxa"/>
            <w:tcBorders>
              <w:tl2br w:val="nil"/>
              <w:tr2bl w:val="nil"/>
            </w:tcBorders>
            <w:vAlign w:val="center"/>
          </w:tcPr>
          <w:p>
            <w:pPr>
              <w:pStyle w:val="41"/>
              <w:keepNext w:val="0"/>
              <w:keepLines w:val="0"/>
              <w:pageBreakBefore w:val="0"/>
              <w:kinsoku/>
              <w:wordWrap/>
              <w:bidi w:val="0"/>
              <w:snapToGrid/>
              <w:spacing w:line="240" w:lineRule="auto"/>
            </w:pPr>
            <w:r>
              <w:t>≤100</w:t>
            </w:r>
          </w:p>
        </w:tc>
        <w:tc>
          <w:tcPr>
            <w:tcW w:w="1964" w:type="dxa"/>
            <w:tcBorders>
              <w:tl2br w:val="nil"/>
              <w:tr2bl w:val="nil"/>
            </w:tcBorders>
            <w:vAlign w:val="center"/>
          </w:tcPr>
          <w:p>
            <w:pPr>
              <w:pStyle w:val="41"/>
              <w:keepNext w:val="0"/>
              <w:keepLines w:val="0"/>
              <w:pageBreakBefore w:val="0"/>
              <w:kinsoku/>
              <w:wordWrap/>
              <w:bidi w:val="0"/>
              <w:snapToGrid/>
              <w:spacing w:line="240" w:lineRule="auto"/>
            </w:pPr>
            <w:r>
              <w:t>粪大肠菌群</w:t>
            </w:r>
          </w:p>
        </w:tc>
        <w:tc>
          <w:tcPr>
            <w:tcW w:w="2175" w:type="dxa"/>
            <w:tcBorders>
              <w:tl2br w:val="nil"/>
              <w:tr2bl w:val="nil"/>
            </w:tcBorders>
            <w:vAlign w:val="center"/>
          </w:tcPr>
          <w:p>
            <w:pPr>
              <w:pStyle w:val="41"/>
              <w:keepNext w:val="0"/>
              <w:keepLines w:val="0"/>
              <w:pageBreakBefore w:val="0"/>
              <w:kinsoku/>
              <w:wordWrap/>
              <w:bidi w:val="0"/>
              <w:snapToGrid/>
              <w:spacing w:line="240" w:lineRule="auto"/>
            </w:pPr>
            <w:r>
              <w:t>≤10000个/L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20" w:hRule="atLeast"/>
          <w:jc w:val="center"/>
        </w:trPr>
        <w:tc>
          <w:tcPr>
            <w:tcW w:w="2365" w:type="dxa"/>
            <w:tcBorders>
              <w:tl2br w:val="nil"/>
              <w:tr2bl w:val="nil"/>
            </w:tcBorders>
            <w:vAlign w:val="center"/>
          </w:tcPr>
          <w:p>
            <w:pPr>
              <w:pStyle w:val="41"/>
              <w:keepNext w:val="0"/>
              <w:keepLines w:val="0"/>
              <w:pageBreakBefore w:val="0"/>
              <w:kinsoku/>
              <w:wordWrap/>
              <w:bidi w:val="0"/>
              <w:snapToGrid/>
              <w:spacing w:line="240" w:lineRule="auto"/>
            </w:pPr>
            <w:r>
              <w:t>NH</w:t>
            </w:r>
            <w:r>
              <w:rPr>
                <w:vertAlign w:val="subscript"/>
              </w:rPr>
              <w:t>3</w:t>
            </w:r>
            <w:r>
              <w:t>-N</w:t>
            </w:r>
          </w:p>
        </w:tc>
        <w:tc>
          <w:tcPr>
            <w:tcW w:w="2567" w:type="dxa"/>
            <w:tcBorders>
              <w:tl2br w:val="nil"/>
              <w:tr2bl w:val="nil"/>
            </w:tcBorders>
            <w:vAlign w:val="center"/>
          </w:tcPr>
          <w:p>
            <w:pPr>
              <w:pStyle w:val="41"/>
              <w:keepNext w:val="0"/>
              <w:keepLines w:val="0"/>
              <w:pageBreakBefore w:val="0"/>
              <w:kinsoku/>
              <w:wordWrap/>
              <w:bidi w:val="0"/>
              <w:snapToGrid/>
              <w:spacing w:line="240" w:lineRule="auto"/>
            </w:pPr>
            <w:r>
              <w:t>≤1.0</w:t>
            </w:r>
          </w:p>
        </w:tc>
        <w:tc>
          <w:tcPr>
            <w:tcW w:w="1964" w:type="dxa"/>
            <w:tcBorders>
              <w:tl2br w:val="nil"/>
              <w:tr2bl w:val="nil"/>
            </w:tcBorders>
            <w:vAlign w:val="center"/>
          </w:tcPr>
          <w:p>
            <w:pPr>
              <w:pStyle w:val="41"/>
              <w:keepNext w:val="0"/>
              <w:keepLines w:val="0"/>
              <w:pageBreakBefore w:val="0"/>
              <w:kinsoku/>
              <w:wordWrap/>
              <w:bidi w:val="0"/>
              <w:snapToGrid/>
              <w:spacing w:line="240" w:lineRule="auto"/>
            </w:pPr>
            <w:r>
              <w:t>挥发酚</w:t>
            </w:r>
          </w:p>
        </w:tc>
        <w:tc>
          <w:tcPr>
            <w:tcW w:w="2175" w:type="dxa"/>
            <w:tcBorders>
              <w:tl2br w:val="nil"/>
              <w:tr2bl w:val="nil"/>
            </w:tcBorders>
            <w:vAlign w:val="center"/>
          </w:tcPr>
          <w:p>
            <w:pPr>
              <w:pStyle w:val="41"/>
              <w:keepNext w:val="0"/>
              <w:keepLines w:val="0"/>
              <w:pageBreakBefore w:val="0"/>
              <w:kinsoku/>
              <w:wordWrap/>
              <w:bidi w:val="0"/>
              <w:snapToGrid/>
              <w:spacing w:line="240" w:lineRule="auto"/>
            </w:pPr>
            <w:r>
              <w:t>≤0.005</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（2）评价方法</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采用单项污染指数法进行评价，其计算公式如下：</w:t>
      </w:r>
    </w:p>
    <w:p>
      <w:pPr>
        <w:keepNext w:val="0"/>
        <w:keepLines w:val="0"/>
        <w:pageBreakBefore w:val="0"/>
        <w:kinsoku/>
        <w:wordWrap/>
        <w:bidi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63245" cy="446405"/>
            <wp:effectExtent l="0" t="0" r="8255" b="11430"/>
            <wp:docPr id="112" name="图片 112" descr="C:\Users\ADMINI~1\AppData\Local\Temp\ksohtml\wps913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Users\ADMINI~1\AppData\Local\Temp\ksohtml\wps913A.tmp.png"/>
                    <pic:cNvPicPr>
                      <a:picLocks noChangeAspect="1" noChangeArrowheads="1"/>
                    </pic:cNvPicPr>
                  </pic:nvPicPr>
                  <pic:blipFill>
                    <a:blip r:embed="rId64" cstate="print"/>
                    <a:srcRect/>
                    <a:stretch>
                      <a:fillRect/>
                    </a:stretch>
                  </pic:blipFill>
                  <pic:spPr>
                    <a:xfrm>
                      <a:off x="0" y="0"/>
                      <a:ext cx="563245" cy="446405"/>
                    </a:xfrm>
                    <a:prstGeom prst="rect">
                      <a:avLst/>
                    </a:prstGeom>
                    <a:noFill/>
                    <a:ln w="9525">
                      <a:noFill/>
                      <a:miter lim="800000"/>
                      <a:headEnd/>
                      <a:tailEnd/>
                    </a:ln>
                  </pic:spPr>
                </pic:pic>
              </a:graphicData>
            </a:graphic>
          </wp:inline>
        </w:drawing>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式中：S</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——i种污染物分指数；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C</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——i种污染物实测值(mg/L)；</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C</w:t>
      </w:r>
      <w:r>
        <w:rPr>
          <w:rFonts w:ascii="Times New Roman" w:hAnsi="Times New Roman" w:eastAsia="宋体" w:cs="Times New Roman"/>
          <w:sz w:val="24"/>
          <w:szCs w:val="24"/>
          <w:vertAlign w:val="subscript"/>
        </w:rPr>
        <w:t>Si</w:t>
      </w:r>
      <w:r>
        <w:rPr>
          <w:rFonts w:ascii="Times New Roman" w:hAnsi="Times New Roman" w:eastAsia="宋体" w:cs="Times New Roman"/>
          <w:sz w:val="24"/>
          <w:szCs w:val="24"/>
        </w:rPr>
        <w:t>——i种污染物评价标准值(mg/L)；</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pH污染物指数为：</w:t>
      </w:r>
    </w:p>
    <w:p>
      <w:pPr>
        <w:keepNext w:val="0"/>
        <w:keepLines w:val="0"/>
        <w:pageBreakBefore w:val="0"/>
        <w:kinsoku/>
        <w:wordWrap/>
        <w:bidi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573530" cy="478155"/>
            <wp:effectExtent l="0" t="0" r="0" b="17145"/>
            <wp:docPr id="113" name="图片 113" descr="C:\Users\ADMINI~1\AppData\Local\Temp\ksohtml\wps914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Users\ADMINI~1\AppData\Local\Temp\ksohtml\wps914B.tmp.png"/>
                    <pic:cNvPicPr>
                      <a:picLocks noChangeAspect="1" noChangeArrowheads="1"/>
                    </pic:cNvPicPr>
                  </pic:nvPicPr>
                  <pic:blipFill>
                    <a:blip r:embed="rId65" cstate="print"/>
                    <a:srcRect/>
                    <a:stretch>
                      <a:fillRect/>
                    </a:stretch>
                  </pic:blipFill>
                  <pic:spPr>
                    <a:xfrm>
                      <a:off x="0" y="0"/>
                      <a:ext cx="1573530" cy="478155"/>
                    </a:xfrm>
                    <a:prstGeom prst="rect">
                      <a:avLst/>
                    </a:prstGeom>
                    <a:noFill/>
                    <a:ln w="9525">
                      <a:noFill/>
                      <a:miter lim="800000"/>
                      <a:headEnd/>
                      <a:tailEnd/>
                    </a:ln>
                  </pic:spPr>
                </pic:pic>
              </a:graphicData>
            </a:graphic>
          </wp:inline>
        </w:drawing>
      </w:r>
      <w:r>
        <w:rPr>
          <w:rFonts w:ascii="Times New Roman" w:hAnsi="Times New Roman" w:eastAsia="宋体" w:cs="Times New Roman"/>
          <w:sz w:val="24"/>
          <w:szCs w:val="24"/>
        </w:rPr>
        <w:t xml:space="preserve">    pH</w:t>
      </w:r>
      <w:r>
        <w:rPr>
          <w:rFonts w:ascii="Times New Roman" w:hAnsi="Times New Roman" w:eastAsia="宋体" w:cs="Times New Roman"/>
          <w:sz w:val="24"/>
          <w:szCs w:val="24"/>
          <w:vertAlign w:val="subscript"/>
        </w:rPr>
        <w:t>j</w:t>
      </w:r>
      <w:r>
        <w:rPr>
          <w:rFonts w:ascii="Times New Roman" w:hAnsi="Times New Roman" w:eastAsia="宋体" w:cs="Times New Roman"/>
          <w:sz w:val="24"/>
          <w:szCs w:val="24"/>
        </w:rPr>
        <w:t>≤7.0</w:t>
      </w:r>
    </w:p>
    <w:p>
      <w:pPr>
        <w:keepNext w:val="0"/>
        <w:keepLines w:val="0"/>
        <w:pageBreakBefore w:val="0"/>
        <w:kinsoku/>
        <w:wordWrap/>
        <w:bidi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445895" cy="478155"/>
            <wp:effectExtent l="0" t="0" r="1905" b="17145"/>
            <wp:docPr id="114" name="图片 114" descr="C:\Users\ADMINI~1\AppData\Local\Temp\ksohtml\wps914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C:\Users\ADMINI~1\AppData\Local\Temp\ksohtml\wps914C.tmp.png"/>
                    <pic:cNvPicPr>
                      <a:picLocks noChangeAspect="1" noChangeArrowheads="1"/>
                    </pic:cNvPicPr>
                  </pic:nvPicPr>
                  <pic:blipFill>
                    <a:blip r:embed="rId66" cstate="print"/>
                    <a:srcRect/>
                    <a:stretch>
                      <a:fillRect/>
                    </a:stretch>
                  </pic:blipFill>
                  <pic:spPr>
                    <a:xfrm>
                      <a:off x="0" y="0"/>
                      <a:ext cx="1445895" cy="478155"/>
                    </a:xfrm>
                    <a:prstGeom prst="rect">
                      <a:avLst/>
                    </a:prstGeom>
                    <a:noFill/>
                    <a:ln w="9525">
                      <a:noFill/>
                      <a:miter lim="800000"/>
                      <a:headEnd/>
                      <a:tailEnd/>
                    </a:ln>
                  </pic:spPr>
                </pic:pic>
              </a:graphicData>
            </a:graphic>
          </wp:inline>
        </w:drawing>
      </w:r>
      <w:r>
        <w:rPr>
          <w:rFonts w:ascii="Times New Roman" w:hAnsi="Times New Roman" w:eastAsia="宋体" w:cs="Times New Roman"/>
          <w:sz w:val="24"/>
          <w:szCs w:val="24"/>
        </w:rPr>
        <w:t xml:space="preserve">    pH</w:t>
      </w:r>
      <w:r>
        <w:rPr>
          <w:rFonts w:ascii="Times New Roman" w:hAnsi="Times New Roman" w:eastAsia="宋体" w:cs="Times New Roman"/>
          <w:sz w:val="24"/>
          <w:szCs w:val="24"/>
          <w:vertAlign w:val="subscript"/>
        </w:rPr>
        <w:t>j</w:t>
      </w:r>
      <w:r>
        <w:rPr>
          <w:rFonts w:ascii="Times New Roman" w:hAnsi="Times New Roman" w:eastAsia="宋体" w:cs="Times New Roman"/>
          <w:sz w:val="24"/>
          <w:szCs w:val="24"/>
        </w:rPr>
        <w:t>＞7.0</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式中：S</w:t>
      </w:r>
      <w:r>
        <w:rPr>
          <w:rFonts w:ascii="Times New Roman" w:hAnsi="Times New Roman" w:eastAsia="宋体" w:cs="Times New Roman"/>
          <w:sz w:val="24"/>
          <w:szCs w:val="24"/>
          <w:vertAlign w:val="subscript"/>
        </w:rPr>
        <w:t>pH,j</w:t>
      </w:r>
      <w:r>
        <w:rPr>
          <w:rFonts w:ascii="Times New Roman" w:hAnsi="Times New Roman" w:eastAsia="宋体" w:cs="Times New Roman"/>
          <w:sz w:val="24"/>
          <w:szCs w:val="24"/>
        </w:rPr>
        <w:t>：为水质参数pH在j点的标准指数；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pH</w:t>
      </w:r>
      <w:r>
        <w:rPr>
          <w:rFonts w:ascii="Times New Roman" w:hAnsi="Times New Roman" w:eastAsia="宋体" w:cs="Times New Roman"/>
          <w:sz w:val="24"/>
          <w:szCs w:val="24"/>
          <w:vertAlign w:val="subscript"/>
        </w:rPr>
        <w:t>j</w:t>
      </w:r>
      <w:r>
        <w:rPr>
          <w:rFonts w:ascii="Times New Roman" w:hAnsi="Times New Roman" w:eastAsia="宋体" w:cs="Times New Roman"/>
          <w:sz w:val="24"/>
          <w:szCs w:val="24"/>
        </w:rPr>
        <w:t>：为j点的pH值；</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pH</w:t>
      </w:r>
      <w:r>
        <w:rPr>
          <w:rFonts w:ascii="Times New Roman" w:hAnsi="Times New Roman" w:eastAsia="宋体" w:cs="Times New Roman"/>
          <w:sz w:val="24"/>
          <w:szCs w:val="24"/>
          <w:vertAlign w:val="subscript"/>
        </w:rPr>
        <w:t>Su</w:t>
      </w:r>
      <w:r>
        <w:rPr>
          <w:rFonts w:ascii="Times New Roman" w:hAnsi="Times New Roman" w:eastAsia="宋体" w:cs="Times New Roman"/>
          <w:sz w:val="24"/>
          <w:szCs w:val="24"/>
        </w:rPr>
        <w:t>：为地表水水质标准中规定的pH值上限；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pH</w:t>
      </w:r>
      <w:r>
        <w:rPr>
          <w:rFonts w:ascii="Times New Roman" w:hAnsi="Times New Roman" w:eastAsia="宋体" w:cs="Times New Roman"/>
          <w:sz w:val="24"/>
          <w:szCs w:val="24"/>
          <w:vertAlign w:val="subscript"/>
        </w:rPr>
        <w:t>Sd</w:t>
      </w:r>
      <w:r>
        <w:rPr>
          <w:rFonts w:ascii="Times New Roman" w:hAnsi="Times New Roman" w:eastAsia="宋体" w:cs="Times New Roman"/>
          <w:sz w:val="24"/>
          <w:szCs w:val="24"/>
        </w:rPr>
        <w:t>：为地表水水质标准中规定的pH值下限。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当以上公式计算的污染指数＞1时，即表明该项指标已经超过了规定的水质标准。当监测值低于检出限时，按检出限的一半作为监测值进行计算。</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（3）评价结果</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根据上述评价标准与评价方法，得到的单因子评价结果见表5.3-1</w:t>
      </w:r>
      <w:r>
        <w:rPr>
          <w:rFonts w:hint="eastAsia" w:ascii="Times New Roman" w:hAnsi="Times New Roman" w:eastAsia="宋体" w:cs="Times New Roman"/>
          <w:sz w:val="24"/>
          <w:szCs w:val="24"/>
          <w:lang w:val="en-US" w:eastAsia="zh-CN"/>
        </w:rPr>
        <w:t>3</w:t>
      </w:r>
      <w:r>
        <w:rPr>
          <w:rFonts w:ascii="Times New Roman" w:hAnsi="Times New Roman" w:eastAsia="宋体" w:cs="Times New Roman"/>
          <w:sz w:val="24"/>
          <w:szCs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黑体" w:cs="Times New Roman"/>
          <w:sz w:val="24"/>
        </w:rPr>
        <w:t>表5.3-1</w:t>
      </w:r>
      <w:r>
        <w:rPr>
          <w:rFonts w:hint="eastAsia" w:ascii="Times New Roman" w:hAnsi="Times New Roman" w:eastAsia="黑体" w:cs="Times New Roman"/>
          <w:sz w:val="24"/>
          <w:lang w:val="en-US" w:eastAsia="zh-CN"/>
        </w:rPr>
        <w:t>3</w:t>
      </w:r>
      <w:r>
        <w:rPr>
          <w:rFonts w:ascii="Times New Roman" w:hAnsi="Times New Roman" w:eastAsia="黑体" w:cs="Times New Roman"/>
          <w:sz w:val="24"/>
        </w:rPr>
        <w:t xml:space="preserve">  地表水环境质量评价标准指数表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1021"/>
        <w:gridCol w:w="1044"/>
        <w:gridCol w:w="999"/>
        <w:gridCol w:w="878"/>
        <w:gridCol w:w="1039"/>
        <w:gridCol w:w="1187"/>
        <w:gridCol w:w="859"/>
        <w:gridCol w:w="8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监测断面</w:t>
            </w:r>
          </w:p>
        </w:tc>
        <w:tc>
          <w:tcPr>
            <w:tcW w:w="3942" w:type="dxa"/>
            <w:gridSpan w:val="4"/>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W1</w:t>
            </w:r>
          </w:p>
        </w:tc>
        <w:tc>
          <w:tcPr>
            <w:tcW w:w="3955" w:type="dxa"/>
            <w:gridSpan w:val="4"/>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W2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监测因子</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最小值（mg/L）</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最大值（mg/L）</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最大污染指数</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超标率</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最小值（mg/L）</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最大值（mg/L）</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最大污染指数</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超标率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pH</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7.5</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7.8</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0.4</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7.4</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7.8</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0.4</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氨氮</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0.055</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0.074</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0.074</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0.042</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0.076</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0.076</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COD</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16.7</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32.3</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1.615</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14.8</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34.8</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1.74</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2.7</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5.5</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1.375</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2.4</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5.9</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1.475</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粪大肠菌群</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33</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70</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0.007</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3</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79</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0.0079</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SS</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11</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35</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0.35</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20</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33</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0.33</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总磷</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0.06</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0.07</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0.35</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0.06</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0.08</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0.4</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石油类</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0.1</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&lt;0.01</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0.1</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挥发酚</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&lt;0.0003</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&lt;0.0003</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0.03</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&lt;0.0003</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&lt;0.0003</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0.03</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硫化物</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&lt;0.005</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&lt;0.005</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0.0125</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&lt;0.005</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&lt;0.005</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0.0125</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氰化物</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&lt;0.004</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&lt;0.004</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0.01</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&lt;0.004</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&lt;0.004</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0.01</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监测断面</w:t>
            </w:r>
          </w:p>
        </w:tc>
        <w:tc>
          <w:tcPr>
            <w:tcW w:w="7897" w:type="dxa"/>
            <w:gridSpan w:val="8"/>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W3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监测因子</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最小值（mg/L）</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最大值（mg/L）</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最大污染指数</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超标率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pH</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7.4</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7.8</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0.4</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氨氮</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0.042</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0.088</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0.088</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COD</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21.7</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31.1</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1.555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3.5</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5.3</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1.325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粪大肠菌群</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46</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94</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0.0094</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SS</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14</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34</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0.34</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总磷</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0.06</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0.08</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0.4</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石油类</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&lt;0.01</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&lt;0.01</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0.1</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挥发酚</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&lt;0.0003</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&lt;0.0003</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0.03</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硫化物</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&lt;0.005</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&lt;0.005</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0.0125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氰化物</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&lt;0.004</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&lt;0.004</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0.01</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（4）结果分析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现状监测结果表明：各监测断面监测指标中COD和BOD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均超标，最大超标倍数分别为1.74和1.475，可能由于上游沿江居民生活污水外排入长江所致。其余监测因子均满足《地表水环境质量标准》（GB3838-2002）中III类标准。</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5.3.2.3地表水环境质量变化趋势</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（1）区域历史地表水质量检测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本评价引用《芜湖新兴铸管有限责任公司2×58孔焦炉技术改造工程环境影响报告书》中的地表水质量现状监测数据，检测日期为2016年7月27日至7月28日，详见表5.3-1</w:t>
      </w:r>
      <w:r>
        <w:rPr>
          <w:rFonts w:hint="eastAsia" w:ascii="Times New Roman" w:hAnsi="Times New Roman" w:eastAsia="宋体" w:cs="Times New Roman"/>
          <w:bCs/>
          <w:sz w:val="24"/>
          <w:szCs w:val="24"/>
          <w:lang w:val="en-US" w:eastAsia="zh-CN"/>
        </w:rPr>
        <w:t>4</w:t>
      </w:r>
      <w:r>
        <w:rPr>
          <w:rFonts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bCs/>
          <w:sz w:val="24"/>
          <w:szCs w:val="24"/>
        </w:rPr>
      </w:pPr>
      <w:r>
        <w:rPr>
          <w:rFonts w:ascii="Times New Roman" w:hAnsi="Times New Roman" w:eastAsia="黑体" w:cs="Times New Roman"/>
          <w:sz w:val="24"/>
        </w:rPr>
        <w:t>表5.3-1</w:t>
      </w:r>
      <w:r>
        <w:rPr>
          <w:rFonts w:hint="eastAsia" w:ascii="Times New Roman" w:hAnsi="Times New Roman" w:eastAsia="黑体" w:cs="Times New Roman"/>
          <w:sz w:val="24"/>
          <w:lang w:val="en-US" w:eastAsia="zh-CN"/>
        </w:rPr>
        <w:t>4</w:t>
      </w:r>
      <w:r>
        <w:rPr>
          <w:rFonts w:ascii="Times New Roman" w:hAnsi="Times New Roman" w:eastAsia="黑体" w:cs="Times New Roman"/>
          <w:sz w:val="24"/>
        </w:rPr>
        <w:t xml:space="preserve">  区域历史地表水质量检测数据及分析一览表（单位：mg/L，pH无量纲）</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1021"/>
        <w:gridCol w:w="1044"/>
        <w:gridCol w:w="999"/>
        <w:gridCol w:w="878"/>
        <w:gridCol w:w="1039"/>
        <w:gridCol w:w="1187"/>
        <w:gridCol w:w="859"/>
        <w:gridCol w:w="8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监测断面</w:t>
            </w:r>
          </w:p>
        </w:tc>
        <w:tc>
          <w:tcPr>
            <w:tcW w:w="3942" w:type="dxa"/>
            <w:gridSpan w:val="4"/>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W1</w:t>
            </w:r>
          </w:p>
        </w:tc>
        <w:tc>
          <w:tcPr>
            <w:tcW w:w="3955" w:type="dxa"/>
            <w:gridSpan w:val="4"/>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W2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监测因子</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最小值（mg/L）</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最大值（mg/L）</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最大污染指数</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超标率</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最小值（mg/L）</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最大值（mg/L）</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最大污染指数</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b/>
                <w:szCs w:val="21"/>
              </w:rPr>
              <w:t>超标率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pH</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7.16</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7.16</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0.08</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7.14</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7.15</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0.075</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氨氮</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0.398</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0.431</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0.431</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0.285</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0.304</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0.304</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COD</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10</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13</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0.65</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11</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12</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0.60</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2.2</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2.3</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0.575</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1.9</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2.6</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0.52</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SS</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24</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28</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0.28</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24</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27</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0.27</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总磷</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0.10</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0.11</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0.55</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0.08</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0.09</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0.45</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石油类</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0.01</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0.01</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0.2</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0.03</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0.03</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0.6</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挥发酚</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未检出</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未检出</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未检出</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未检出</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硫化物</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0.018</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0.049</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0.245</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未检出</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未检出</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氰化物</w:t>
            </w:r>
          </w:p>
        </w:tc>
        <w:tc>
          <w:tcPr>
            <w:tcW w:w="1021"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0.005</w:t>
            </w:r>
          </w:p>
        </w:tc>
        <w:tc>
          <w:tcPr>
            <w:tcW w:w="104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0.006</w:t>
            </w:r>
          </w:p>
        </w:tc>
        <w:tc>
          <w:tcPr>
            <w:tcW w:w="99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0.03</w:t>
            </w:r>
          </w:p>
        </w:tc>
        <w:tc>
          <w:tcPr>
            <w:tcW w:w="878"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c>
          <w:tcPr>
            <w:tcW w:w="103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0.007</w:t>
            </w:r>
          </w:p>
        </w:tc>
        <w:tc>
          <w:tcPr>
            <w:tcW w:w="1187"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0.008</w:t>
            </w:r>
          </w:p>
        </w:tc>
        <w:tc>
          <w:tcPr>
            <w:tcW w:w="859"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0.04</w:t>
            </w:r>
          </w:p>
        </w:tc>
        <w:tc>
          <w:tcPr>
            <w:tcW w:w="870"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监测断面</w:t>
            </w:r>
          </w:p>
        </w:tc>
        <w:tc>
          <w:tcPr>
            <w:tcW w:w="7897" w:type="dxa"/>
            <w:gridSpan w:val="8"/>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W3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监测因子</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最小值（mg/L）</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最大值（mg/L）</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最大污染指数</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szCs w:val="21"/>
              </w:rPr>
            </w:pPr>
            <w:r>
              <w:rPr>
                <w:rFonts w:ascii="Times New Roman" w:hAnsi="Times New Roman" w:eastAsia="宋体" w:cs="Times New Roman"/>
                <w:b/>
                <w:szCs w:val="21"/>
              </w:rPr>
              <w:t>超标率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pH</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7.13</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7.13</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0.065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氨氮</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0.250</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0.265</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0.265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COD</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11</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11</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0.55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2.8</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3.0</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0.75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粪大肠菌群</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7900</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11000</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1.1</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SS</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24</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25</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0.25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总磷</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0.06</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0.07</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0.35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石油类</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0.03</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0.03</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0.6</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挥发酚</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未检出</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未检出</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硫化物</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未检出</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0.029</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0.145</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4" w:type="dxa"/>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
                <w:szCs w:val="21"/>
              </w:rPr>
            </w:pPr>
            <w:r>
              <w:rPr>
                <w:rFonts w:ascii="Times New Roman" w:hAnsi="Times New Roman" w:eastAsia="宋体" w:cs="Times New Roman"/>
                <w:szCs w:val="21"/>
              </w:rPr>
              <w:t>氰化物</w:t>
            </w:r>
          </w:p>
        </w:tc>
        <w:tc>
          <w:tcPr>
            <w:tcW w:w="2065"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0.005</w:t>
            </w:r>
          </w:p>
        </w:tc>
        <w:tc>
          <w:tcPr>
            <w:tcW w:w="1877"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0.006</w:t>
            </w:r>
          </w:p>
        </w:tc>
        <w:tc>
          <w:tcPr>
            <w:tcW w:w="2226"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bCs/>
                <w:szCs w:val="21"/>
              </w:rPr>
              <w:t>0.03</w:t>
            </w:r>
          </w:p>
        </w:tc>
        <w:tc>
          <w:tcPr>
            <w:tcW w:w="1729" w:type="dxa"/>
            <w:gridSpan w:val="2"/>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bCs/>
                <w:szCs w:val="21"/>
              </w:rPr>
            </w:pPr>
            <w:r>
              <w:rPr>
                <w:rFonts w:ascii="Times New Roman" w:hAnsi="Times New Roman" w:eastAsia="宋体" w:cs="Times New Roman"/>
                <w:szCs w:val="21"/>
              </w:rPr>
              <w:t>0</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（2）项目区域地表水环境质量变化趋势</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bCs/>
          <w:sz w:val="24"/>
          <w:szCs w:val="24"/>
        </w:rPr>
        <w:t>项目区域地表水质量变化趋势见表5.3-1</w:t>
      </w:r>
      <w:r>
        <w:rPr>
          <w:rFonts w:hint="eastAsia" w:ascii="Times New Roman" w:hAnsi="Times New Roman" w:eastAsia="宋体" w:cs="Times New Roman"/>
          <w:bCs/>
          <w:sz w:val="24"/>
          <w:szCs w:val="24"/>
          <w:lang w:val="en-US" w:eastAsia="zh-CN"/>
        </w:rPr>
        <w:t>5</w:t>
      </w:r>
      <w:r>
        <w:rPr>
          <w:rFonts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表5.3-1</w:t>
      </w:r>
      <w:r>
        <w:rPr>
          <w:rFonts w:hint="eastAsia" w:ascii="Times New Roman" w:hAnsi="Times New Roman" w:eastAsia="黑体" w:cs="Times New Roman"/>
          <w:sz w:val="24"/>
          <w:lang w:val="en-US" w:eastAsia="zh-CN"/>
        </w:rPr>
        <w:t>5</w:t>
      </w:r>
      <w:r>
        <w:rPr>
          <w:rFonts w:ascii="Times New Roman" w:hAnsi="Times New Roman" w:eastAsia="黑体" w:cs="Times New Roman"/>
          <w:sz w:val="24"/>
        </w:rPr>
        <w:t xml:space="preserve">  区域地表水质量变化趋势一览表（单位：mg/L，pH无量纲）</w:t>
      </w:r>
    </w:p>
    <w:tbl>
      <w:tblPr>
        <w:tblStyle w:val="22"/>
        <w:tblW w:w="141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8"/>
        <w:gridCol w:w="1288"/>
        <w:gridCol w:w="1288"/>
        <w:gridCol w:w="1288"/>
        <w:gridCol w:w="1288"/>
        <w:gridCol w:w="1289"/>
        <w:gridCol w:w="1289"/>
        <w:gridCol w:w="1289"/>
        <w:gridCol w:w="1289"/>
        <w:gridCol w:w="1289"/>
        <w:gridCol w:w="12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监测因子</w:t>
            </w:r>
          </w:p>
        </w:tc>
        <w:tc>
          <w:tcPr>
            <w:tcW w:w="1288" w:type="dxa"/>
            <w:vMerge w:val="restart"/>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标准值</w:t>
            </w:r>
          </w:p>
        </w:tc>
        <w:tc>
          <w:tcPr>
            <w:tcW w:w="3864" w:type="dxa"/>
            <w:gridSpan w:val="3"/>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W1厂址南侧上游200m</w:t>
            </w:r>
          </w:p>
        </w:tc>
        <w:tc>
          <w:tcPr>
            <w:tcW w:w="3867" w:type="dxa"/>
            <w:gridSpan w:val="3"/>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W2厂址北侧下游1000m</w:t>
            </w:r>
          </w:p>
        </w:tc>
        <w:tc>
          <w:tcPr>
            <w:tcW w:w="3867" w:type="dxa"/>
            <w:gridSpan w:val="3"/>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W3厂址北侧下游1000m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p>
        </w:tc>
        <w:tc>
          <w:tcPr>
            <w:tcW w:w="1288" w:type="dxa"/>
            <w:vMerge w:val="continue"/>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历史数据</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后评价数据</w:t>
            </w:r>
          </w:p>
        </w:tc>
        <w:tc>
          <w:tcPr>
            <w:tcW w:w="1288" w:type="dxa"/>
            <w:tcBorders>
              <w:tl2br w:val="nil"/>
              <w:tr2bl w:val="nil"/>
            </w:tcBorders>
            <w:vAlign w:val="center"/>
          </w:tcPr>
          <w:p>
            <w:pPr>
              <w:keepNext w:val="0"/>
              <w:keepLines w:val="0"/>
              <w:pageBreakBefore w:val="0"/>
              <w:kinsoku/>
              <w:wordWrap/>
              <w:bidi w:val="0"/>
              <w:adjustRightInd w:val="0"/>
              <w:snapToGrid/>
              <w:jc w:val="center"/>
              <w:rPr>
                <w:rFonts w:hint="eastAsia" w:ascii="Times New Roman" w:hAnsi="Times New Roman" w:eastAsia="宋体" w:cs="Times New Roman"/>
                <w:b/>
                <w:bCs/>
                <w:color w:val="000000"/>
                <w:szCs w:val="21"/>
                <w:lang w:eastAsia="zh-CN"/>
              </w:rPr>
            </w:pPr>
            <w:r>
              <w:rPr>
                <w:rFonts w:hint="eastAsia" w:ascii="Times New Roman" w:hAnsi="Times New Roman" w:eastAsia="宋体" w:cs="Times New Roman"/>
                <w:b/>
                <w:bCs/>
                <w:color w:val="000000"/>
                <w:szCs w:val="21"/>
                <w:lang w:eastAsia="zh-CN"/>
              </w:rPr>
              <w:t>变化情况</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历史数据</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后评价数据</w:t>
            </w:r>
          </w:p>
        </w:tc>
        <w:tc>
          <w:tcPr>
            <w:tcW w:w="1289" w:type="dxa"/>
            <w:tcBorders>
              <w:tl2br w:val="nil"/>
              <w:tr2bl w:val="nil"/>
            </w:tcBorders>
            <w:vAlign w:val="center"/>
          </w:tcPr>
          <w:p>
            <w:pPr>
              <w:keepNext w:val="0"/>
              <w:keepLines w:val="0"/>
              <w:pageBreakBefore w:val="0"/>
              <w:kinsoku/>
              <w:wordWrap/>
              <w:bidi w:val="0"/>
              <w:adjustRightInd w:val="0"/>
              <w:snapToGrid/>
              <w:jc w:val="center"/>
              <w:rPr>
                <w:rFonts w:hint="eastAsia" w:ascii="Times New Roman" w:hAnsi="Times New Roman" w:eastAsia="宋体" w:cs="Times New Roman"/>
                <w:b/>
                <w:bCs/>
                <w:color w:val="000000"/>
                <w:szCs w:val="21"/>
                <w:lang w:eastAsia="zh-CN"/>
              </w:rPr>
            </w:pPr>
            <w:r>
              <w:rPr>
                <w:rFonts w:hint="eastAsia" w:ascii="Times New Roman" w:hAnsi="Times New Roman" w:eastAsia="宋体" w:cs="Times New Roman"/>
                <w:b/>
                <w:bCs/>
                <w:color w:val="000000"/>
                <w:szCs w:val="21"/>
                <w:lang w:eastAsia="zh-CN"/>
              </w:rPr>
              <w:t>变化情况</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历史数据</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后评价数据</w:t>
            </w:r>
          </w:p>
        </w:tc>
        <w:tc>
          <w:tcPr>
            <w:tcW w:w="1289" w:type="dxa"/>
            <w:tcBorders>
              <w:tl2br w:val="nil"/>
              <w:tr2bl w:val="nil"/>
            </w:tcBorders>
            <w:vAlign w:val="center"/>
          </w:tcPr>
          <w:p>
            <w:pPr>
              <w:keepNext w:val="0"/>
              <w:keepLines w:val="0"/>
              <w:pageBreakBefore w:val="0"/>
              <w:kinsoku/>
              <w:wordWrap/>
              <w:bidi w:val="0"/>
              <w:adjustRightInd w:val="0"/>
              <w:snapToGrid/>
              <w:jc w:val="center"/>
              <w:rPr>
                <w:rFonts w:hint="eastAsia" w:ascii="Times New Roman" w:hAnsi="Times New Roman" w:eastAsia="宋体" w:cs="Times New Roman"/>
                <w:b/>
                <w:bCs/>
                <w:color w:val="000000"/>
                <w:szCs w:val="21"/>
                <w:lang w:eastAsia="zh-CN"/>
              </w:rPr>
            </w:pPr>
            <w:r>
              <w:rPr>
                <w:rFonts w:hint="eastAsia" w:ascii="Times New Roman" w:hAnsi="Times New Roman" w:eastAsia="宋体" w:cs="Times New Roman"/>
                <w:b/>
                <w:bCs/>
                <w:color w:val="000000"/>
                <w:szCs w:val="21"/>
                <w:lang w:eastAsia="zh-CN"/>
              </w:rPr>
              <w:t>变化情况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pH</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6-9</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7.16</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7.48</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7.145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7.67</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7.13</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7.75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氨氮</w:t>
            </w:r>
          </w:p>
        </w:tc>
        <w:tc>
          <w:tcPr>
            <w:tcW w:w="1288" w:type="dxa"/>
            <w:tcBorders>
              <w:tl2br w:val="nil"/>
              <w:tr2bl w:val="nil"/>
            </w:tcBorders>
            <w:vAlign w:val="center"/>
          </w:tcPr>
          <w:p>
            <w:pPr>
              <w:pStyle w:val="41"/>
              <w:keepNext w:val="0"/>
              <w:keepLines w:val="0"/>
              <w:pageBreakBefore w:val="0"/>
              <w:kinsoku/>
              <w:wordWrap/>
              <w:bidi w:val="0"/>
              <w:snapToGrid/>
              <w:spacing w:line="240" w:lineRule="auto"/>
              <w:rPr>
                <w:color w:val="000000"/>
                <w:szCs w:val="21"/>
              </w:rPr>
            </w:pPr>
            <w:r>
              <w:t>≤1.0</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0.415</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0.068</w:t>
            </w:r>
          </w:p>
        </w:tc>
        <w:tc>
          <w:tcPr>
            <w:tcW w:w="1288" w:type="dxa"/>
            <w:tcBorders>
              <w:tl2br w:val="nil"/>
              <w:tr2bl w:val="nil"/>
            </w:tcBorders>
            <w:vAlign w:val="center"/>
          </w:tcPr>
          <w:p>
            <w:pPr>
              <w:keepNext w:val="0"/>
              <w:keepLines w:val="0"/>
              <w:pageBreakBefore w:val="0"/>
              <w:kinsoku/>
              <w:wordWrap/>
              <w:bidi w:val="0"/>
              <w:adjustRightInd w:val="0"/>
              <w:snapToGrid/>
              <w:jc w:val="center"/>
              <w:rPr>
                <w:rFonts w:hint="eastAsia" w:ascii="Times New Roman" w:hAnsi="Times New Roman" w:eastAsia="宋体" w:cs="Times New Roman"/>
                <w:color w:val="000000"/>
                <w:szCs w:val="21"/>
                <w:lang w:eastAsia="zh-CN"/>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0.295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0.058</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0.258</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0.058</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COD</w:t>
            </w:r>
          </w:p>
        </w:tc>
        <w:tc>
          <w:tcPr>
            <w:tcW w:w="1288" w:type="dxa"/>
            <w:tcBorders>
              <w:tl2br w:val="nil"/>
              <w:tr2bl w:val="nil"/>
            </w:tcBorders>
            <w:vAlign w:val="center"/>
          </w:tcPr>
          <w:p>
            <w:pPr>
              <w:pStyle w:val="41"/>
              <w:keepNext w:val="0"/>
              <w:keepLines w:val="0"/>
              <w:pageBreakBefore w:val="0"/>
              <w:kinsoku/>
              <w:wordWrap/>
              <w:bidi w:val="0"/>
              <w:snapToGrid/>
              <w:spacing w:line="240" w:lineRule="auto"/>
              <w:rPr>
                <w:color w:val="000000"/>
                <w:szCs w:val="21"/>
              </w:rPr>
            </w:pPr>
            <w:r>
              <w:t>≤20</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11.5</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23.17</w:t>
            </w:r>
          </w:p>
        </w:tc>
        <w:tc>
          <w:tcPr>
            <w:tcW w:w="1288" w:type="dxa"/>
            <w:tcBorders>
              <w:tl2br w:val="nil"/>
              <w:tr2bl w:val="nil"/>
            </w:tcBorders>
            <w:vAlign w:val="center"/>
          </w:tcPr>
          <w:p>
            <w:pPr>
              <w:keepNext w:val="0"/>
              <w:keepLines w:val="0"/>
              <w:pageBreakBefore w:val="0"/>
              <w:kinsoku/>
              <w:wordWrap/>
              <w:bidi w:val="0"/>
              <w:adjustRightInd w:val="0"/>
              <w:snapToGrid/>
              <w:jc w:val="center"/>
              <w:rPr>
                <w:rFonts w:hint="eastAsia" w:ascii="Times New Roman" w:hAnsi="Times New Roman" w:eastAsia="宋体" w:cs="Times New Roman"/>
                <w:color w:val="000000"/>
                <w:szCs w:val="21"/>
                <w:lang w:eastAsia="zh-CN"/>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高</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31.48</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高</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21.35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288" w:type="dxa"/>
            <w:tcBorders>
              <w:tl2br w:val="nil"/>
              <w:tr2bl w:val="nil"/>
            </w:tcBorders>
            <w:vAlign w:val="center"/>
          </w:tcPr>
          <w:p>
            <w:pPr>
              <w:pStyle w:val="41"/>
              <w:keepNext w:val="0"/>
              <w:keepLines w:val="0"/>
              <w:pageBreakBefore w:val="0"/>
              <w:kinsoku/>
              <w:wordWrap/>
              <w:bidi w:val="0"/>
              <w:snapToGrid/>
              <w:spacing w:line="240" w:lineRule="auto"/>
              <w:rPr>
                <w:color w:val="000000"/>
                <w:szCs w:val="21"/>
              </w:rPr>
            </w:pPr>
            <w:r>
              <w:t>≤4</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2.25</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3.63</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高</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2.25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5.38</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高</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2.9</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3.42</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SS</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cs="Times New Roman"/>
              </w:rPr>
              <w:t>≤100</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16.83</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25.5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22.5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24.5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32.83</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总磷</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cs="Times New Roman"/>
              </w:rPr>
              <w:t>≤0.2</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0.105</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0.067</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0.085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0.073</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0.065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0.065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石油类</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cs="Times New Roman"/>
              </w:rPr>
              <w:t>≤0.05</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0.01</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&lt;0.01</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0.03</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&lt;0.01</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0.03</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&lt;0.01</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挥发酚</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cs="Times New Roman"/>
              </w:rPr>
              <w:t>≤0.005</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&lt;0.0003</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硫化物</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cs="Times New Roman"/>
              </w:rPr>
              <w:t>≤0.2</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0.034</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88" w:type="dxa"/>
            <w:tcBorders>
              <w:tl2br w:val="nil"/>
              <w:tr2bl w:val="nil"/>
            </w:tcBorders>
            <w:vAlign w:val="center"/>
          </w:tcPr>
          <w:p>
            <w:pPr>
              <w:keepNext w:val="0"/>
              <w:keepLines w:val="0"/>
              <w:pageBreakBefore w:val="0"/>
              <w:kinsoku/>
              <w:wordWrap/>
              <w:autoSpaceDE w:val="0"/>
              <w:autoSpaceDN w:val="0"/>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szCs w:val="21"/>
              </w:rPr>
              <w:t>氰化物</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cs="Times New Roman"/>
              </w:rPr>
              <w:t>≤0.2</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0.0055</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c>
          <w:tcPr>
            <w:tcW w:w="1288"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0.0075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0.0055</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&lt;0.004</w:t>
            </w:r>
          </w:p>
        </w:tc>
        <w:tc>
          <w:tcPr>
            <w:tcW w:w="1289" w:type="dxa"/>
            <w:tcBorders>
              <w:tl2br w:val="nil"/>
              <w:tr2bl w:val="nil"/>
            </w:tcBorders>
            <w:vAlign w:val="center"/>
          </w:tcPr>
          <w:p>
            <w:pPr>
              <w:keepNext w:val="0"/>
              <w:keepLines w:val="0"/>
              <w:pageBreakBefore w:val="0"/>
              <w:kinsoku/>
              <w:wordWrap/>
              <w:bidi w:val="0"/>
              <w:adjustRightInd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变</w:t>
            </w:r>
            <w:r>
              <w:rPr>
                <w:rFonts w:hint="eastAsia" w:ascii="Times New Roman" w:hAnsi="Times New Roman" w:eastAsia="宋体" w:cs="Times New Roman"/>
                <w:color w:val="000000"/>
                <w:szCs w:val="21"/>
                <w:lang w:eastAsia="zh-CN"/>
              </w:rPr>
              <w:t>低</w:t>
            </w:r>
          </w:p>
        </w:tc>
      </w:tr>
    </w:tbl>
    <w:p>
      <w:pPr>
        <w:pStyle w:val="2"/>
        <w:keepNext w:val="0"/>
        <w:keepLines w:val="0"/>
        <w:pageBreakBefore w:val="0"/>
        <w:kinsoku/>
        <w:wordWrap/>
        <w:bidi w:val="0"/>
        <w:snapToGrid/>
        <w:rPr>
          <w:rFonts w:ascii="Times New Roman" w:hAnsi="Times New Roman" w:eastAsia="黑体" w:cs="Times New Roman"/>
          <w:sz w:val="24"/>
        </w:rPr>
      </w:pPr>
    </w:p>
    <w:p>
      <w:pPr>
        <w:pStyle w:val="2"/>
        <w:keepNext w:val="0"/>
        <w:keepLines w:val="0"/>
        <w:pageBreakBefore w:val="0"/>
        <w:kinsoku/>
        <w:wordWrap/>
        <w:bidi w:val="0"/>
        <w:snapToGrid/>
        <w:rPr>
          <w:rFonts w:ascii="Times New Roman" w:hAnsi="Times New Roman" w:eastAsia="黑体" w:cs="Times New Roman"/>
          <w:sz w:val="24"/>
        </w:rPr>
      </w:pPr>
    </w:p>
    <w:p>
      <w:pPr>
        <w:pStyle w:val="2"/>
        <w:keepNext w:val="0"/>
        <w:keepLines w:val="0"/>
        <w:pageBreakBefore w:val="0"/>
        <w:kinsoku/>
        <w:wordWrap/>
        <w:bidi w:val="0"/>
        <w:snapToGrid/>
        <w:rPr>
          <w:rFonts w:ascii="Times New Roman" w:hAnsi="Times New Roman" w:eastAsia="黑体" w:cs="Times New Roman"/>
          <w:sz w:val="24"/>
        </w:rPr>
      </w:pPr>
    </w:p>
    <w:p>
      <w:pPr>
        <w:pStyle w:val="2"/>
        <w:keepNext w:val="0"/>
        <w:keepLines w:val="0"/>
        <w:pageBreakBefore w:val="0"/>
        <w:kinsoku/>
        <w:wordWrap/>
        <w:bidi w:val="0"/>
        <w:snapToGrid/>
        <w:rPr>
          <w:rFonts w:ascii="Times New Roman" w:hAnsi="Times New Roman" w:cs="Times New Roma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lang w:eastAsia="zh-CN"/>
        </w:rPr>
      </w:pPr>
      <w:r>
        <w:rPr>
          <w:rFonts w:hint="eastAsia" w:ascii="Times New Roman" w:hAnsi="Times New Roman" w:eastAsia="宋体" w:cs="Times New Roman"/>
          <w:bCs/>
          <w:color w:val="FF0000"/>
          <w:sz w:val="24"/>
          <w:szCs w:val="24"/>
          <w:lang w:eastAsia="zh-CN"/>
        </w:rPr>
        <w:t>由上表可知，</w:t>
      </w:r>
      <w:r>
        <w:rPr>
          <w:rFonts w:ascii="Times New Roman" w:hAnsi="Times New Roman" w:eastAsia="宋体" w:cs="Times New Roman"/>
          <w:bCs/>
          <w:color w:val="FF0000"/>
          <w:sz w:val="24"/>
          <w:szCs w:val="24"/>
        </w:rPr>
        <w:t>2016年至2019年</w:t>
      </w:r>
      <w:r>
        <w:rPr>
          <w:rFonts w:hint="eastAsia" w:ascii="Times New Roman" w:hAnsi="Times New Roman" w:eastAsia="宋体" w:cs="Times New Roman"/>
          <w:bCs/>
          <w:color w:val="FF0000"/>
          <w:sz w:val="24"/>
          <w:szCs w:val="24"/>
          <w:lang w:eastAsia="zh-CN"/>
        </w:rPr>
        <w:t>周边地表水长江（芜湖段）</w:t>
      </w:r>
      <w:r>
        <w:rPr>
          <w:rFonts w:ascii="Times New Roman" w:hAnsi="Times New Roman" w:eastAsia="宋体" w:cs="Times New Roman"/>
          <w:bCs/>
          <w:color w:val="FF0000"/>
          <w:sz w:val="24"/>
          <w:szCs w:val="24"/>
        </w:rPr>
        <w:t>氨氮、SS、总磷、石油类等指标的监测数据明显变</w:t>
      </w:r>
      <w:r>
        <w:rPr>
          <w:rFonts w:hint="eastAsia" w:ascii="Times New Roman" w:hAnsi="Times New Roman" w:eastAsia="宋体" w:cs="Times New Roman"/>
          <w:bCs/>
          <w:color w:val="FF0000"/>
          <w:sz w:val="24"/>
          <w:szCs w:val="24"/>
          <w:lang w:eastAsia="zh-CN"/>
        </w:rPr>
        <w:t>低，</w:t>
      </w:r>
      <w:r>
        <w:rPr>
          <w:rFonts w:ascii="Times New Roman" w:hAnsi="Times New Roman" w:eastAsia="宋体" w:cs="Times New Roman"/>
          <w:bCs/>
          <w:color w:val="FF0000"/>
          <w:sz w:val="24"/>
          <w:szCs w:val="24"/>
        </w:rPr>
        <w:t>COD、BOD</w:t>
      </w:r>
      <w:r>
        <w:rPr>
          <w:rFonts w:ascii="Times New Roman" w:hAnsi="Times New Roman" w:eastAsia="宋体" w:cs="Times New Roman"/>
          <w:bCs/>
          <w:color w:val="FF0000"/>
          <w:sz w:val="24"/>
          <w:szCs w:val="24"/>
          <w:vertAlign w:val="subscript"/>
        </w:rPr>
        <w:t>5</w:t>
      </w:r>
      <w:r>
        <w:rPr>
          <w:rFonts w:ascii="Times New Roman" w:hAnsi="Times New Roman" w:eastAsia="宋体" w:cs="Times New Roman"/>
          <w:bCs/>
          <w:color w:val="FF0000"/>
          <w:sz w:val="24"/>
          <w:szCs w:val="24"/>
        </w:rPr>
        <w:t>等指标的监测数据变</w:t>
      </w:r>
      <w:r>
        <w:rPr>
          <w:rFonts w:hint="eastAsia" w:ascii="Times New Roman" w:hAnsi="Times New Roman" w:eastAsia="宋体" w:cs="Times New Roman"/>
          <w:bCs/>
          <w:color w:val="FF0000"/>
          <w:sz w:val="24"/>
          <w:szCs w:val="24"/>
          <w:lang w:eastAsia="zh-CN"/>
        </w:rPr>
        <w:t>高。</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lang w:eastAsia="zh-CN"/>
        </w:rPr>
      </w:pPr>
      <w:r>
        <w:rPr>
          <w:rFonts w:hint="eastAsia" w:ascii="Times New Roman" w:hAnsi="Times New Roman" w:eastAsia="宋体" w:cs="Times New Roman"/>
          <w:bCs/>
          <w:color w:val="FF0000"/>
          <w:sz w:val="24"/>
          <w:szCs w:val="24"/>
          <w:lang w:eastAsia="zh-CN"/>
        </w:rPr>
        <w:t>由于缺少区域地表水质量整体趋势变化数据，本次评价建议企业可加强后期跟踪监测，用以反应企业周边地表水质量变化趋势。</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5.3.3噪声质量现状调查与评价</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5.3.3.1噪声环境质量现状监测</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（1）监测因子</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等效连续A声级。</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（2）监测布点</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在园区外界外1m共布设15个监测点。具体监测点位见表5.3-1</w:t>
      </w:r>
      <w:r>
        <w:rPr>
          <w:rFonts w:hint="eastAsia" w:ascii="Times New Roman" w:hAnsi="Times New Roman" w:eastAsia="宋体" w:cs="Times New Roman"/>
          <w:sz w:val="24"/>
          <w:lang w:val="en-US" w:eastAsia="zh-CN"/>
        </w:rPr>
        <w:t>6</w:t>
      </w:r>
      <w:r>
        <w:rPr>
          <w:rFonts w:ascii="Times New Roman" w:hAnsi="Times New Roman" w:eastAsia="宋体" w:cs="Times New Roman"/>
          <w:sz w:val="24"/>
        </w:rPr>
        <w:t>和图5.3-2。</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表5.3-1</w:t>
      </w:r>
      <w:r>
        <w:rPr>
          <w:rFonts w:hint="eastAsia" w:ascii="Times New Roman" w:hAnsi="Times New Roman" w:eastAsia="黑体" w:cs="Times New Roman"/>
          <w:sz w:val="24"/>
          <w:lang w:val="en-US" w:eastAsia="zh-CN"/>
        </w:rPr>
        <w:t>6</w:t>
      </w:r>
      <w:r>
        <w:rPr>
          <w:rFonts w:ascii="Times New Roman" w:hAnsi="Times New Roman" w:eastAsia="黑体" w:cs="Times New Roman"/>
          <w:sz w:val="24"/>
        </w:rPr>
        <w:t xml:space="preserve">  声环境现状监测点位</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50"/>
        <w:gridCol w:w="3751"/>
        <w:gridCol w:w="24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tabs>
                <w:tab w:val="left" w:pos="0"/>
              </w:tabs>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szCs w:val="21"/>
              </w:rPr>
              <w:t>测点编号</w:t>
            </w:r>
          </w:p>
        </w:tc>
        <w:tc>
          <w:tcPr>
            <w:tcW w:w="3751" w:type="dxa"/>
            <w:tcBorders>
              <w:tl2br w:val="nil"/>
              <w:tr2bl w:val="nil"/>
            </w:tcBorders>
            <w:vAlign w:val="center"/>
          </w:tcPr>
          <w:p>
            <w:pPr>
              <w:keepNext w:val="0"/>
              <w:keepLines w:val="0"/>
              <w:pageBreakBefore w:val="0"/>
              <w:tabs>
                <w:tab w:val="left" w:pos="0"/>
              </w:tabs>
              <w:kinsoku/>
              <w:wordWrap/>
              <w:bidi w:val="0"/>
              <w:adjustRightInd w:val="0"/>
              <w:snapToGrid/>
              <w:jc w:val="center"/>
              <w:rPr>
                <w:rFonts w:ascii="Times New Roman" w:hAnsi="Times New Roman" w:eastAsia="宋体" w:cs="Times New Roman"/>
                <w:b/>
                <w:bCs/>
                <w:color w:val="000000"/>
                <w:szCs w:val="21"/>
              </w:rPr>
            </w:pPr>
            <w:r>
              <w:rPr>
                <w:rFonts w:ascii="Times New Roman" w:hAnsi="Times New Roman" w:eastAsia="宋体" w:cs="Times New Roman"/>
                <w:b/>
                <w:bCs/>
                <w:szCs w:val="21"/>
              </w:rPr>
              <w:t>测点名称</w:t>
            </w:r>
          </w:p>
        </w:tc>
        <w:tc>
          <w:tcPr>
            <w:tcW w:w="247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000000"/>
                <w:szCs w:val="21"/>
              </w:rPr>
            </w:pPr>
            <w:r>
              <w:rPr>
                <w:rFonts w:ascii="Times New Roman" w:hAnsi="Times New Roman" w:eastAsia="宋体" w:cs="Times New Roman"/>
                <w:b/>
                <w:bCs/>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N1</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原料场东侧</w:t>
            </w:r>
          </w:p>
        </w:tc>
        <w:tc>
          <w:tcPr>
            <w:tcW w:w="2471"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bCs/>
                <w:color w:val="000000"/>
                <w:szCs w:val="21"/>
              </w:rPr>
              <w:t>厂界边界外1m</w:t>
            </w:r>
          </w:p>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szCs w:val="21"/>
              </w:rPr>
              <w:t>等效连续A声级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N2</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烧结区东北侧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N3</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煤仓东侧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N4</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焦化废水处理站东侧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N5</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办公区东侧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N6</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办公区西南侧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N7</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焦化区西南侧1</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N8</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焦化区西南侧2</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N9</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煤气柜西南侧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N10</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制氧站西南侧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N11</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轧钢车间西南侧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N12</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轧钢车间北侧1</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N13</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轧钢车间北侧2</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N14</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原料场西侧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N15</w:t>
            </w:r>
          </w:p>
        </w:tc>
        <w:tc>
          <w:tcPr>
            <w:tcW w:w="375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原料场北侧</w:t>
            </w:r>
          </w:p>
        </w:tc>
        <w:tc>
          <w:tcPr>
            <w:tcW w:w="247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p>
        </w:tc>
      </w:tr>
    </w:tbl>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drawing>
          <wp:inline distT="0" distB="0" distL="114300" distR="114300">
            <wp:extent cx="5263515" cy="4297680"/>
            <wp:effectExtent l="0" t="0" r="13335" b="7620"/>
            <wp:docPr id="89" name="图片 89" descr="噪声环境质量监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噪声环境质量监测图"/>
                    <pic:cNvPicPr>
                      <a:picLocks noChangeAspect="1"/>
                    </pic:cNvPicPr>
                  </pic:nvPicPr>
                  <pic:blipFill>
                    <a:blip r:embed="rId67"/>
                    <a:stretch>
                      <a:fillRect/>
                    </a:stretch>
                  </pic:blipFill>
                  <pic:spPr>
                    <a:xfrm>
                      <a:off x="0" y="0"/>
                      <a:ext cx="5263515" cy="4297680"/>
                    </a:xfrm>
                    <a:prstGeom prst="rect">
                      <a:avLst/>
                    </a:prstGeom>
                  </pic:spPr>
                </pic:pic>
              </a:graphicData>
            </a:graphic>
          </wp:inline>
        </w:drawing>
      </w:r>
    </w:p>
    <w:p>
      <w:pPr>
        <w:keepNext w:val="0"/>
        <w:keepLines w:val="0"/>
        <w:pageBreakBefore w:val="0"/>
        <w:kinsoku/>
        <w:wordWrap/>
        <w:autoSpaceDE w:val="0"/>
        <w:autoSpaceDN w:val="0"/>
        <w:bidi w:val="0"/>
        <w:adjustRightInd w:val="0"/>
        <w:snapToGrid/>
        <w:spacing w:line="360" w:lineRule="auto"/>
        <w:jc w:val="center"/>
        <w:rPr>
          <w:rFonts w:hint="eastAsia" w:ascii="Times New Roman" w:hAnsi="Times New Roman" w:eastAsia="黑体" w:cs="Times New Roman"/>
          <w:sz w:val="24"/>
          <w:lang w:eastAsia="zh-CN"/>
        </w:rPr>
      </w:pPr>
      <w:r>
        <w:rPr>
          <w:rFonts w:hint="eastAsia" w:ascii="Times New Roman" w:hAnsi="Times New Roman" w:eastAsia="黑体" w:cs="Times New Roman"/>
          <w:sz w:val="24"/>
          <w:lang w:eastAsia="zh-CN"/>
        </w:rPr>
        <w:t>图</w:t>
      </w:r>
      <w:r>
        <w:rPr>
          <w:rFonts w:ascii="Times New Roman" w:hAnsi="Times New Roman" w:eastAsia="黑体" w:cs="Times New Roman"/>
          <w:sz w:val="24"/>
        </w:rPr>
        <w:t>5.3-</w:t>
      </w:r>
      <w:r>
        <w:rPr>
          <w:rFonts w:hint="eastAsia" w:ascii="Times New Roman" w:hAnsi="Times New Roman" w:eastAsia="黑体" w:cs="Times New Roman"/>
          <w:sz w:val="24"/>
          <w:lang w:val="en-US" w:eastAsia="zh-CN"/>
        </w:rPr>
        <w:t>2</w:t>
      </w:r>
      <w:r>
        <w:rPr>
          <w:rFonts w:ascii="Times New Roman" w:hAnsi="Times New Roman" w:eastAsia="黑体" w:cs="Times New Roman"/>
          <w:sz w:val="24"/>
        </w:rPr>
        <w:t xml:space="preserve">  噪声监测</w:t>
      </w:r>
      <w:r>
        <w:rPr>
          <w:rFonts w:hint="eastAsia" w:ascii="Times New Roman" w:hAnsi="Times New Roman" w:eastAsia="黑体" w:cs="Times New Roman"/>
          <w:sz w:val="24"/>
          <w:lang w:eastAsia="zh-CN"/>
        </w:rPr>
        <w:t>点位示意图</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（3）监测方法</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噪声监测方法参照《声环境质量标准》（GB3096-2008）要求进行。</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（4）监测频次</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监测2天，每天昼夜各测一次。</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（5）监测结果</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安徽世标检测技术有限公司于2019年4月10日至4月11日上述各监测点位进行了噪声监测，监测结果见表5.3-1</w:t>
      </w:r>
      <w:r>
        <w:rPr>
          <w:rFonts w:hint="eastAsia" w:ascii="Times New Roman" w:hAnsi="Times New Roman" w:eastAsia="宋体" w:cs="Times New Roman"/>
          <w:sz w:val="24"/>
          <w:lang w:val="en-US" w:eastAsia="zh-CN"/>
        </w:rPr>
        <w:t>7</w:t>
      </w:r>
      <w:r>
        <w:rPr>
          <w:rFonts w:ascii="Times New Roman" w:hAnsi="Times New Roman" w:eastAsia="宋体" w:cs="Times New Roman"/>
          <w:sz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表5.3-1</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 xml:space="preserve">  噪声监测结果（单位：dB(A)）</w:t>
      </w:r>
    </w:p>
    <w:tbl>
      <w:tblPr>
        <w:tblStyle w:val="21"/>
        <w:tblW w:w="9071"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506"/>
        <w:gridCol w:w="1642"/>
        <w:gridCol w:w="1643"/>
        <w:gridCol w:w="1641"/>
        <w:gridCol w:w="163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vMerge w:val="restart"/>
            <w:tcBorders>
              <w:top w:val="single" w:color="auto" w:sz="12" w:space="0"/>
              <w:left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检测点位</w:t>
            </w:r>
          </w:p>
        </w:tc>
        <w:tc>
          <w:tcPr>
            <w:tcW w:w="3285" w:type="dxa"/>
            <w:gridSpan w:val="2"/>
            <w:tcBorders>
              <w:top w:val="single" w:color="auto" w:sz="12" w:space="0"/>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2019.04.10</w:t>
            </w:r>
          </w:p>
        </w:tc>
        <w:tc>
          <w:tcPr>
            <w:tcW w:w="3280" w:type="dxa"/>
            <w:gridSpan w:val="2"/>
            <w:tcBorders>
              <w:top w:val="single" w:color="auto" w:sz="12" w:space="0"/>
              <w:right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2019.04.11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vMerge w:val="continue"/>
            <w:tcBorders>
              <w:left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p>
        </w:tc>
        <w:tc>
          <w:tcPr>
            <w:tcW w:w="1642" w:type="dxa"/>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昼间（Leq）</w:t>
            </w:r>
          </w:p>
        </w:tc>
        <w:tc>
          <w:tcPr>
            <w:tcW w:w="1643" w:type="dxa"/>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夜间（Leq）</w:t>
            </w:r>
          </w:p>
        </w:tc>
        <w:tc>
          <w:tcPr>
            <w:tcW w:w="1641" w:type="dxa"/>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昼间（Leq）</w:t>
            </w:r>
          </w:p>
        </w:tc>
        <w:tc>
          <w:tcPr>
            <w:tcW w:w="1639" w:type="dxa"/>
            <w:tcBorders>
              <w:right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夜间（Leq）</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N1原料场东侧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60.3</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53.2</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61.2</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52.8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N2烧结区东北侧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63.2</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53.4</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62.3</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N3煤仓东侧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64.2</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53.8</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63.4</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54.3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N4焦化废水处理站东侧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62.3</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53.4</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62.1</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52.6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N5办公区东侧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64.4</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54.2</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63.3</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N6办公区西南侧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54.4</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50.2</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54.6</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50.9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N7焦化区西南侧1</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63.0</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53.8</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63.1</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N8焦化区西南侧2</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63.3</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53.2</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62.2</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54.3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N9煤气柜西南侧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60.3</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52.2</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61.3</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52.3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N10制氧站西南侧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62.5</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53.4</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62.4</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N11轧钢车间西南侧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63.6</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53.6</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62.6</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54.1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N12轧钢车间北侧1</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54.2</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48.5</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55.1</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49.5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N13轧钢车间北侧2</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63.4</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53.2</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62.4</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54.3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N14原料场西侧</w:t>
            </w:r>
          </w:p>
        </w:tc>
        <w:tc>
          <w:tcPr>
            <w:tcW w:w="1642"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60.6</w:t>
            </w:r>
          </w:p>
        </w:tc>
        <w:tc>
          <w:tcPr>
            <w:tcW w:w="1643"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52.5</w:t>
            </w:r>
          </w:p>
        </w:tc>
        <w:tc>
          <w:tcPr>
            <w:tcW w:w="1641" w:type="dxa"/>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60.3</w:t>
            </w:r>
          </w:p>
        </w:tc>
        <w:tc>
          <w:tcPr>
            <w:tcW w:w="1639" w:type="dxa"/>
            <w:tcBorders>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2506" w:type="dxa"/>
            <w:tcBorders>
              <w:left w:val="nil"/>
              <w:bottom w:val="single" w:color="auto" w:sz="12" w:space="0"/>
            </w:tcBorders>
            <w:shd w:val="clear" w:color="auto" w:fill="auto"/>
            <w:vAlign w:val="center"/>
          </w:tcPr>
          <w:p>
            <w:pPr>
              <w:keepNext w:val="0"/>
              <w:keepLines w:val="0"/>
              <w:pageBreakBefore w:val="0"/>
              <w:kinsoku/>
              <w:wordWrap/>
              <w:bidi w:val="0"/>
              <w:snapToGrid/>
              <w:spacing w:line="25" w:lineRule="atLeast"/>
              <w:jc w:val="center"/>
              <w:rPr>
                <w:rFonts w:ascii="Times New Roman" w:hAnsi="Times New Roman" w:eastAsia="宋体" w:cs="Times New Roman"/>
                <w:bCs/>
                <w:szCs w:val="21"/>
              </w:rPr>
            </w:pPr>
            <w:r>
              <w:rPr>
                <w:rFonts w:ascii="Times New Roman" w:hAnsi="Times New Roman" w:eastAsia="宋体" w:cs="Times New Roman"/>
                <w:bCs/>
                <w:szCs w:val="21"/>
              </w:rPr>
              <w:t>N15原料场北侧</w:t>
            </w:r>
          </w:p>
        </w:tc>
        <w:tc>
          <w:tcPr>
            <w:tcW w:w="1642" w:type="dxa"/>
            <w:tcBorders>
              <w:bottom w:val="single" w:color="auto" w:sz="12" w:space="0"/>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61.3</w:t>
            </w:r>
          </w:p>
        </w:tc>
        <w:tc>
          <w:tcPr>
            <w:tcW w:w="1643" w:type="dxa"/>
            <w:tcBorders>
              <w:bottom w:val="single" w:color="auto" w:sz="12" w:space="0"/>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53.1</w:t>
            </w:r>
          </w:p>
        </w:tc>
        <w:tc>
          <w:tcPr>
            <w:tcW w:w="1641" w:type="dxa"/>
            <w:tcBorders>
              <w:bottom w:val="single" w:color="auto" w:sz="12" w:space="0"/>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61.2</w:t>
            </w:r>
          </w:p>
        </w:tc>
        <w:tc>
          <w:tcPr>
            <w:tcW w:w="1639" w:type="dxa"/>
            <w:tcBorders>
              <w:bottom w:val="single" w:color="auto" w:sz="12" w:space="0"/>
              <w:right w:val="nil"/>
            </w:tcBorders>
            <w:vAlign w:val="center"/>
          </w:tcPr>
          <w:p>
            <w:pPr>
              <w:keepNext w:val="0"/>
              <w:keepLines w:val="0"/>
              <w:pageBreakBefore w:val="0"/>
              <w:kinsoku/>
              <w:wordWrap/>
              <w:bidi w:val="0"/>
              <w:snapToGrid/>
              <w:spacing w:line="300" w:lineRule="exact"/>
              <w:jc w:val="center"/>
              <w:rPr>
                <w:rFonts w:ascii="Times New Roman" w:hAnsi="Times New Roman" w:eastAsia="宋体" w:cs="Times New Roman"/>
                <w:kern w:val="0"/>
              </w:rPr>
            </w:pPr>
            <w:r>
              <w:rPr>
                <w:rFonts w:ascii="Times New Roman" w:hAnsi="Times New Roman" w:eastAsia="宋体" w:cs="Times New Roman"/>
                <w:kern w:val="0"/>
              </w:rPr>
              <w:t>53.8</w:t>
            </w:r>
          </w:p>
        </w:tc>
      </w:tr>
    </w:tbl>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5.3.3.2声环境质量现状评价</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（1）声环境质量标准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根据声环境功能区划，搬迁项目周边声环境执行《声环境质量标准》（GB3096-2008）中3类标准。具体标准值详见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_Ref416376917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表5</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.3-1</w:t>
      </w:r>
      <w:r>
        <w:rPr>
          <w:rFonts w:hint="eastAsia" w:ascii="Times New Roman" w:hAnsi="Times New Roman" w:eastAsia="宋体" w:cs="Times New Roman"/>
          <w:bCs/>
          <w:sz w:val="24"/>
          <w:szCs w:val="24"/>
          <w:lang w:val="en-US" w:eastAsia="zh-CN"/>
        </w:rPr>
        <w:t>8</w:t>
      </w:r>
      <w:r>
        <w:rPr>
          <w:rFonts w:ascii="Times New Roman" w:hAnsi="Times New Roman" w:eastAsia="宋体" w:cs="Times New Roman"/>
          <w:bCs/>
          <w:sz w:val="24"/>
          <w:szCs w:val="24"/>
        </w:rPr>
        <w:t>。</w:t>
      </w:r>
    </w:p>
    <w:p>
      <w:pPr>
        <w:pStyle w:val="31"/>
        <w:keepNext w:val="0"/>
        <w:keepLines w:val="0"/>
        <w:pageBreakBefore w:val="0"/>
        <w:kinsoku/>
        <w:wordWrap/>
        <w:bidi w:val="0"/>
        <w:snapToGrid/>
        <w:spacing w:line="360" w:lineRule="auto"/>
        <w:rPr>
          <w:rFonts w:cs="Times New Roman"/>
        </w:rPr>
      </w:pPr>
      <w:r>
        <w:rPr>
          <w:rFonts w:cs="Times New Roman"/>
        </w:rPr>
        <w:t>表5.3-1</w:t>
      </w:r>
      <w:r>
        <w:rPr>
          <w:rFonts w:hint="eastAsia" w:cs="Times New Roman"/>
          <w:lang w:val="en-US" w:eastAsia="zh-CN"/>
        </w:rPr>
        <w:t>8</w:t>
      </w:r>
      <w:r>
        <w:rPr>
          <w:rFonts w:cs="Times New Roman"/>
        </w:rPr>
        <w:t xml:space="preserve">  声环境质量标准一览表（单位：</w:t>
      </w:r>
      <w:r>
        <w:rPr>
          <w:rFonts w:cs="Times New Roman"/>
          <w:kern w:val="0"/>
        </w:rPr>
        <w:t>dB(A)</w:t>
      </w:r>
      <w:r>
        <w:rPr>
          <w:rFonts w:cs="Times New Roman"/>
        </w:rPr>
        <w:t>）</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760"/>
        <w:gridCol w:w="1948"/>
        <w:gridCol w:w="1947"/>
        <w:gridCol w:w="34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40" w:hRule="exact"/>
          <w:jc w:val="center"/>
        </w:trPr>
        <w:tc>
          <w:tcPr>
            <w:tcW w:w="176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位置</w:t>
            </w:r>
          </w:p>
        </w:tc>
        <w:tc>
          <w:tcPr>
            <w:tcW w:w="1948"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昼间</w:t>
            </w:r>
          </w:p>
        </w:tc>
        <w:tc>
          <w:tcPr>
            <w:tcW w:w="1947"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夜间</w:t>
            </w:r>
          </w:p>
        </w:tc>
        <w:tc>
          <w:tcPr>
            <w:tcW w:w="3416"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声环境功能区类别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40" w:hRule="exact"/>
          <w:jc w:val="center"/>
        </w:trPr>
        <w:tc>
          <w:tcPr>
            <w:tcW w:w="1760" w:type="dxa"/>
            <w:tcBorders>
              <w:tl2br w:val="nil"/>
              <w:tr2bl w:val="nil"/>
            </w:tcBorders>
            <w:vAlign w:val="center"/>
          </w:tcPr>
          <w:p>
            <w:pPr>
              <w:pStyle w:val="41"/>
              <w:keepNext w:val="0"/>
              <w:keepLines w:val="0"/>
              <w:pageBreakBefore w:val="0"/>
              <w:kinsoku/>
              <w:wordWrap/>
              <w:bidi w:val="0"/>
              <w:snapToGrid/>
              <w:spacing w:line="240" w:lineRule="auto"/>
            </w:pPr>
            <w:r>
              <w:t>厂区周边</w:t>
            </w:r>
          </w:p>
        </w:tc>
        <w:tc>
          <w:tcPr>
            <w:tcW w:w="1948" w:type="dxa"/>
            <w:tcBorders>
              <w:tl2br w:val="nil"/>
              <w:tr2bl w:val="nil"/>
            </w:tcBorders>
            <w:vAlign w:val="center"/>
          </w:tcPr>
          <w:p>
            <w:pPr>
              <w:pStyle w:val="41"/>
              <w:keepNext w:val="0"/>
              <w:keepLines w:val="0"/>
              <w:pageBreakBefore w:val="0"/>
              <w:kinsoku/>
              <w:wordWrap/>
              <w:bidi w:val="0"/>
              <w:snapToGrid/>
              <w:spacing w:line="240" w:lineRule="auto"/>
            </w:pPr>
            <w:r>
              <w:t>65</w:t>
            </w:r>
          </w:p>
        </w:tc>
        <w:tc>
          <w:tcPr>
            <w:tcW w:w="1947" w:type="dxa"/>
            <w:tcBorders>
              <w:tl2br w:val="nil"/>
              <w:tr2bl w:val="nil"/>
            </w:tcBorders>
            <w:vAlign w:val="center"/>
          </w:tcPr>
          <w:p>
            <w:pPr>
              <w:pStyle w:val="41"/>
              <w:keepNext w:val="0"/>
              <w:keepLines w:val="0"/>
              <w:pageBreakBefore w:val="0"/>
              <w:kinsoku/>
              <w:wordWrap/>
              <w:bidi w:val="0"/>
              <w:snapToGrid/>
              <w:spacing w:line="240" w:lineRule="auto"/>
            </w:pPr>
            <w:r>
              <w:t>55</w:t>
            </w:r>
          </w:p>
        </w:tc>
        <w:tc>
          <w:tcPr>
            <w:tcW w:w="3416" w:type="dxa"/>
            <w:tcBorders>
              <w:tl2br w:val="nil"/>
              <w:tr2bl w:val="nil"/>
            </w:tcBorders>
            <w:vAlign w:val="center"/>
          </w:tcPr>
          <w:p>
            <w:pPr>
              <w:pStyle w:val="41"/>
              <w:keepNext w:val="0"/>
              <w:keepLines w:val="0"/>
              <w:pageBreakBefore w:val="0"/>
              <w:kinsoku/>
              <w:wordWrap/>
              <w:bidi w:val="0"/>
              <w:snapToGrid/>
              <w:spacing w:line="240" w:lineRule="auto"/>
            </w:pPr>
            <w:r>
              <w:t>3类</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（2）声环境质量现状评价</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根据本次声环境质量现状监测结果，对比相应的评价标准。结果显示，区域内声环境质量较好，各点位的声环境质量现状能够满足相应声环境质量标准的要求。</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5.3.3.3噪声环境质量变化趋势</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（1）区域历史厂界噪声质量检测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本评价引用《芜湖新兴铸管有限责任公司搬迁技术改造项目现状评价环境影响报告》中的噪声质量现状监测数据，检测日期为2017年6月1日至6月2日，详见表5.3-</w:t>
      </w:r>
      <w:r>
        <w:rPr>
          <w:rFonts w:hint="eastAsia" w:ascii="Times New Roman" w:hAnsi="Times New Roman" w:eastAsia="宋体" w:cs="Times New Roman"/>
          <w:bCs/>
          <w:sz w:val="24"/>
          <w:szCs w:val="24"/>
          <w:lang w:val="en-US" w:eastAsia="zh-CN"/>
        </w:rPr>
        <w:t>19</w:t>
      </w:r>
      <w:r>
        <w:rPr>
          <w:rFonts w:ascii="Times New Roman" w:hAnsi="Times New Roman" w:eastAsia="宋体" w:cs="Times New Roman"/>
          <w:bCs/>
          <w:sz w:val="24"/>
          <w:szCs w:val="24"/>
        </w:rPr>
        <w:t>。</w:t>
      </w:r>
    </w:p>
    <w:p>
      <w:pPr>
        <w:keepNext w:val="0"/>
        <w:keepLines w:val="0"/>
        <w:pageBreakBefore w:val="0"/>
        <w:kinsoku/>
        <w:wordWrap/>
        <w:bidi w:val="0"/>
        <w:snapToGrid/>
        <w:spacing w:line="360" w:lineRule="auto"/>
        <w:jc w:val="center"/>
        <w:rPr>
          <w:rFonts w:ascii="Times New Roman" w:hAnsi="Times New Roman" w:eastAsia="宋体" w:cs="Times New Roman"/>
          <w:sz w:val="24"/>
          <w:szCs w:val="24"/>
        </w:rPr>
      </w:pPr>
      <w:r>
        <w:rPr>
          <w:rFonts w:ascii="Times New Roman" w:hAnsi="Times New Roman" w:eastAsia="黑体" w:cs="Times New Roman"/>
          <w:sz w:val="24"/>
        </w:rPr>
        <w:t>表5.3-</w:t>
      </w:r>
      <w:r>
        <w:rPr>
          <w:rFonts w:hint="eastAsia" w:ascii="Times New Roman" w:hAnsi="Times New Roman" w:eastAsia="黑体" w:cs="Times New Roman"/>
          <w:sz w:val="24"/>
          <w:lang w:val="en-US" w:eastAsia="zh-CN"/>
        </w:rPr>
        <w:t>19</w:t>
      </w:r>
      <w:r>
        <w:rPr>
          <w:rFonts w:ascii="Times New Roman" w:hAnsi="Times New Roman" w:eastAsia="黑体" w:cs="Times New Roman"/>
          <w:sz w:val="24"/>
        </w:rPr>
        <w:t xml:space="preserve">  厂区历史噪声质量检测数据及分析一览表（单位：dB(A)）</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1969"/>
        <w:gridCol w:w="2026"/>
        <w:gridCol w:w="2055"/>
        <w:gridCol w:w="18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1199" w:type="dxa"/>
            <w:vMerge w:val="restart"/>
            <w:tcBorders>
              <w:tl2br w:val="nil"/>
              <w:tr2bl w:val="nil"/>
            </w:tcBorders>
            <w:vAlign w:val="center"/>
          </w:tcPr>
          <w:p>
            <w:pPr>
              <w:pStyle w:val="41"/>
              <w:keepNext w:val="0"/>
              <w:keepLines w:val="0"/>
              <w:pageBreakBefore w:val="0"/>
              <w:kinsoku/>
              <w:wordWrap/>
              <w:bidi w:val="0"/>
              <w:snapToGrid/>
              <w:spacing w:line="240" w:lineRule="auto"/>
              <w:rPr>
                <w:b/>
                <w:bCs/>
              </w:rPr>
            </w:pPr>
            <w:r>
              <w:rPr>
                <w:b/>
                <w:bCs/>
              </w:rPr>
              <w:t>测点编号</w:t>
            </w:r>
          </w:p>
        </w:tc>
        <w:tc>
          <w:tcPr>
            <w:tcW w:w="3995" w:type="dxa"/>
            <w:gridSpan w:val="2"/>
            <w:tcBorders>
              <w:tl2br w:val="nil"/>
              <w:tr2bl w:val="nil"/>
            </w:tcBorders>
            <w:vAlign w:val="center"/>
          </w:tcPr>
          <w:p>
            <w:pPr>
              <w:pStyle w:val="41"/>
              <w:keepNext w:val="0"/>
              <w:keepLines w:val="0"/>
              <w:pageBreakBefore w:val="0"/>
              <w:kinsoku/>
              <w:wordWrap/>
              <w:bidi w:val="0"/>
              <w:snapToGrid/>
              <w:spacing w:line="240" w:lineRule="auto"/>
              <w:rPr>
                <w:b/>
                <w:bCs/>
              </w:rPr>
            </w:pPr>
            <w:r>
              <w:rPr>
                <w:b/>
                <w:bCs/>
              </w:rPr>
              <w:t>昼间</w:t>
            </w:r>
          </w:p>
        </w:tc>
        <w:tc>
          <w:tcPr>
            <w:tcW w:w="3877" w:type="dxa"/>
            <w:gridSpan w:val="2"/>
            <w:tcBorders>
              <w:tl2br w:val="nil"/>
              <w:tr2bl w:val="nil"/>
            </w:tcBorders>
            <w:vAlign w:val="center"/>
          </w:tcPr>
          <w:p>
            <w:pPr>
              <w:pStyle w:val="41"/>
              <w:keepNext w:val="0"/>
              <w:keepLines w:val="0"/>
              <w:pageBreakBefore w:val="0"/>
              <w:kinsoku/>
              <w:wordWrap/>
              <w:bidi w:val="0"/>
              <w:snapToGrid/>
              <w:spacing w:line="240" w:lineRule="auto"/>
              <w:rPr>
                <w:b/>
                <w:bCs/>
              </w:rPr>
            </w:pPr>
            <w:r>
              <w:rPr>
                <w:b/>
                <w:bCs/>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1199" w:type="dxa"/>
            <w:vMerge w:val="continue"/>
            <w:tcBorders>
              <w:tl2br w:val="nil"/>
              <w:tr2bl w:val="nil"/>
            </w:tcBorders>
            <w:vAlign w:val="center"/>
          </w:tcPr>
          <w:p>
            <w:pPr>
              <w:pStyle w:val="41"/>
              <w:keepNext w:val="0"/>
              <w:keepLines w:val="0"/>
              <w:pageBreakBefore w:val="0"/>
              <w:kinsoku/>
              <w:wordWrap/>
              <w:bidi w:val="0"/>
              <w:snapToGrid/>
              <w:spacing w:line="240" w:lineRule="auto"/>
              <w:rPr>
                <w:b/>
                <w:bCs/>
              </w:rPr>
            </w:pPr>
          </w:p>
        </w:tc>
        <w:tc>
          <w:tcPr>
            <w:tcW w:w="1969"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2017年6月1日</w:t>
            </w:r>
          </w:p>
        </w:tc>
        <w:tc>
          <w:tcPr>
            <w:tcW w:w="2026"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2017年6月2日</w:t>
            </w:r>
          </w:p>
        </w:tc>
        <w:tc>
          <w:tcPr>
            <w:tcW w:w="205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2017年6月1日</w:t>
            </w:r>
          </w:p>
        </w:tc>
        <w:tc>
          <w:tcPr>
            <w:tcW w:w="1822"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2017年6月2日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N1</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60.6</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60.3</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50.7</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N2</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63.0</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63.0</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53.2</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N3</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61.8</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60.4</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51.6</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N4</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60.7</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62.4</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49.9</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N5</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58.9</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62.3</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49.6</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N6</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59.9</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64.1</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50.0</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N7</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62.2</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62.2</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51.6</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N8</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60.7</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60.6</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50.6</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N9</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60.9</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61.6</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49.3</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N10</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62.8</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62.3</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51.5</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N11</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59.7</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58.9</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50.5</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N12</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59.6</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60.4</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49.0</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N13</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60.3</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60.2</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50.6</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N14</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59.2</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60.9</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49.5</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99" w:type="dxa"/>
            <w:tcBorders>
              <w:tl2br w:val="nil"/>
              <w:tr2bl w:val="nil"/>
            </w:tcBorders>
            <w:vAlign w:val="center"/>
          </w:tcPr>
          <w:p>
            <w:pPr>
              <w:pStyle w:val="41"/>
              <w:keepNext w:val="0"/>
              <w:keepLines w:val="0"/>
              <w:pageBreakBefore w:val="0"/>
              <w:kinsoku/>
              <w:wordWrap/>
              <w:bidi w:val="0"/>
              <w:snapToGrid/>
              <w:spacing w:line="240" w:lineRule="auto"/>
            </w:pPr>
            <w:r>
              <w:t>N15</w:t>
            </w:r>
          </w:p>
        </w:tc>
        <w:tc>
          <w:tcPr>
            <w:tcW w:w="1969" w:type="dxa"/>
            <w:tcBorders>
              <w:tl2br w:val="nil"/>
              <w:tr2bl w:val="nil"/>
            </w:tcBorders>
            <w:vAlign w:val="center"/>
          </w:tcPr>
          <w:p>
            <w:pPr>
              <w:pStyle w:val="41"/>
              <w:keepNext w:val="0"/>
              <w:keepLines w:val="0"/>
              <w:pageBreakBefore w:val="0"/>
              <w:kinsoku/>
              <w:wordWrap/>
              <w:bidi w:val="0"/>
              <w:snapToGrid/>
              <w:spacing w:line="240" w:lineRule="auto"/>
            </w:pPr>
            <w:r>
              <w:t>59.0</w:t>
            </w:r>
          </w:p>
        </w:tc>
        <w:tc>
          <w:tcPr>
            <w:tcW w:w="2026" w:type="dxa"/>
            <w:tcBorders>
              <w:tl2br w:val="nil"/>
              <w:tr2bl w:val="nil"/>
            </w:tcBorders>
            <w:vAlign w:val="center"/>
          </w:tcPr>
          <w:p>
            <w:pPr>
              <w:pStyle w:val="41"/>
              <w:keepNext w:val="0"/>
              <w:keepLines w:val="0"/>
              <w:pageBreakBefore w:val="0"/>
              <w:kinsoku/>
              <w:wordWrap/>
              <w:bidi w:val="0"/>
              <w:snapToGrid/>
              <w:spacing w:line="240" w:lineRule="auto"/>
            </w:pPr>
            <w:r>
              <w:t>60.9</w:t>
            </w:r>
          </w:p>
        </w:tc>
        <w:tc>
          <w:tcPr>
            <w:tcW w:w="2055" w:type="dxa"/>
            <w:tcBorders>
              <w:tl2br w:val="nil"/>
              <w:tr2bl w:val="nil"/>
            </w:tcBorders>
            <w:vAlign w:val="center"/>
          </w:tcPr>
          <w:p>
            <w:pPr>
              <w:pStyle w:val="41"/>
              <w:keepNext w:val="0"/>
              <w:keepLines w:val="0"/>
              <w:pageBreakBefore w:val="0"/>
              <w:kinsoku/>
              <w:wordWrap/>
              <w:bidi w:val="0"/>
              <w:snapToGrid/>
              <w:spacing w:line="240" w:lineRule="auto"/>
            </w:pPr>
            <w:r>
              <w:t>49.8</w:t>
            </w:r>
          </w:p>
        </w:tc>
        <w:tc>
          <w:tcPr>
            <w:tcW w:w="1822" w:type="dxa"/>
            <w:tcBorders>
              <w:tl2br w:val="nil"/>
              <w:tr2bl w:val="nil"/>
            </w:tcBorders>
            <w:vAlign w:val="center"/>
          </w:tcPr>
          <w:p>
            <w:pPr>
              <w:pStyle w:val="41"/>
              <w:keepNext w:val="0"/>
              <w:keepLines w:val="0"/>
              <w:pageBreakBefore w:val="0"/>
              <w:kinsoku/>
              <w:wordWrap/>
              <w:bidi w:val="0"/>
              <w:snapToGrid/>
              <w:spacing w:line="240" w:lineRule="auto"/>
            </w:pPr>
            <w:r>
              <w:t>52.5</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（2）区域噪声质量变化趋势</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项目区域厂界噪声变化趋势见表5.3-</w:t>
      </w:r>
      <w:r>
        <w:rPr>
          <w:rFonts w:hint="eastAsia" w:ascii="Times New Roman" w:hAnsi="Times New Roman" w:eastAsia="宋体" w:cs="Times New Roman"/>
          <w:bCs/>
          <w:sz w:val="24"/>
          <w:szCs w:val="24"/>
          <w:lang w:val="en-US" w:eastAsia="zh-CN"/>
        </w:rPr>
        <w:t>20</w:t>
      </w:r>
      <w:r>
        <w:rPr>
          <w:rFonts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w:t>
      </w:r>
      <w:r>
        <w:rPr>
          <w:rFonts w:hint="eastAsia" w:ascii="Times New Roman" w:hAnsi="Times New Roman" w:eastAsia="黑体" w:cs="Times New Roman"/>
          <w:sz w:val="24"/>
          <w:lang w:val="en-US" w:eastAsia="zh-CN"/>
        </w:rPr>
        <w:t>20</w:t>
      </w:r>
      <w:r>
        <w:rPr>
          <w:rFonts w:ascii="Times New Roman" w:hAnsi="Times New Roman" w:eastAsia="黑体" w:cs="Times New Roman"/>
          <w:sz w:val="24"/>
        </w:rPr>
        <w:t xml:space="preserve">  区域噪声厂界质量变化趋势一览表（单位：dB(A)）</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1296"/>
        <w:gridCol w:w="1295"/>
        <w:gridCol w:w="1296"/>
        <w:gridCol w:w="1296"/>
        <w:gridCol w:w="1297"/>
        <w:gridCol w:w="12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vMerge w:val="restart"/>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测点编号</w:t>
            </w:r>
          </w:p>
        </w:tc>
        <w:tc>
          <w:tcPr>
            <w:tcW w:w="3887" w:type="dxa"/>
            <w:gridSpan w:val="3"/>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昼间</w:t>
            </w:r>
          </w:p>
        </w:tc>
        <w:tc>
          <w:tcPr>
            <w:tcW w:w="3889" w:type="dxa"/>
            <w:gridSpan w:val="3"/>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vMerge w:val="continue"/>
            <w:tcBorders>
              <w:tl2br w:val="nil"/>
              <w:tr2bl w:val="nil"/>
            </w:tcBorders>
            <w:vAlign w:val="center"/>
          </w:tcPr>
          <w:p>
            <w:pPr>
              <w:pStyle w:val="41"/>
              <w:keepNext w:val="0"/>
              <w:keepLines w:val="0"/>
              <w:pageBreakBefore w:val="0"/>
              <w:kinsoku/>
              <w:wordWrap/>
              <w:bidi w:val="0"/>
              <w:snapToGrid/>
              <w:spacing w:line="240" w:lineRule="auto"/>
              <w:rPr>
                <w:b/>
                <w:bCs/>
                <w:szCs w:val="21"/>
              </w:rPr>
            </w:pPr>
          </w:p>
        </w:tc>
        <w:tc>
          <w:tcPr>
            <w:tcW w:w="1296"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历史数据</w:t>
            </w:r>
          </w:p>
        </w:tc>
        <w:tc>
          <w:tcPr>
            <w:tcW w:w="1295"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后评价数据</w:t>
            </w:r>
          </w:p>
        </w:tc>
        <w:tc>
          <w:tcPr>
            <w:tcW w:w="1296"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rFonts w:hint="eastAsia"/>
                <w:b/>
                <w:bCs/>
                <w:szCs w:val="21"/>
                <w:lang w:eastAsia="zh-CN"/>
              </w:rPr>
              <w:t>变化情况</w:t>
            </w:r>
          </w:p>
        </w:tc>
        <w:tc>
          <w:tcPr>
            <w:tcW w:w="1296"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历史数据</w:t>
            </w:r>
          </w:p>
        </w:tc>
        <w:tc>
          <w:tcPr>
            <w:tcW w:w="1297"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后评价数据</w:t>
            </w:r>
          </w:p>
        </w:tc>
        <w:tc>
          <w:tcPr>
            <w:tcW w:w="1296"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szCs w:val="21"/>
                <w:lang w:eastAsia="zh-CN"/>
              </w:rPr>
            </w:pPr>
            <w:r>
              <w:rPr>
                <w:rFonts w:hint="eastAsia"/>
                <w:b/>
                <w:bCs/>
                <w:szCs w:val="21"/>
                <w:lang w:eastAsia="zh-CN"/>
              </w:rPr>
              <w:t>变化情况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N1</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55.65</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60.75</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hint="eastAsia" w:ascii="Times New Roman" w:hAnsi="Times New Roman" w:eastAsia="宋体" w:cs="Times New Roman"/>
                <w:color w:val="000000"/>
                <w:kern w:val="0"/>
                <w:szCs w:val="21"/>
                <w:lang w:eastAsia="zh-CN" w:bidi="ar"/>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55.35</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w:t>
            </w:r>
          </w:p>
        </w:tc>
        <w:tc>
          <w:tcPr>
            <w:tcW w:w="1296" w:type="dxa"/>
            <w:tcBorders>
              <w:tl2br w:val="nil"/>
              <w:tr2bl w:val="nil"/>
            </w:tcBorders>
            <w:vAlign w:val="center"/>
          </w:tcPr>
          <w:p>
            <w:pPr>
              <w:keepNext w:val="0"/>
              <w:keepLines w:val="0"/>
              <w:pageBreakBefore w:val="0"/>
              <w:kinsoku/>
              <w:wordWrap/>
              <w:bidi w:val="0"/>
              <w:snapToGrid/>
              <w:spacing w:line="240" w:lineRule="auto"/>
              <w:jc w:val="center"/>
              <w:rPr>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N2</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58.1</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62.75</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57.85</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53.3</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N3</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56.7</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63.8</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55.55</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54.05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N4</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55.3</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62.2</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56.65</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N5</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54.25</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63.85</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56.9</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53.85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N6</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54.95</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54.5</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hint="eastAsia" w:ascii="Times New Roman" w:hAnsi="Times New Roman" w:eastAsia="宋体" w:cs="Times New Roman"/>
                <w:color w:val="000000"/>
                <w:kern w:val="0"/>
                <w:szCs w:val="21"/>
                <w:lang w:eastAsia="zh-CN" w:bidi="ar"/>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57.25</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50.55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N7</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56.9</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63.05</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57.95</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N8</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55.65</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62.75</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55.5</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53.75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N9</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55.1</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60.8</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56.1</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52.25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N10</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57.15</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62.45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58</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53.55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N11</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55.1</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63.1</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54.85</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53.85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N12</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54.3</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54.65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55.8</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49</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N13</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55.45</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62.9</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55.25</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53.75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N14</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54.35</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60.45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56.7</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52.95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9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N15</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54.4</w:t>
            </w:r>
          </w:p>
        </w:tc>
        <w:tc>
          <w:tcPr>
            <w:tcW w:w="129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61.25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高</w:t>
            </w:r>
          </w:p>
        </w:tc>
        <w:tc>
          <w:tcPr>
            <w:tcW w:w="129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56.7</w:t>
            </w:r>
          </w:p>
        </w:tc>
        <w:tc>
          <w:tcPr>
            <w:tcW w:w="129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53.45</w:t>
            </w:r>
          </w:p>
        </w:tc>
        <w:tc>
          <w:tcPr>
            <w:tcW w:w="129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color w:val="000000"/>
                <w:kern w:val="0"/>
                <w:szCs w:val="21"/>
                <w:lang w:bidi="ar"/>
              </w:rPr>
              <w:t>变</w:t>
            </w:r>
            <w:r>
              <w:rPr>
                <w:rFonts w:hint="eastAsia" w:ascii="Times New Roman" w:hAnsi="Times New Roman" w:eastAsia="宋体" w:cs="Times New Roman"/>
                <w:color w:val="000000"/>
                <w:kern w:val="0"/>
                <w:szCs w:val="21"/>
                <w:lang w:eastAsia="zh-CN" w:bidi="ar"/>
              </w:rPr>
              <w:t>低</w:t>
            </w:r>
          </w:p>
        </w:tc>
      </w:tr>
    </w:tbl>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lang w:eastAsia="zh-CN"/>
        </w:rPr>
      </w:pPr>
      <w:r>
        <w:rPr>
          <w:rFonts w:hint="eastAsia" w:ascii="Times New Roman" w:hAnsi="Times New Roman" w:eastAsia="宋体" w:cs="Times New Roman"/>
          <w:bCs/>
          <w:color w:val="FF0000"/>
          <w:sz w:val="24"/>
          <w:szCs w:val="24"/>
          <w:lang w:eastAsia="zh-CN"/>
        </w:rPr>
        <w:t>由上表可知，</w:t>
      </w:r>
      <w:r>
        <w:rPr>
          <w:rFonts w:ascii="Times New Roman" w:hAnsi="Times New Roman" w:eastAsia="宋体" w:cs="Times New Roman"/>
          <w:bCs/>
          <w:color w:val="FF0000"/>
          <w:sz w:val="24"/>
          <w:szCs w:val="24"/>
        </w:rPr>
        <w:t>201</w:t>
      </w:r>
      <w:r>
        <w:rPr>
          <w:rFonts w:hint="eastAsia" w:ascii="Times New Roman" w:hAnsi="Times New Roman" w:eastAsia="宋体" w:cs="Times New Roman"/>
          <w:bCs/>
          <w:color w:val="FF0000"/>
          <w:sz w:val="24"/>
          <w:szCs w:val="24"/>
          <w:lang w:val="en-US" w:eastAsia="zh-CN"/>
        </w:rPr>
        <w:t>7</w:t>
      </w:r>
      <w:r>
        <w:rPr>
          <w:rFonts w:ascii="Times New Roman" w:hAnsi="Times New Roman" w:eastAsia="宋体" w:cs="Times New Roman"/>
          <w:bCs/>
          <w:color w:val="FF0000"/>
          <w:sz w:val="24"/>
          <w:szCs w:val="24"/>
        </w:rPr>
        <w:t>年至2019年</w:t>
      </w:r>
      <w:r>
        <w:rPr>
          <w:rFonts w:hint="eastAsia" w:ascii="Times New Roman" w:hAnsi="Times New Roman" w:eastAsia="宋体" w:cs="Times New Roman"/>
          <w:bCs/>
          <w:color w:val="FF0000"/>
          <w:sz w:val="24"/>
          <w:szCs w:val="24"/>
          <w:lang w:eastAsia="zh-CN"/>
        </w:rPr>
        <w:t>厂区</w:t>
      </w:r>
      <w:r>
        <w:rPr>
          <w:rFonts w:ascii="Times New Roman" w:hAnsi="Times New Roman" w:eastAsia="宋体" w:cs="Times New Roman"/>
          <w:bCs/>
          <w:color w:val="FF0000"/>
          <w:sz w:val="24"/>
          <w:szCs w:val="24"/>
        </w:rPr>
        <w:t>边界昼间噪声数据明显变</w:t>
      </w:r>
      <w:r>
        <w:rPr>
          <w:rFonts w:hint="eastAsia" w:ascii="Times New Roman" w:hAnsi="Times New Roman" w:eastAsia="宋体" w:cs="Times New Roman"/>
          <w:bCs/>
          <w:color w:val="FF0000"/>
          <w:sz w:val="24"/>
          <w:szCs w:val="24"/>
          <w:lang w:eastAsia="zh-CN"/>
        </w:rPr>
        <w:t>高，</w:t>
      </w:r>
      <w:r>
        <w:rPr>
          <w:rFonts w:ascii="Times New Roman" w:hAnsi="Times New Roman" w:eastAsia="宋体" w:cs="Times New Roman"/>
          <w:bCs/>
          <w:color w:val="FF0000"/>
          <w:sz w:val="24"/>
          <w:szCs w:val="24"/>
        </w:rPr>
        <w:t>厂区边界夜间噪声数据明显变</w:t>
      </w:r>
      <w:r>
        <w:rPr>
          <w:rFonts w:hint="eastAsia" w:ascii="Times New Roman" w:hAnsi="Times New Roman" w:eastAsia="宋体" w:cs="Times New Roman"/>
          <w:bCs/>
          <w:color w:val="FF0000"/>
          <w:sz w:val="24"/>
          <w:szCs w:val="24"/>
          <w:lang w:eastAsia="zh-CN"/>
        </w:rPr>
        <w:t>低。</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lang w:eastAsia="zh-CN"/>
        </w:rPr>
      </w:pPr>
      <w:r>
        <w:rPr>
          <w:rFonts w:hint="eastAsia" w:ascii="Times New Roman" w:hAnsi="Times New Roman" w:eastAsia="宋体" w:cs="Times New Roman"/>
          <w:bCs/>
          <w:color w:val="FF0000"/>
          <w:sz w:val="24"/>
          <w:szCs w:val="24"/>
          <w:lang w:eastAsia="zh-CN"/>
        </w:rPr>
        <w:t>由于缺少区域声环境质量整体趋势变化数据，本次评价建议企业可加强后期跟踪监测，用以反应企业的建设对周边声环境质量影响趋势。</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5.3.4地下水质量现状调查与评价</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5.3.4.1地下水环境质量现状监测</w:t>
      </w:r>
    </w:p>
    <w:p>
      <w:pPr>
        <w:keepNext w:val="0"/>
        <w:keepLines w:val="0"/>
        <w:pageBreakBefore w:val="0"/>
        <w:widowControl/>
        <w:numPr>
          <w:ilvl w:val="0"/>
          <w:numId w:val="6"/>
        </w:numPr>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监测因子</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地下水监测因子包括：pH、色度、嗅和味、浑浊度、肉眼可见物、氨氮、挥发酚、氰化物、氟化物、六价铬、总硬度、溶解性总固体、耗氧量、硫酸盐、氯化物、硝酸盐、亚硝酸盐、硫化物、砷、汞、硒、铝、镉、钠、铅、铁、锰、铜、锌、苯、甲苯、菌落总数、总大肠菌数、四氯化碳、苯并芘等35项，同步监测水位数据。</w:t>
      </w:r>
    </w:p>
    <w:p>
      <w:pPr>
        <w:keepNext w:val="0"/>
        <w:keepLines w:val="0"/>
        <w:pageBreakBefore w:val="0"/>
        <w:widowControl/>
        <w:numPr>
          <w:ilvl w:val="0"/>
          <w:numId w:val="6"/>
        </w:numPr>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监测点布设</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本次地下水环境质量现状监测在项目园区内及周边共布设了9个地下水水质监测点，监测布点详见表5.3-2</w:t>
      </w:r>
      <w:r>
        <w:rPr>
          <w:rFonts w:hint="eastAsia" w:ascii="Times New Roman" w:hAnsi="Times New Roman" w:eastAsia="宋体" w:cs="Times New Roman"/>
          <w:sz w:val="24"/>
          <w:lang w:val="en-US" w:eastAsia="zh-CN"/>
        </w:rPr>
        <w:t>1</w:t>
      </w:r>
      <w:r>
        <w:rPr>
          <w:rFonts w:ascii="Times New Roman" w:hAnsi="Times New Roman" w:eastAsia="宋体" w:cs="Times New Roman"/>
          <w:sz w:val="24"/>
        </w:rPr>
        <w:t>和图5.3-3至5.3-4。</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表5.3-2</w:t>
      </w:r>
      <w:r>
        <w:rPr>
          <w:rFonts w:hint="eastAsia" w:ascii="Times New Roman" w:hAnsi="Times New Roman" w:eastAsia="黑体" w:cs="Times New Roman"/>
          <w:sz w:val="24"/>
          <w:lang w:val="en-US" w:eastAsia="zh-CN"/>
        </w:rPr>
        <w:t>1</w:t>
      </w:r>
      <w:r>
        <w:rPr>
          <w:rFonts w:ascii="Times New Roman" w:hAnsi="Times New Roman" w:eastAsia="黑体" w:cs="Times New Roman"/>
          <w:sz w:val="24"/>
        </w:rPr>
        <w:t xml:space="preserve">  地下水现状监测点布设一览表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216"/>
        <w:gridCol w:w="2215"/>
        <w:gridCol w:w="1523"/>
        <w:gridCol w:w="1631"/>
        <w:gridCol w:w="1245"/>
        <w:gridCol w:w="124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21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szCs w:val="21"/>
              </w:rPr>
            </w:pPr>
            <w:r>
              <w:rPr>
                <w:rFonts w:ascii="Times New Roman" w:hAnsi="Times New Roman" w:eastAsia="宋体" w:cs="Times New Roman"/>
                <w:b/>
                <w:szCs w:val="21"/>
              </w:rPr>
              <w:t>点位编号</w:t>
            </w:r>
          </w:p>
        </w:tc>
        <w:tc>
          <w:tcPr>
            <w:tcW w:w="221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szCs w:val="21"/>
              </w:rPr>
            </w:pPr>
            <w:r>
              <w:rPr>
                <w:rFonts w:ascii="Times New Roman" w:hAnsi="Times New Roman" w:eastAsia="宋体" w:cs="Times New Roman"/>
                <w:b/>
                <w:szCs w:val="21"/>
              </w:rPr>
              <w:t>点位名称</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szCs w:val="21"/>
              </w:rPr>
            </w:pPr>
            <w:r>
              <w:rPr>
                <w:rFonts w:ascii="Times New Roman" w:hAnsi="Times New Roman" w:eastAsia="宋体" w:cs="Times New Roman"/>
                <w:b/>
                <w:szCs w:val="21"/>
              </w:rPr>
              <w:t>点位坐标</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szCs w:val="21"/>
              </w:rPr>
            </w:pPr>
            <w:r>
              <w:rPr>
                <w:rFonts w:ascii="Times New Roman" w:hAnsi="Times New Roman" w:eastAsia="宋体" w:cs="Times New Roman"/>
                <w:b/>
                <w:szCs w:val="21"/>
              </w:rPr>
              <w:t>水井用途</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szCs w:val="21"/>
              </w:rPr>
            </w:pPr>
            <w:r>
              <w:rPr>
                <w:rFonts w:ascii="Times New Roman" w:hAnsi="Times New Roman" w:eastAsia="宋体" w:cs="Times New Roman"/>
                <w:b/>
                <w:szCs w:val="21"/>
              </w:rPr>
              <w:t>井深（m）</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szCs w:val="21"/>
              </w:rPr>
            </w:pPr>
            <w:r>
              <w:rPr>
                <w:rFonts w:ascii="Times New Roman" w:hAnsi="Times New Roman" w:eastAsia="宋体" w:cs="Times New Roman"/>
                <w:b/>
                <w:szCs w:val="21"/>
              </w:rPr>
              <w:t>水位（m）</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216"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X1</w:t>
            </w:r>
          </w:p>
        </w:tc>
        <w:tc>
          <w:tcPr>
            <w:tcW w:w="2215"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厂区1#监测井</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E118°8′34″</w:t>
            </w:r>
          </w:p>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N31°14′5″</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szCs w:val="21"/>
              </w:rPr>
              <w:t>厂区监测井</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6</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216"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X2</w:t>
            </w:r>
          </w:p>
        </w:tc>
        <w:tc>
          <w:tcPr>
            <w:tcW w:w="2215"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rPr>
              <w:t>厂区2#监测井</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E118°9′16″</w:t>
            </w:r>
          </w:p>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N31°14′6″</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szCs w:val="21"/>
              </w:rPr>
              <w:t>厂区监测井</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6</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216"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X3</w:t>
            </w:r>
          </w:p>
        </w:tc>
        <w:tc>
          <w:tcPr>
            <w:tcW w:w="2215"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rPr>
              <w:t>厂区3#监测井</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E118°9′16″</w:t>
            </w:r>
          </w:p>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N31°13′26″</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szCs w:val="21"/>
              </w:rPr>
              <w:t>厂区监测井</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6</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216"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X4</w:t>
            </w:r>
          </w:p>
        </w:tc>
        <w:tc>
          <w:tcPr>
            <w:tcW w:w="2215"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rPr>
              <w:t>厂区4#监测井</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E118°9′16″</w:t>
            </w:r>
          </w:p>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N31°13′19″</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szCs w:val="21"/>
              </w:rPr>
              <w:t>厂区监测井</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6</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216"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X5</w:t>
            </w:r>
          </w:p>
        </w:tc>
        <w:tc>
          <w:tcPr>
            <w:tcW w:w="2215"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rPr>
              <w:t>厂区5#监测井</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E118°8′26″</w:t>
            </w:r>
          </w:p>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N31°13′26″</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szCs w:val="21"/>
              </w:rPr>
              <w:t>厂区监测井</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6</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216"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X6</w:t>
            </w:r>
          </w:p>
        </w:tc>
        <w:tc>
          <w:tcPr>
            <w:tcW w:w="2215"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rPr>
              <w:t>厂区6#监测井</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E118°8′49″</w:t>
            </w:r>
          </w:p>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N31°13′34″</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临时监测井</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6</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80" w:hRule="atLeast"/>
          <w:jc w:val="center"/>
        </w:trPr>
        <w:tc>
          <w:tcPr>
            <w:tcW w:w="1216"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X7</w:t>
            </w:r>
          </w:p>
        </w:tc>
        <w:tc>
          <w:tcPr>
            <w:tcW w:w="2215"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7#厂区东北侧1155m，厂区地下水下游</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E118°9′52″</w:t>
            </w:r>
          </w:p>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N31°14′12″</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临时监测井</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9</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216"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X8</w:t>
            </w:r>
          </w:p>
        </w:tc>
        <w:tc>
          <w:tcPr>
            <w:tcW w:w="2215"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8#厂区东北侧584m，厂区地下水上游</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E118°8′9″</w:t>
            </w:r>
          </w:p>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N31°13′10″</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临时监测井</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10</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216"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X9</w:t>
            </w:r>
          </w:p>
        </w:tc>
        <w:tc>
          <w:tcPr>
            <w:tcW w:w="2215"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rPr>
            </w:pPr>
            <w:r>
              <w:rPr>
                <w:rFonts w:eastAsia="宋体" w:cs="Times New Roman"/>
              </w:rPr>
              <w:t>9#厂区东北侧5196m，厂区地下水下游</w:t>
            </w:r>
          </w:p>
        </w:tc>
        <w:tc>
          <w:tcPr>
            <w:tcW w:w="152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E118°12′48″</w:t>
            </w:r>
          </w:p>
          <w:p>
            <w:pPr>
              <w:pStyle w:val="2"/>
              <w:keepNext w:val="0"/>
              <w:keepLines w:val="0"/>
              <w:pageBreakBefore w:val="0"/>
              <w:kinsoku/>
              <w:wordWrap/>
              <w:bidi w:val="0"/>
              <w:snapToGrid/>
              <w:spacing w:after="0"/>
              <w:jc w:val="center"/>
              <w:rPr>
                <w:rFonts w:ascii="Times New Roman" w:hAnsi="Times New Roman" w:eastAsia="宋体" w:cs="Times New Roman"/>
                <w:kern w:val="0"/>
                <w:szCs w:val="21"/>
              </w:rPr>
            </w:pPr>
            <w:r>
              <w:rPr>
                <w:rFonts w:ascii="Times New Roman" w:hAnsi="Times New Roman" w:eastAsia="宋体" w:cs="Times New Roman"/>
                <w:kern w:val="0"/>
                <w:szCs w:val="21"/>
              </w:rPr>
              <w:t>N31°14′20″</w:t>
            </w:r>
          </w:p>
        </w:tc>
        <w:tc>
          <w:tcPr>
            <w:tcW w:w="163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临时监测井</w:t>
            </w:r>
          </w:p>
        </w:tc>
        <w:tc>
          <w:tcPr>
            <w:tcW w:w="124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9</w:t>
            </w:r>
          </w:p>
        </w:tc>
        <w:tc>
          <w:tcPr>
            <w:tcW w:w="124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szCs w:val="21"/>
              </w:rPr>
            </w:pPr>
            <w:r>
              <w:rPr>
                <w:rFonts w:ascii="Times New Roman" w:hAnsi="Times New Roman" w:eastAsia="宋体" w:cs="Times New Roman"/>
                <w:bCs/>
                <w:szCs w:val="21"/>
              </w:rPr>
              <w:t>3</w:t>
            </w:r>
          </w:p>
        </w:tc>
      </w:tr>
    </w:tbl>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eastAsiaTheme="minorEastAsia"/>
          <w:lang w:eastAsia="zh-CN"/>
        </w:rPr>
      </w:pPr>
      <w:r>
        <w:rPr>
          <w:sz w:val="21"/>
        </w:rPr>
        <w:pict>
          <v:shape id="_x0000_s1036" o:spid="_x0000_s1036" o:spt="202" type="#_x0000_t202" style="position:absolute;left:0pt;margin-left:212.6pt;margin-top:423.85pt;height:27.75pt;width:282.7pt;z-index:251743232;mso-width-relative:page;mso-height-relative:page;" filled="f" stroked="f" coordsize="21600,21600">
            <v:path/>
            <v:fill on="f" focussize="0,0"/>
            <v:stroke on="f"/>
            <v:imagedata o:title=""/>
            <o:lock v:ext="edit" aspectratio="f"/>
            <v:textbox>
              <w:txbxContent>
                <w:p>
                  <w:pPr>
                    <w:autoSpaceDE w:val="0"/>
                    <w:autoSpaceDN w:val="0"/>
                    <w:adjustRightInd w:val="0"/>
                    <w:spacing w:line="360" w:lineRule="auto"/>
                    <w:jc w:val="center"/>
                  </w:pPr>
                  <w:r>
                    <w:rPr>
                      <w:rFonts w:hint="eastAsia" w:ascii="Times New Roman" w:hAnsi="Times New Roman" w:eastAsia="黑体" w:cs="Times New Roman"/>
                      <w:sz w:val="24"/>
                      <w:lang w:eastAsia="zh-CN"/>
                    </w:rPr>
                    <w:t>图</w:t>
                  </w:r>
                  <w:r>
                    <w:rPr>
                      <w:rFonts w:ascii="Times New Roman" w:hAnsi="Times New Roman" w:eastAsia="黑体" w:cs="Times New Roman"/>
                      <w:sz w:val="24"/>
                    </w:rPr>
                    <w:t>5.3-</w:t>
                  </w:r>
                  <w:r>
                    <w:rPr>
                      <w:rFonts w:hint="eastAsia" w:ascii="Times New Roman" w:hAnsi="Times New Roman" w:eastAsia="黑体" w:cs="Times New Roman"/>
                      <w:sz w:val="24"/>
                      <w:lang w:val="en-US" w:eastAsia="zh-CN"/>
                    </w:rPr>
                    <w:t>3</w:t>
                  </w:r>
                  <w:r>
                    <w:rPr>
                      <w:rFonts w:ascii="Times New Roman" w:hAnsi="Times New Roman" w:eastAsia="黑体" w:cs="Times New Roman"/>
                      <w:sz w:val="24"/>
                    </w:rPr>
                    <w:t xml:space="preserve">  </w:t>
                  </w:r>
                  <w:r>
                    <w:rPr>
                      <w:rFonts w:hint="eastAsia" w:ascii="Times New Roman" w:hAnsi="Times New Roman" w:eastAsia="黑体" w:cs="Times New Roman"/>
                      <w:sz w:val="24"/>
                      <w:lang w:eastAsia="zh-CN"/>
                    </w:rPr>
                    <w:t>厂区内</w:t>
                  </w:r>
                  <w:r>
                    <w:rPr>
                      <w:rFonts w:ascii="Times New Roman" w:hAnsi="Times New Roman" w:eastAsia="黑体" w:cs="Times New Roman"/>
                      <w:sz w:val="24"/>
                    </w:rPr>
                    <w:t>地下水现状监测点布设</w:t>
                  </w:r>
                  <w:r>
                    <w:rPr>
                      <w:rFonts w:hint="eastAsia" w:ascii="Times New Roman" w:hAnsi="Times New Roman" w:eastAsia="黑体" w:cs="Times New Roman"/>
                      <w:sz w:val="24"/>
                      <w:lang w:eastAsia="zh-CN"/>
                    </w:rPr>
                    <w:t>示意图</w:t>
                  </w:r>
                </w:p>
              </w:txbxContent>
            </v:textbox>
          </v:shape>
        </w:pict>
      </w:r>
      <w:r>
        <w:rPr>
          <w:rFonts w:hint="eastAsia" w:eastAsiaTheme="minorEastAsia"/>
          <w:lang w:eastAsia="zh-CN"/>
        </w:rPr>
        <w:drawing>
          <wp:inline distT="0" distB="0" distL="114300" distR="114300">
            <wp:extent cx="8800465" cy="5270500"/>
            <wp:effectExtent l="0" t="0" r="635" b="6350"/>
            <wp:docPr id="90" name="图片 90" descr="厂区内土壤地下水监测点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厂区内土壤地下水监测点12.10"/>
                    <pic:cNvPicPr>
                      <a:picLocks noChangeAspect="1"/>
                    </pic:cNvPicPr>
                  </pic:nvPicPr>
                  <pic:blipFill>
                    <a:blip r:embed="rId68"/>
                    <a:stretch>
                      <a:fillRect/>
                    </a:stretch>
                  </pic:blipFill>
                  <pic:spPr>
                    <a:xfrm>
                      <a:off x="0" y="0"/>
                      <a:ext cx="8800465" cy="527050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pPr>
      <w:r>
        <w:rPr>
          <w:sz w:val="21"/>
        </w:rPr>
        <w:pict>
          <v:shape id="_x0000_s1038" o:spid="_x0000_s1038" o:spt="202" type="#_x0000_t202" style="position:absolute;left:0pt;margin-left:212.6pt;margin-top:423.85pt;height:27.75pt;width:282.7pt;z-index:251829248;mso-width-relative:page;mso-height-relative:page;" filled="f" stroked="f" coordsize="21600,21600">
            <v:path/>
            <v:fill on="f" focussize="0,0"/>
            <v:stroke on="f"/>
            <v:imagedata o:title=""/>
            <o:lock v:ext="edit" aspectratio="f"/>
            <v:textbox>
              <w:txbxContent>
                <w:p>
                  <w:pPr>
                    <w:autoSpaceDE w:val="0"/>
                    <w:autoSpaceDN w:val="0"/>
                    <w:adjustRightInd w:val="0"/>
                    <w:spacing w:line="360" w:lineRule="auto"/>
                    <w:jc w:val="center"/>
                  </w:pPr>
                  <w:r>
                    <w:rPr>
                      <w:rFonts w:hint="eastAsia" w:ascii="Times New Roman" w:hAnsi="Times New Roman" w:eastAsia="黑体" w:cs="Times New Roman"/>
                      <w:sz w:val="24"/>
                      <w:lang w:eastAsia="zh-CN"/>
                    </w:rPr>
                    <w:t>图</w:t>
                  </w:r>
                  <w:r>
                    <w:rPr>
                      <w:rFonts w:ascii="Times New Roman" w:hAnsi="Times New Roman" w:eastAsia="黑体" w:cs="Times New Roman"/>
                      <w:sz w:val="24"/>
                    </w:rPr>
                    <w:t>5.3-</w:t>
                  </w:r>
                  <w:r>
                    <w:rPr>
                      <w:rFonts w:hint="eastAsia" w:ascii="Times New Roman" w:hAnsi="Times New Roman" w:eastAsia="黑体" w:cs="Times New Roman"/>
                      <w:sz w:val="24"/>
                      <w:lang w:val="en-US" w:eastAsia="zh-CN"/>
                    </w:rPr>
                    <w:t>4</w:t>
                  </w:r>
                  <w:r>
                    <w:rPr>
                      <w:rFonts w:ascii="Times New Roman" w:hAnsi="Times New Roman" w:eastAsia="黑体" w:cs="Times New Roman"/>
                      <w:sz w:val="24"/>
                    </w:rPr>
                    <w:t xml:space="preserve">  </w:t>
                  </w:r>
                  <w:r>
                    <w:rPr>
                      <w:rFonts w:hint="eastAsia" w:ascii="Times New Roman" w:hAnsi="Times New Roman" w:eastAsia="黑体" w:cs="Times New Roman"/>
                      <w:sz w:val="24"/>
                      <w:lang w:eastAsia="zh-CN"/>
                    </w:rPr>
                    <w:t>厂区外</w:t>
                  </w:r>
                  <w:r>
                    <w:rPr>
                      <w:rFonts w:ascii="Times New Roman" w:hAnsi="Times New Roman" w:eastAsia="黑体" w:cs="Times New Roman"/>
                      <w:sz w:val="24"/>
                    </w:rPr>
                    <w:t>地下水现状监测点布设</w:t>
                  </w:r>
                  <w:r>
                    <w:rPr>
                      <w:rFonts w:hint="eastAsia" w:ascii="Times New Roman" w:hAnsi="Times New Roman" w:eastAsia="黑体" w:cs="Times New Roman"/>
                      <w:sz w:val="24"/>
                      <w:lang w:eastAsia="zh-CN"/>
                    </w:rPr>
                    <w:t>示意图</w:t>
                  </w:r>
                </w:p>
              </w:txbxContent>
            </v:textbox>
          </v:shape>
        </w:pict>
      </w:r>
      <w:r>
        <w:rPr>
          <w:rFonts w:hint="eastAsia" w:eastAsiaTheme="minorEastAsia"/>
          <w:lang w:eastAsia="zh-CN"/>
        </w:rPr>
        <w:drawing>
          <wp:inline distT="0" distB="0" distL="114300" distR="114300">
            <wp:extent cx="8055610" cy="5267960"/>
            <wp:effectExtent l="0" t="0" r="2540" b="8890"/>
            <wp:docPr id="91" name="图片 91" descr="厂区外地下水点位图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厂区外地下水点位图11.27"/>
                    <pic:cNvPicPr>
                      <a:picLocks noChangeAspect="1"/>
                    </pic:cNvPicPr>
                  </pic:nvPicPr>
                  <pic:blipFill>
                    <a:blip r:embed="rId69"/>
                    <a:stretch>
                      <a:fillRect/>
                    </a:stretch>
                  </pic:blipFill>
                  <pic:spPr>
                    <a:xfrm>
                      <a:off x="0" y="0"/>
                      <a:ext cx="8055610" cy="5267960"/>
                    </a:xfrm>
                    <a:prstGeom prst="rect">
                      <a:avLst/>
                    </a:prstGeom>
                  </pic:spPr>
                </pic:pic>
              </a:graphicData>
            </a:graphic>
          </wp:inline>
        </w:drawing>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（3）监测时间和频率</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2018年12月14日，采用一次取样的方法。</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（4）监测方法</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采样方法按GB12997-91《水质采样  方案设计技术规定》、HJ/52-1999《水质 河流采样技术指导》、GB12999-91《水质采样  样品的保存和管理技术规定》。监测分析方法按《水和废水监测方法》中规定的方法执行。</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（5）监测结果</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监测结果见表5.3-2</w:t>
      </w:r>
      <w:r>
        <w:rPr>
          <w:rFonts w:hint="eastAsia" w:ascii="Times New Roman" w:hAnsi="Times New Roman" w:eastAsia="宋体" w:cs="Times New Roman"/>
          <w:sz w:val="24"/>
          <w:szCs w:val="24"/>
          <w:lang w:val="en-US" w:eastAsia="zh-CN"/>
        </w:rPr>
        <w:t>2至表5.3-25</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表5.3-2</w:t>
      </w:r>
      <w:r>
        <w:rPr>
          <w:rFonts w:hint="eastAsia" w:ascii="Times New Roman" w:hAnsi="Times New Roman" w:eastAsia="黑体" w:cs="Times New Roman"/>
          <w:sz w:val="24"/>
          <w:lang w:val="en-US" w:eastAsia="zh-CN"/>
        </w:rPr>
        <w:t>2</w:t>
      </w:r>
      <w:r>
        <w:rPr>
          <w:rFonts w:ascii="Times New Roman" w:hAnsi="Times New Roman" w:eastAsia="黑体" w:cs="Times New Roman"/>
          <w:sz w:val="24"/>
        </w:rPr>
        <w:t xml:space="preserve">  地下水环境质量监测结果-1（单位：mg/L，pH无量纲；色度：度；浑浊度：NTU）</w:t>
      </w:r>
    </w:p>
    <w:tbl>
      <w:tblPr>
        <w:tblStyle w:val="21"/>
        <w:tblW w:w="14786"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63"/>
        <w:gridCol w:w="2210"/>
        <w:gridCol w:w="1988"/>
        <w:gridCol w:w="1048"/>
        <w:gridCol w:w="834"/>
        <w:gridCol w:w="930"/>
        <w:gridCol w:w="1378"/>
        <w:gridCol w:w="1047"/>
        <w:gridCol w:w="1047"/>
        <w:gridCol w:w="1047"/>
        <w:gridCol w:w="1047"/>
        <w:gridCol w:w="104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02" w:hRule="atLeast"/>
          <w:jc w:val="center"/>
        </w:trPr>
        <w:tc>
          <w:tcPr>
            <w:tcW w:w="116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采样日期</w:t>
            </w:r>
          </w:p>
        </w:tc>
        <w:tc>
          <w:tcPr>
            <w:tcW w:w="221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检测点位</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样品性状</w:t>
            </w:r>
          </w:p>
        </w:tc>
        <w:tc>
          <w:tcPr>
            <w:tcW w:w="104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pH</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色度</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嗅和味</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肉眼可见物</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浑浊度</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硫化物</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甲苯</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苯</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耗氧量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3"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2018.12.14</w:t>
            </w:r>
          </w:p>
        </w:tc>
        <w:tc>
          <w:tcPr>
            <w:tcW w:w="2210"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厂区1#监测井</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微黄、无味、微浊</w:t>
            </w:r>
          </w:p>
        </w:tc>
        <w:tc>
          <w:tcPr>
            <w:tcW w:w="104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8.1</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10 </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6.3 </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&lt;0.006</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2.0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210"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厂区2#监测井</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4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7.2</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10 </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6.1 </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&lt;0.006</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2.8</w:t>
            </w:r>
            <w:r>
              <w:rPr>
                <w:rFonts w:ascii="Times New Roman" w:hAnsi="Times New Roman" w:eastAsia="宋体" w:cs="Times New Roman"/>
                <w:color w:val="auto"/>
                <w:szCs w:val="21"/>
                <w:highlight w:val="none"/>
              </w:rPr>
              <w:t xml:space="preserve">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210"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厂区3#监测井</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黄、无味、微浊</w:t>
            </w:r>
          </w:p>
        </w:tc>
        <w:tc>
          <w:tcPr>
            <w:tcW w:w="104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8.3</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10</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6.8 </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&lt;0.006</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1.7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210"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厂区4#监测井</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黄棕色、无味、浊</w:t>
            </w:r>
          </w:p>
        </w:tc>
        <w:tc>
          <w:tcPr>
            <w:tcW w:w="1048"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7.3</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5</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5.6 </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&lt;0.006</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2.9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210"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厂区5#监测井</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48"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7.2</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5</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5.2 </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&lt;0.006</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2.8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210"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厂区6#监测井</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48"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7.1</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10</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6.9 </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&lt;0.006</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2.2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210"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7#厂区东北侧1155m，厂区地下水下游</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无色、无味、清澈</w:t>
            </w:r>
          </w:p>
        </w:tc>
        <w:tc>
          <w:tcPr>
            <w:tcW w:w="104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7.2</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5</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1.1 </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&lt;0.006</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1.1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210"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8#厂区东北侧584m，厂区地下水上游</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4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7.3</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5</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2.1 </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&lt;0.006</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1.4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210"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9#厂区东北侧5196m，厂区地下水下游</w:t>
            </w:r>
          </w:p>
        </w:tc>
        <w:tc>
          <w:tcPr>
            <w:tcW w:w="19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4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7.2</w:t>
            </w:r>
          </w:p>
        </w:tc>
        <w:tc>
          <w:tcPr>
            <w:tcW w:w="83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5</w:t>
            </w:r>
          </w:p>
        </w:tc>
        <w:tc>
          <w:tcPr>
            <w:tcW w:w="93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3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0.89</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&lt;0.006</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c>
          <w:tcPr>
            <w:tcW w:w="104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1.8 </w:t>
            </w:r>
          </w:p>
        </w:tc>
      </w:tr>
    </w:tbl>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表5.3-2</w:t>
      </w:r>
      <w:r>
        <w:rPr>
          <w:rFonts w:hint="eastAsia" w:ascii="Times New Roman" w:hAnsi="Times New Roman" w:eastAsia="黑体" w:cs="Times New Roman"/>
          <w:sz w:val="24"/>
          <w:lang w:val="en-US" w:eastAsia="zh-CN"/>
        </w:rPr>
        <w:t>3</w:t>
      </w:r>
      <w:r>
        <w:rPr>
          <w:rFonts w:ascii="Times New Roman" w:hAnsi="Times New Roman" w:eastAsia="黑体" w:cs="Times New Roman"/>
          <w:sz w:val="24"/>
        </w:rPr>
        <w:t xml:space="preserve">  地下水环境质量监测结果-2（单位：mg/L，硒、砷、汞、镉、铅：μg/L）</w:t>
      </w:r>
    </w:p>
    <w:tbl>
      <w:tblPr>
        <w:tblStyle w:val="21"/>
        <w:tblW w:w="14786"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83"/>
        <w:gridCol w:w="2649"/>
        <w:gridCol w:w="1946"/>
        <w:gridCol w:w="1038"/>
        <w:gridCol w:w="1041"/>
        <w:gridCol w:w="1041"/>
        <w:gridCol w:w="1038"/>
        <w:gridCol w:w="1041"/>
        <w:gridCol w:w="1041"/>
        <w:gridCol w:w="1275"/>
        <w:gridCol w:w="149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567" w:hRule="atLeast"/>
          <w:jc w:val="center"/>
        </w:trPr>
        <w:tc>
          <w:tcPr>
            <w:tcW w:w="118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采样日期</w:t>
            </w:r>
          </w:p>
        </w:tc>
        <w:tc>
          <w:tcPr>
            <w:tcW w:w="264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检测点位</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样品性状</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砷</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汞</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硒</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铅</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镉</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铝</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硝酸盐</w:t>
            </w:r>
          </w:p>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（以氮计）</w:t>
            </w:r>
          </w:p>
        </w:tc>
        <w:tc>
          <w:tcPr>
            <w:tcW w:w="14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亚硝酸盐</w:t>
            </w:r>
          </w:p>
          <w:p>
            <w:pPr>
              <w:pStyle w:val="2"/>
              <w:keepNext w:val="0"/>
              <w:keepLines w:val="0"/>
              <w:pageBreakBefore w:val="0"/>
              <w:kinsoku/>
              <w:wordWrap/>
              <w:bidi w:val="0"/>
              <w:snapToGrid/>
              <w:spacing w:after="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（以氮计）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83"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2018.12.14</w:t>
            </w:r>
          </w:p>
        </w:tc>
        <w:tc>
          <w:tcPr>
            <w:tcW w:w="264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厂区1#监测井</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微黄、无味、微浊</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2.3</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0.44</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&lt;0.4</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&lt;0.008</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0.188</w:t>
            </w:r>
          </w:p>
        </w:tc>
        <w:tc>
          <w:tcPr>
            <w:tcW w:w="14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0.240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8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64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厂区2#监测井</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38"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5.0</w:t>
            </w:r>
          </w:p>
        </w:tc>
        <w:tc>
          <w:tcPr>
            <w:tcW w:w="1041"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0.922</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&lt;0.4</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&lt;0.008</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&lt;0.004</w:t>
            </w:r>
          </w:p>
        </w:tc>
        <w:tc>
          <w:tcPr>
            <w:tcW w:w="14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8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64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厂区3#监测井</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黄、无味、微浊</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1.0 </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0.69</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&lt;0.4</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&lt;0.008</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&lt;0.004</w:t>
            </w:r>
          </w:p>
        </w:tc>
        <w:tc>
          <w:tcPr>
            <w:tcW w:w="14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0.519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8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64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厂区4#监测井</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黄棕色、无味、浊</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2.2</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0.28</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&lt;0.4</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&lt;0.008</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0.026</w:t>
            </w:r>
          </w:p>
        </w:tc>
        <w:tc>
          <w:tcPr>
            <w:tcW w:w="14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0.185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8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64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厂区5#监测井</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3.0 </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0.31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&lt;0.4</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&lt;0.008</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0.071</w:t>
            </w:r>
          </w:p>
        </w:tc>
        <w:tc>
          <w:tcPr>
            <w:tcW w:w="14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0.341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8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64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厂区6#监测井</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9.7</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0.35</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&lt;0.4</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&lt;0.008</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&lt;0.004</w:t>
            </w:r>
          </w:p>
        </w:tc>
        <w:tc>
          <w:tcPr>
            <w:tcW w:w="14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0.287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8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64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7#厂区东北侧1155m，厂区地下水下游</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无色、无味、清澈</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3.8</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0.29</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0.6</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5 </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1.7 </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&lt;0.008</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0.645</w:t>
            </w:r>
          </w:p>
        </w:tc>
        <w:tc>
          <w:tcPr>
            <w:tcW w:w="14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0.083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8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64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8#厂区东北侧584m，厂区地下水上游</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38"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5.0</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0.39</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&lt;0.4</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&lt;0.008</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1.3</w:t>
            </w:r>
          </w:p>
        </w:tc>
        <w:tc>
          <w:tcPr>
            <w:tcW w:w="14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83"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64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9#厂区东北侧5196m，厂区地下水下游</w:t>
            </w:r>
          </w:p>
        </w:tc>
        <w:tc>
          <w:tcPr>
            <w:tcW w:w="194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7.8</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0.34</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&lt;0.4</w:t>
            </w:r>
          </w:p>
        </w:tc>
        <w:tc>
          <w:tcPr>
            <w:tcW w:w="103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3.6 </w:t>
            </w:r>
          </w:p>
        </w:tc>
        <w:tc>
          <w:tcPr>
            <w:tcW w:w="10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&lt;0.008</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1.28</w:t>
            </w:r>
          </w:p>
        </w:tc>
        <w:tc>
          <w:tcPr>
            <w:tcW w:w="1493"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0.960</w:t>
            </w:r>
          </w:p>
        </w:tc>
      </w:tr>
    </w:tbl>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表5.3-2</w:t>
      </w:r>
      <w:r>
        <w:rPr>
          <w:rFonts w:hint="eastAsia" w:ascii="Times New Roman" w:hAnsi="Times New Roman" w:eastAsia="黑体" w:cs="Times New Roman"/>
          <w:sz w:val="24"/>
          <w:lang w:val="en-US" w:eastAsia="zh-CN"/>
        </w:rPr>
        <w:t>4</w:t>
      </w:r>
      <w:r>
        <w:rPr>
          <w:rFonts w:ascii="Times New Roman" w:hAnsi="Times New Roman" w:eastAsia="黑体" w:cs="Times New Roman"/>
          <w:sz w:val="24"/>
        </w:rPr>
        <w:t xml:space="preserve">  地下水环境质量监测结果-3（单位：mg/L，总大肠菌群MPN/100mL）</w:t>
      </w:r>
    </w:p>
    <w:tbl>
      <w:tblPr>
        <w:tblStyle w:val="21"/>
        <w:tblW w:w="14771"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62"/>
        <w:gridCol w:w="2639"/>
        <w:gridCol w:w="1950"/>
        <w:gridCol w:w="1050"/>
        <w:gridCol w:w="1050"/>
        <w:gridCol w:w="1035"/>
        <w:gridCol w:w="1035"/>
        <w:gridCol w:w="1020"/>
        <w:gridCol w:w="1065"/>
        <w:gridCol w:w="1275"/>
        <w:gridCol w:w="149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采样日期</w:t>
            </w:r>
          </w:p>
        </w:tc>
        <w:tc>
          <w:tcPr>
            <w:tcW w:w="263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检测点位</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样品性状</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氯化物</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硫酸盐</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氨氮</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氟化物</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挥发酚</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氰化物</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六价铬</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总大肠菌群</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2018.12.14</w:t>
            </w:r>
          </w:p>
        </w:tc>
        <w:tc>
          <w:tcPr>
            <w:tcW w:w="263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rPr>
            </w:pPr>
            <w:r>
              <w:rPr>
                <w:rFonts w:eastAsia="宋体" w:cs="Times New Roman"/>
                <w:color w:val="auto"/>
              </w:rPr>
              <w:t>厂区1#监测井</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微黄、无味、微浊</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12.1</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1.92</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 xml:space="preserve">0.042 </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0.13 </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&lt;</w:t>
            </w:r>
            <w:r>
              <w:rPr>
                <w:rFonts w:hint="eastAsia" w:ascii="Times New Roman" w:hAnsi="Times New Roman"/>
                <w:color w:val="auto"/>
              </w:rPr>
              <w:t>0.0003</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p>
        </w:tc>
        <w:tc>
          <w:tcPr>
            <w:tcW w:w="263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rPr>
            </w:pPr>
            <w:r>
              <w:rPr>
                <w:rFonts w:eastAsia="宋体" w:cs="Times New Roman"/>
                <w:color w:val="auto"/>
              </w:rPr>
              <w:t>厂区2#监测井</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无色、无味、微浊</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60.0 </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5.89</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 xml:space="preserve">0.045 </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0.12 </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&lt;</w:t>
            </w:r>
            <w:r>
              <w:rPr>
                <w:rFonts w:hint="eastAsia" w:ascii="Times New Roman" w:hAnsi="Times New Roman"/>
                <w:color w:val="auto"/>
              </w:rPr>
              <w:t>0.0003</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p>
        </w:tc>
        <w:tc>
          <w:tcPr>
            <w:tcW w:w="263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rPr>
            </w:pPr>
            <w:r>
              <w:rPr>
                <w:rFonts w:eastAsia="宋体" w:cs="Times New Roman"/>
                <w:color w:val="auto"/>
              </w:rPr>
              <w:t>厂区3#监测井</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黄、无味、微浊</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27.3</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1.41</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 xml:space="preserve">0.037 </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0.29 </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&lt;</w:t>
            </w:r>
            <w:r>
              <w:rPr>
                <w:rFonts w:hint="eastAsia" w:ascii="Times New Roman" w:hAnsi="Times New Roman"/>
                <w:color w:val="auto"/>
              </w:rPr>
              <w:t>0.0003</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p>
        </w:tc>
        <w:tc>
          <w:tcPr>
            <w:tcW w:w="263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rPr>
            </w:pPr>
            <w:r>
              <w:rPr>
                <w:rFonts w:eastAsia="宋体" w:cs="Times New Roman"/>
                <w:color w:val="auto"/>
              </w:rPr>
              <w:t>厂区4#监测井</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黄棕色、无味、浊</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12.2</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0.393</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 xml:space="preserve">0.039 </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0.20 </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&lt;</w:t>
            </w:r>
            <w:r>
              <w:rPr>
                <w:rFonts w:hint="eastAsia" w:ascii="Times New Roman" w:hAnsi="Times New Roman"/>
                <w:color w:val="auto"/>
              </w:rPr>
              <w:t>0.0003</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p>
        </w:tc>
        <w:tc>
          <w:tcPr>
            <w:tcW w:w="263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rPr>
            </w:pPr>
            <w:r>
              <w:rPr>
                <w:rFonts w:eastAsia="宋体" w:cs="Times New Roman"/>
                <w:color w:val="auto"/>
              </w:rPr>
              <w:t>厂区5#监测井</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无色、无味、微浊</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12.1</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0.427</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 xml:space="preserve">0.048 </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0.20 </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&lt;</w:t>
            </w:r>
            <w:r>
              <w:rPr>
                <w:rFonts w:hint="eastAsia" w:ascii="Times New Roman" w:hAnsi="Times New Roman"/>
                <w:color w:val="auto"/>
              </w:rPr>
              <w:t>0.0003</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p>
        </w:tc>
        <w:tc>
          <w:tcPr>
            <w:tcW w:w="263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rPr>
            </w:pPr>
            <w:r>
              <w:rPr>
                <w:rFonts w:eastAsia="宋体" w:cs="Times New Roman"/>
                <w:color w:val="auto"/>
              </w:rPr>
              <w:t>厂区6#监测井</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无色、无味、微浊</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12.2</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0.687</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 xml:space="preserve">0.042 </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0.19 </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&lt;</w:t>
            </w:r>
            <w:r>
              <w:rPr>
                <w:rFonts w:hint="eastAsia" w:ascii="Times New Roman" w:hAnsi="Times New Roman"/>
                <w:color w:val="auto"/>
              </w:rPr>
              <w:t>0.0003</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p>
        </w:tc>
        <w:tc>
          <w:tcPr>
            <w:tcW w:w="263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rPr>
            </w:pPr>
            <w:r>
              <w:rPr>
                <w:rFonts w:eastAsia="宋体" w:cs="Times New Roman"/>
                <w:color w:val="auto"/>
              </w:rPr>
              <w:t>7#厂区东北侧1155m，厂区地下水下游</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无色、无味、清澈</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9.44</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7.02</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 xml:space="preserve">0.045 </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0.18 </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&lt;</w:t>
            </w:r>
            <w:r>
              <w:rPr>
                <w:rFonts w:hint="eastAsia" w:ascii="Times New Roman" w:hAnsi="Times New Roman"/>
                <w:color w:val="auto"/>
              </w:rPr>
              <w:t>0.0003</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p>
        </w:tc>
        <w:tc>
          <w:tcPr>
            <w:tcW w:w="263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rPr>
            </w:pPr>
            <w:r>
              <w:rPr>
                <w:rFonts w:eastAsia="宋体" w:cs="Times New Roman"/>
                <w:color w:val="auto"/>
              </w:rPr>
              <w:t>8#厂区东北侧584m，厂区地下水上游</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无色、无味、微浊</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11.0 </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20.3</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 xml:space="preserve">0.039 </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0.57 </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&lt;</w:t>
            </w:r>
            <w:r>
              <w:rPr>
                <w:rFonts w:hint="eastAsia" w:ascii="Times New Roman" w:hAnsi="Times New Roman"/>
                <w:color w:val="auto"/>
              </w:rPr>
              <w:t>0.0003</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6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p>
        </w:tc>
        <w:tc>
          <w:tcPr>
            <w:tcW w:w="263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rPr>
            </w:pPr>
            <w:r>
              <w:rPr>
                <w:rFonts w:eastAsia="宋体" w:cs="Times New Roman"/>
                <w:color w:val="auto"/>
              </w:rPr>
              <w:t>9#厂区东北侧5196m，厂区地下水下游</w:t>
            </w:r>
          </w:p>
        </w:tc>
        <w:tc>
          <w:tcPr>
            <w:tcW w:w="19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无色、无味、微浊</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133</w:t>
            </w:r>
          </w:p>
        </w:tc>
        <w:tc>
          <w:tcPr>
            <w:tcW w:w="105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107</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hint="eastAsia" w:ascii="Times New Roman" w:hAnsi="Times New Roman"/>
                <w:color w:val="auto"/>
              </w:rPr>
              <w:t>0.037</w:t>
            </w:r>
          </w:p>
        </w:tc>
        <w:tc>
          <w:tcPr>
            <w:tcW w:w="103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0.52 </w:t>
            </w:r>
          </w:p>
        </w:tc>
        <w:tc>
          <w:tcPr>
            <w:tcW w:w="10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color w:val="auto"/>
              </w:rPr>
              <w:t>&lt;</w:t>
            </w:r>
            <w:r>
              <w:rPr>
                <w:rFonts w:hint="eastAsia" w:ascii="Times New Roman" w:hAnsi="Times New Roman"/>
                <w:color w:val="auto"/>
              </w:rPr>
              <w:t>0.0003</w:t>
            </w:r>
          </w:p>
        </w:tc>
        <w:tc>
          <w:tcPr>
            <w:tcW w:w="106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27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&lt;0.004</w:t>
            </w:r>
          </w:p>
        </w:tc>
        <w:tc>
          <w:tcPr>
            <w:tcW w:w="149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rPr>
            </w:pPr>
            <w:r>
              <w:rPr>
                <w:rFonts w:ascii="Times New Roman" w:hAnsi="Times New Roman" w:eastAsia="宋体" w:cs="Times New Roman"/>
                <w:color w:val="auto"/>
                <w:szCs w:val="21"/>
              </w:rPr>
              <w:t>&lt;2</w:t>
            </w:r>
          </w:p>
        </w:tc>
      </w:tr>
    </w:tbl>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表5.3-2</w:t>
      </w:r>
      <w:r>
        <w:rPr>
          <w:rFonts w:hint="eastAsia" w:ascii="Times New Roman" w:hAnsi="Times New Roman" w:eastAsia="黑体" w:cs="Times New Roman"/>
          <w:sz w:val="24"/>
          <w:lang w:val="en-US" w:eastAsia="zh-CN"/>
        </w:rPr>
        <w:t>5</w:t>
      </w:r>
      <w:r>
        <w:rPr>
          <w:rFonts w:ascii="Times New Roman" w:hAnsi="Times New Roman" w:eastAsia="黑体" w:cs="Times New Roman"/>
          <w:sz w:val="24"/>
        </w:rPr>
        <w:t xml:space="preserve">  地下水环境质量监测结果-4（单位：mg/L；菌落总数：CFU/mL</w:t>
      </w:r>
      <w:r>
        <w:rPr>
          <w:rFonts w:hint="eastAsia" w:ascii="Times New Roman" w:hAnsi="Times New Roman" w:eastAsia="黑体" w:cs="Times New Roman"/>
          <w:sz w:val="24"/>
          <w:lang w:eastAsia="zh-CN"/>
        </w:rPr>
        <w:t>，四氯化碳、苯并芘</w:t>
      </w:r>
      <w:r>
        <w:rPr>
          <w:rFonts w:ascii="Times New Roman" w:hAnsi="Times New Roman" w:eastAsia="黑体" w:cs="Times New Roman"/>
          <w:sz w:val="24"/>
        </w:rPr>
        <w:t>：μg/L）</w:t>
      </w:r>
    </w:p>
    <w:tbl>
      <w:tblPr>
        <w:tblStyle w:val="21"/>
        <w:tblW w:w="14740"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11"/>
        <w:gridCol w:w="2029"/>
        <w:gridCol w:w="1614"/>
        <w:gridCol w:w="870"/>
        <w:gridCol w:w="893"/>
        <w:gridCol w:w="870"/>
        <w:gridCol w:w="832"/>
        <w:gridCol w:w="745"/>
        <w:gridCol w:w="1515"/>
        <w:gridCol w:w="1105"/>
        <w:gridCol w:w="1159"/>
        <w:gridCol w:w="1064"/>
        <w:gridCol w:w="93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12" w:hRule="atLeast"/>
          <w:jc w:val="center"/>
        </w:trPr>
        <w:tc>
          <w:tcPr>
            <w:tcW w:w="11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采样日期</w:t>
            </w:r>
          </w:p>
        </w:tc>
        <w:tc>
          <w:tcPr>
            <w:tcW w:w="202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检测点位</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样品性状</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铁</w:t>
            </w:r>
          </w:p>
        </w:tc>
        <w:tc>
          <w:tcPr>
            <w:tcW w:w="8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锰</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铜</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锌</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钠</w:t>
            </w:r>
          </w:p>
        </w:tc>
        <w:tc>
          <w:tcPr>
            <w:tcW w:w="151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溶解性总固体</w:t>
            </w:r>
          </w:p>
        </w:tc>
        <w:tc>
          <w:tcPr>
            <w:tcW w:w="11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总硬度</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菌落总数</w:t>
            </w:r>
          </w:p>
        </w:tc>
        <w:tc>
          <w:tcPr>
            <w:tcW w:w="1064" w:type="dxa"/>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b/>
                <w:bCs/>
                <w:color w:val="auto"/>
                <w:szCs w:val="21"/>
                <w:highlight w:val="none"/>
                <w:lang w:eastAsia="zh-CN"/>
              </w:rPr>
            </w:pPr>
            <w:r>
              <w:rPr>
                <w:rFonts w:hint="eastAsia" w:ascii="Times New Roman" w:hAnsi="Times New Roman" w:eastAsia="宋体" w:cs="Times New Roman"/>
                <w:b/>
                <w:bCs/>
                <w:color w:val="auto"/>
                <w:szCs w:val="21"/>
                <w:highlight w:val="none"/>
                <w:lang w:eastAsia="zh-CN"/>
              </w:rPr>
              <w:t>四氯化碳</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苯并芘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14" w:hRule="atLeast"/>
          <w:jc w:val="center"/>
        </w:trPr>
        <w:tc>
          <w:tcPr>
            <w:tcW w:w="1111"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2018.12.14</w:t>
            </w:r>
          </w:p>
        </w:tc>
        <w:tc>
          <w:tcPr>
            <w:tcW w:w="202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厂区1#监测井</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微黄、无味、微浊</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893"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0.06</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2.45 </w:t>
            </w:r>
          </w:p>
        </w:tc>
        <w:tc>
          <w:tcPr>
            <w:tcW w:w="151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157 </w:t>
            </w:r>
          </w:p>
        </w:tc>
        <w:tc>
          <w:tcPr>
            <w:tcW w:w="11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127</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31</w:t>
            </w:r>
          </w:p>
        </w:tc>
        <w:tc>
          <w:tcPr>
            <w:tcW w:w="1064" w:type="dxa"/>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color w:val="auto"/>
                <w:szCs w:val="21"/>
                <w:highlight w:val="none"/>
                <w:lang w:eastAsia="zh-CN"/>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02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厂区2#监测井</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0.14 </w:t>
            </w:r>
          </w:p>
        </w:tc>
        <w:tc>
          <w:tcPr>
            <w:tcW w:w="8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0.07</w:t>
            </w:r>
            <w:r>
              <w:rPr>
                <w:rFonts w:ascii="Times New Roman" w:hAnsi="Times New Roman" w:eastAsia="宋体" w:cs="Times New Roman"/>
                <w:color w:val="auto"/>
                <w:szCs w:val="21"/>
                <w:highlight w:val="none"/>
              </w:rPr>
              <w:t xml:space="preserve"> </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6.70 </w:t>
            </w:r>
          </w:p>
        </w:tc>
        <w:tc>
          <w:tcPr>
            <w:tcW w:w="151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501 </w:t>
            </w:r>
          </w:p>
        </w:tc>
        <w:tc>
          <w:tcPr>
            <w:tcW w:w="11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440</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35</w:t>
            </w:r>
          </w:p>
        </w:tc>
        <w:tc>
          <w:tcPr>
            <w:tcW w:w="106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02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厂区3#监测井</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黄、无味、微浊</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0.09 </w:t>
            </w:r>
          </w:p>
        </w:tc>
        <w:tc>
          <w:tcPr>
            <w:tcW w:w="8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0.07 </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3.80 </w:t>
            </w:r>
          </w:p>
        </w:tc>
        <w:tc>
          <w:tcPr>
            <w:tcW w:w="151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125</w:t>
            </w:r>
          </w:p>
        </w:tc>
        <w:tc>
          <w:tcPr>
            <w:tcW w:w="11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77</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28</w:t>
            </w:r>
          </w:p>
        </w:tc>
        <w:tc>
          <w:tcPr>
            <w:tcW w:w="106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02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厂区4#监测井</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黄棕色、无味、浊</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0.16 </w:t>
            </w:r>
          </w:p>
        </w:tc>
        <w:tc>
          <w:tcPr>
            <w:tcW w:w="8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20.2 </w:t>
            </w:r>
          </w:p>
        </w:tc>
        <w:tc>
          <w:tcPr>
            <w:tcW w:w="151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235</w:t>
            </w:r>
          </w:p>
        </w:tc>
        <w:tc>
          <w:tcPr>
            <w:tcW w:w="11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149</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33</w:t>
            </w:r>
          </w:p>
        </w:tc>
        <w:tc>
          <w:tcPr>
            <w:tcW w:w="106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1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02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厂区5#监测井</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0.14 </w:t>
            </w:r>
          </w:p>
        </w:tc>
        <w:tc>
          <w:tcPr>
            <w:tcW w:w="8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18.8 </w:t>
            </w:r>
          </w:p>
        </w:tc>
        <w:tc>
          <w:tcPr>
            <w:tcW w:w="151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233</w:t>
            </w:r>
          </w:p>
        </w:tc>
        <w:tc>
          <w:tcPr>
            <w:tcW w:w="11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168</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27</w:t>
            </w:r>
          </w:p>
        </w:tc>
        <w:tc>
          <w:tcPr>
            <w:tcW w:w="106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9" w:hRule="atLeast"/>
          <w:jc w:val="center"/>
        </w:trPr>
        <w:tc>
          <w:tcPr>
            <w:tcW w:w="11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02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厂区6#监测井</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0.15 </w:t>
            </w:r>
          </w:p>
        </w:tc>
        <w:tc>
          <w:tcPr>
            <w:tcW w:w="8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3.80 </w:t>
            </w:r>
          </w:p>
        </w:tc>
        <w:tc>
          <w:tcPr>
            <w:tcW w:w="151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209</w:t>
            </w:r>
          </w:p>
        </w:tc>
        <w:tc>
          <w:tcPr>
            <w:tcW w:w="11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154</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39</w:t>
            </w:r>
          </w:p>
        </w:tc>
        <w:tc>
          <w:tcPr>
            <w:tcW w:w="106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24" w:hRule="atLeast"/>
          <w:jc w:val="center"/>
        </w:trPr>
        <w:tc>
          <w:tcPr>
            <w:tcW w:w="11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02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7#厂区东北侧1155m，厂区地下水下游</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无色、无味、清澈</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0.07 </w:t>
            </w:r>
          </w:p>
        </w:tc>
        <w:tc>
          <w:tcPr>
            <w:tcW w:w="8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0.07</w:t>
            </w:r>
            <w:r>
              <w:rPr>
                <w:rFonts w:ascii="Times New Roman" w:hAnsi="Times New Roman" w:eastAsia="宋体" w:cs="Times New Roman"/>
                <w:color w:val="auto"/>
                <w:szCs w:val="21"/>
                <w:highlight w:val="none"/>
              </w:rPr>
              <w:t xml:space="preserve"> </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15.0 </w:t>
            </w:r>
          </w:p>
        </w:tc>
        <w:tc>
          <w:tcPr>
            <w:tcW w:w="151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401</w:t>
            </w:r>
          </w:p>
        </w:tc>
        <w:tc>
          <w:tcPr>
            <w:tcW w:w="11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332</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37</w:t>
            </w:r>
          </w:p>
        </w:tc>
        <w:tc>
          <w:tcPr>
            <w:tcW w:w="106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94" w:hRule="atLeast"/>
          <w:jc w:val="center"/>
        </w:trPr>
        <w:tc>
          <w:tcPr>
            <w:tcW w:w="11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02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8#厂区东北侧584m，厂区地下水上游</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0.07 </w:t>
            </w:r>
          </w:p>
        </w:tc>
        <w:tc>
          <w:tcPr>
            <w:tcW w:w="8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0.06 </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7.85 </w:t>
            </w:r>
          </w:p>
        </w:tc>
        <w:tc>
          <w:tcPr>
            <w:tcW w:w="151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281</w:t>
            </w:r>
          </w:p>
        </w:tc>
        <w:tc>
          <w:tcPr>
            <w:tcW w:w="11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235</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24</w:t>
            </w:r>
          </w:p>
        </w:tc>
        <w:tc>
          <w:tcPr>
            <w:tcW w:w="106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64" w:hRule="atLeast"/>
          <w:jc w:val="center"/>
        </w:trPr>
        <w:tc>
          <w:tcPr>
            <w:tcW w:w="1111"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p>
        </w:tc>
        <w:tc>
          <w:tcPr>
            <w:tcW w:w="202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auto"/>
                <w:highlight w:val="none"/>
              </w:rPr>
            </w:pPr>
            <w:r>
              <w:rPr>
                <w:rFonts w:eastAsia="宋体" w:cs="Times New Roman"/>
                <w:color w:val="auto"/>
                <w:highlight w:val="none"/>
              </w:rPr>
              <w:t>9#厂区东北侧5196m，厂区地下水下游</w:t>
            </w:r>
          </w:p>
        </w:tc>
        <w:tc>
          <w:tcPr>
            <w:tcW w:w="161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无色、无味、微浊</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0.07 </w:t>
            </w:r>
          </w:p>
        </w:tc>
        <w:tc>
          <w:tcPr>
            <w:tcW w:w="89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0.05 </w:t>
            </w:r>
          </w:p>
        </w:tc>
        <w:tc>
          <w:tcPr>
            <w:tcW w:w="87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83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&lt;0.05</w:t>
            </w:r>
          </w:p>
        </w:tc>
        <w:tc>
          <w:tcPr>
            <w:tcW w:w="74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32.0 </w:t>
            </w:r>
          </w:p>
        </w:tc>
        <w:tc>
          <w:tcPr>
            <w:tcW w:w="1515"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467</w:t>
            </w:r>
          </w:p>
        </w:tc>
        <w:tc>
          <w:tcPr>
            <w:tcW w:w="1105" w:type="dxa"/>
            <w:tcBorders>
              <w:tl2br w:val="nil"/>
              <w:tr2bl w:val="nil"/>
            </w:tcBorders>
            <w:vAlign w:val="center"/>
          </w:tcPr>
          <w:p>
            <w:pPr>
              <w:keepNext w:val="0"/>
              <w:keepLines w:val="0"/>
              <w:pageBreakBefore w:val="0"/>
              <w:kinsoku/>
              <w:wordWrap/>
              <w:bidi w:val="0"/>
              <w:snapToGrid/>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416</w:t>
            </w:r>
          </w:p>
        </w:tc>
        <w:tc>
          <w:tcPr>
            <w:tcW w:w="115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22</w:t>
            </w:r>
          </w:p>
        </w:tc>
        <w:tc>
          <w:tcPr>
            <w:tcW w:w="106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c>
          <w:tcPr>
            <w:tcW w:w="93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&lt;0.</w:t>
            </w:r>
            <w:r>
              <w:rPr>
                <w:rFonts w:hint="eastAsia" w:ascii="Times New Roman" w:hAnsi="Times New Roman" w:eastAsia="宋体" w:cs="Times New Roman"/>
                <w:color w:val="auto"/>
                <w:szCs w:val="21"/>
                <w:highlight w:val="none"/>
                <w:lang w:val="en-US" w:eastAsia="zh-CN"/>
              </w:rPr>
              <w:t>5</w:t>
            </w:r>
          </w:p>
        </w:tc>
      </w:tr>
    </w:tbl>
    <w:p>
      <w:pPr>
        <w:pStyle w:val="2"/>
        <w:keepNext w:val="0"/>
        <w:keepLines w:val="0"/>
        <w:pageBreakBefore w:val="0"/>
        <w:kinsoku/>
        <w:wordWrap/>
        <w:bidi w:val="0"/>
        <w:snapToGrid/>
        <w:rPr>
          <w:rFonts w:ascii="Times New Roman" w:hAnsi="Times New Roman" w:cs="Times New Roman"/>
        </w:rPr>
      </w:pPr>
    </w:p>
    <w:p>
      <w:pPr>
        <w:pStyle w:val="2"/>
        <w:keepNext w:val="0"/>
        <w:keepLines w:val="0"/>
        <w:pageBreakBefore w:val="0"/>
        <w:kinsoku/>
        <w:wordWrap/>
        <w:bidi w:val="0"/>
        <w:snapToGrid/>
        <w:rPr>
          <w:rFonts w:ascii="Times New Roman" w:hAnsi="Times New Roman" w:cs="Times New Roman"/>
        </w:rPr>
      </w:pPr>
    </w:p>
    <w:p>
      <w:pPr>
        <w:pStyle w:val="2"/>
        <w:keepNext w:val="0"/>
        <w:keepLines w:val="0"/>
        <w:pageBreakBefore w:val="0"/>
        <w:kinsoku/>
        <w:wordWrap/>
        <w:bidi w:val="0"/>
        <w:snapToGrid/>
        <w:rPr>
          <w:rFonts w:ascii="Times New Roman" w:hAnsi="Times New Roman" w:cs="Times New Roman"/>
        </w:rPr>
      </w:pPr>
    </w:p>
    <w:p>
      <w:pPr>
        <w:pStyle w:val="2"/>
        <w:keepNext w:val="0"/>
        <w:keepLines w:val="0"/>
        <w:pageBreakBefore w:val="0"/>
        <w:kinsoku/>
        <w:wordWrap/>
        <w:bidi w:val="0"/>
        <w:snapToGrid/>
        <w:rPr>
          <w:rFonts w:ascii="Times New Roman" w:hAnsi="Times New Roman" w:cs="Times New Roman"/>
        </w:rPr>
      </w:pP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5.3.4.2地下水环境质量现状评价</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（1）评价标准</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项目所在区域地下水水质执行《地下水质量标准》（GB/T14848-2017）中III类标准，各污染物标准值见表5.3-2</w:t>
      </w:r>
      <w:r>
        <w:rPr>
          <w:rFonts w:hint="eastAsia" w:ascii="Times New Roman" w:hAnsi="Times New Roman" w:eastAsia="宋体" w:cs="Times New Roman"/>
          <w:sz w:val="24"/>
          <w:lang w:val="en-US" w:eastAsia="zh-CN"/>
        </w:rPr>
        <w:t>6</w:t>
      </w:r>
      <w:r>
        <w:rPr>
          <w:rFonts w:ascii="Times New Roman" w:hAnsi="Times New Roman" w:eastAsia="宋体" w:cs="Times New Roman"/>
          <w:sz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表5.3-2</w:t>
      </w:r>
      <w:r>
        <w:rPr>
          <w:rFonts w:hint="eastAsia" w:ascii="Times New Roman" w:hAnsi="Times New Roman" w:eastAsia="黑体" w:cs="Times New Roman"/>
          <w:sz w:val="24"/>
          <w:lang w:val="en-US" w:eastAsia="zh-CN"/>
        </w:rPr>
        <w:t>6</w:t>
      </w:r>
      <w:r>
        <w:rPr>
          <w:rFonts w:ascii="Times New Roman" w:hAnsi="Times New Roman" w:eastAsia="黑体" w:cs="Times New Roman"/>
          <w:sz w:val="24"/>
        </w:rPr>
        <w:t xml:space="preserve">  地下水环境质量标准</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41"/>
        <w:gridCol w:w="1867"/>
        <w:gridCol w:w="1757"/>
        <w:gridCol w:w="25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项目</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单位</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szCs w:val="21"/>
              </w:rPr>
              <w:fldChar w:fldCharType="begin"/>
            </w:r>
            <w:r>
              <w:rPr>
                <w:rFonts w:ascii="Times New Roman" w:hAnsi="Times New Roman" w:eastAsia="宋体" w:cs="Times New Roman"/>
                <w:b/>
                <w:bCs/>
                <w:szCs w:val="21"/>
              </w:rPr>
              <w:instrText xml:space="preserve"> = 3 \* ROMAN </w:instrText>
            </w:r>
            <w:r>
              <w:rPr>
                <w:rFonts w:ascii="Times New Roman" w:hAnsi="Times New Roman" w:eastAsia="宋体" w:cs="Times New Roman"/>
                <w:b/>
                <w:bCs/>
                <w:szCs w:val="21"/>
              </w:rPr>
              <w:fldChar w:fldCharType="separate"/>
            </w:r>
            <w:r>
              <w:rPr>
                <w:rFonts w:ascii="Times New Roman" w:hAnsi="Times New Roman" w:eastAsia="宋体" w:cs="Times New Roman"/>
                <w:b/>
                <w:bCs/>
                <w:szCs w:val="21"/>
              </w:rPr>
              <w:t>III</w:t>
            </w:r>
            <w:r>
              <w:rPr>
                <w:rFonts w:ascii="Times New Roman" w:hAnsi="Times New Roman" w:eastAsia="宋体" w:cs="Times New Roman"/>
                <w:b/>
                <w:bCs/>
                <w:szCs w:val="21"/>
              </w:rPr>
              <w:fldChar w:fldCharType="end"/>
            </w:r>
            <w:r>
              <w:rPr>
                <w:rFonts w:ascii="Times New Roman" w:hAnsi="Times New Roman" w:eastAsia="宋体" w:cs="Times New Roman"/>
                <w:b/>
                <w:bCs/>
                <w:kern w:val="0"/>
                <w:szCs w:val="21"/>
              </w:rPr>
              <w:t>类标准值</w:t>
            </w:r>
          </w:p>
        </w:tc>
        <w:tc>
          <w:tcPr>
            <w:tcW w:w="2506"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6565" w:type="dxa"/>
            <w:gridSpan w:val="3"/>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kern w:val="0"/>
                <w:szCs w:val="21"/>
              </w:rPr>
            </w:pPr>
            <w:r>
              <w:rPr>
                <w:rFonts w:ascii="Times New Roman" w:hAnsi="Times New Roman" w:eastAsia="宋体" w:cs="Times New Roman"/>
                <w:b/>
                <w:kern w:val="0"/>
                <w:szCs w:val="21"/>
              </w:rPr>
              <w:t>感官性状及一般化学指标</w:t>
            </w:r>
          </w:p>
        </w:tc>
        <w:tc>
          <w:tcPr>
            <w:tcW w:w="2506" w:type="dxa"/>
            <w:vMerge w:val="restart"/>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《地下水质量标准》（GB/T14848-2017）中III类水质标准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色度</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铂钴色单位</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2506" w:type="dxa"/>
            <w:vMerge w:val="continue"/>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浑浊度</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NTU</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2506" w:type="dxa"/>
            <w:vMerge w:val="continue"/>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pH</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6.5-8.5</w:t>
            </w:r>
          </w:p>
        </w:tc>
        <w:tc>
          <w:tcPr>
            <w:tcW w:w="2506" w:type="dxa"/>
            <w:vMerge w:val="continue"/>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总硬度（以CaCO</w:t>
            </w:r>
            <w:r>
              <w:rPr>
                <w:rFonts w:ascii="Times New Roman" w:hAnsi="Times New Roman" w:eastAsia="宋体" w:cs="Times New Roman"/>
                <w:kern w:val="0"/>
                <w:szCs w:val="21"/>
                <w:vertAlign w:val="subscript"/>
              </w:rPr>
              <w:t>3</w:t>
            </w:r>
            <w:r>
              <w:rPr>
                <w:rFonts w:ascii="Times New Roman" w:hAnsi="Times New Roman" w:eastAsia="宋体" w:cs="Times New Roman"/>
                <w:kern w:val="0"/>
                <w:szCs w:val="21"/>
              </w:rPr>
              <w:t>计）</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≤450</w:t>
            </w:r>
          </w:p>
        </w:tc>
        <w:tc>
          <w:tcPr>
            <w:tcW w:w="2506" w:type="dxa"/>
            <w:vMerge w:val="continue"/>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溶解性固体</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≤1000</w:t>
            </w:r>
          </w:p>
        </w:tc>
        <w:tc>
          <w:tcPr>
            <w:tcW w:w="2506" w:type="dxa"/>
            <w:vMerge w:val="continue"/>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硫酸盐</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≤250</w:t>
            </w:r>
          </w:p>
        </w:tc>
        <w:tc>
          <w:tcPr>
            <w:tcW w:w="2506" w:type="dxa"/>
            <w:vMerge w:val="continue"/>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氯化物</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≤250</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铁</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≤0.3</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锰</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≤0.10</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铜</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≤1.00</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锌</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≤1.00</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铝</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≤0.20</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挥发性酚类（以苯酚计）</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≤0.002</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耗氧量（COD</w:t>
            </w:r>
            <w:r>
              <w:rPr>
                <w:rFonts w:ascii="Times New Roman" w:hAnsi="Times New Roman" w:eastAsia="宋体" w:cs="Times New Roman"/>
                <w:szCs w:val="21"/>
                <w:vertAlign w:val="subscript"/>
              </w:rPr>
              <w:t>Mn</w:t>
            </w:r>
            <w:r>
              <w:rPr>
                <w:rFonts w:ascii="Times New Roman" w:hAnsi="Times New Roman" w:eastAsia="宋体" w:cs="Times New Roman"/>
                <w:szCs w:val="21"/>
              </w:rPr>
              <w:t>法，以O</w:t>
            </w:r>
            <w:r>
              <w:rPr>
                <w:rFonts w:ascii="Times New Roman" w:hAnsi="Times New Roman" w:eastAsia="宋体" w:cs="Times New Roman"/>
                <w:szCs w:val="21"/>
                <w:vertAlign w:val="subscript"/>
              </w:rPr>
              <w:t>2</w:t>
            </w:r>
            <w:r>
              <w:rPr>
                <w:rFonts w:ascii="Times New Roman" w:hAnsi="Times New Roman" w:eastAsia="宋体" w:cs="Times New Roman"/>
                <w:szCs w:val="21"/>
              </w:rPr>
              <w:t>计）</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≤3.0</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氨氮（以N计）</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≤0.5</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硫化物</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≤0.02</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钠</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≤200</w:t>
            </w:r>
          </w:p>
        </w:tc>
        <w:tc>
          <w:tcPr>
            <w:tcW w:w="2506"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6565" w:type="dxa"/>
            <w:gridSpan w:val="3"/>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kern w:val="0"/>
                <w:szCs w:val="21"/>
              </w:rPr>
            </w:pPr>
            <w:r>
              <w:rPr>
                <w:rFonts w:ascii="Times New Roman" w:hAnsi="Times New Roman" w:eastAsia="宋体" w:cs="Times New Roman"/>
                <w:b/>
                <w:kern w:val="0"/>
                <w:szCs w:val="21"/>
              </w:rPr>
              <w:t>微生物指标</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总大肠菌群</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MPN/100mL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≤3.0</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菌落总数</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CFU/mL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≤100</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6565" w:type="dxa"/>
            <w:gridSpan w:val="3"/>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szCs w:val="21"/>
              </w:rPr>
            </w:pPr>
            <w:r>
              <w:rPr>
                <w:rFonts w:ascii="Times New Roman" w:hAnsi="Times New Roman" w:eastAsia="宋体" w:cs="Times New Roman"/>
                <w:b/>
                <w:szCs w:val="21"/>
              </w:rPr>
              <w:t>毒理学指标</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亚硝酸盐（以N计）</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≤1.00</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硝酸盐（以N计）</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≤20.0</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氰化物</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≤0.05</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汞</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≤0.001</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砷</w:t>
            </w:r>
          </w:p>
        </w:tc>
        <w:tc>
          <w:tcPr>
            <w:tcW w:w="1867" w:type="dxa"/>
            <w:tcBorders>
              <w:tl2br w:val="nil"/>
              <w:tr2bl w:val="nil"/>
            </w:tcBorders>
            <w:shd w:val="clear" w:color="auto" w:fill="auto"/>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≤0.01</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镉</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≤0.005</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铬</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≤0.05</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铅</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≤0.01</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甲苯</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ug/L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≤700</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苯</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ug/L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≤10.0</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硒</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≤0.01</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氟化物</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四氯化碳</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sym w:font="Symbol" w:char="F06D"/>
            </w:r>
            <w:r>
              <w:rPr>
                <w:rFonts w:ascii="Times New Roman" w:hAnsi="Times New Roman" w:eastAsia="宋体" w:cs="Times New Roman"/>
                <w:kern w:val="0"/>
                <w:szCs w:val="21"/>
              </w:rPr>
              <w:t>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≤4.0</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3" w:hRule="atLeast"/>
          <w:jc w:val="center"/>
        </w:trPr>
        <w:tc>
          <w:tcPr>
            <w:tcW w:w="6565" w:type="dxa"/>
            <w:gridSpan w:val="3"/>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非常规指标及限值</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3" w:hRule="atLeast"/>
          <w:jc w:val="center"/>
        </w:trPr>
        <w:tc>
          <w:tcPr>
            <w:tcW w:w="2941"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苯并(a)芘</w:t>
            </w:r>
          </w:p>
        </w:tc>
        <w:tc>
          <w:tcPr>
            <w:tcW w:w="186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sym w:font="Symbol" w:char="F06D"/>
            </w:r>
            <w:r>
              <w:rPr>
                <w:rFonts w:ascii="Times New Roman" w:hAnsi="Times New Roman" w:eastAsia="宋体" w:cs="Times New Roman"/>
                <w:kern w:val="0"/>
                <w:szCs w:val="21"/>
              </w:rPr>
              <w:t>g/L</w:t>
            </w:r>
          </w:p>
        </w:tc>
        <w:tc>
          <w:tcPr>
            <w:tcW w:w="175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≤0.01</w:t>
            </w:r>
          </w:p>
        </w:tc>
        <w:tc>
          <w:tcPr>
            <w:tcW w:w="2506" w:type="dxa"/>
            <w:vMerge w:val="continue"/>
            <w:tcBorders>
              <w:tl2br w:val="nil"/>
              <w:tr2bl w:val="nil"/>
            </w:tcBorders>
            <w:vAlign w:val="center"/>
          </w:tcPr>
          <w:p>
            <w:pPr>
              <w:keepNext w:val="0"/>
              <w:keepLines w:val="0"/>
              <w:pageBreakBefore w:val="0"/>
              <w:widowControl/>
              <w:kinsoku/>
              <w:wordWrap/>
              <w:bidi w:val="0"/>
              <w:snapToGrid/>
              <w:jc w:val="left"/>
              <w:rPr>
                <w:rFonts w:ascii="Times New Roman" w:hAnsi="Times New Roman" w:eastAsia="宋体" w:cs="Times New Roman"/>
                <w:kern w:val="0"/>
                <w:szCs w:val="21"/>
              </w:rPr>
            </w:pPr>
          </w:p>
        </w:tc>
      </w:tr>
    </w:tbl>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（2）评价方法</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依照《环境影响评价技术导则-地下水》（HJ610-2016）所给模式进行计算。单项水质参数i在第j点的标准指数：</w:t>
      </w:r>
    </w:p>
    <w:p>
      <w:pPr>
        <w:keepNext w:val="0"/>
        <w:keepLines w:val="0"/>
        <w:pageBreakBefore w:val="0"/>
        <w:widowControl/>
        <w:kinsoku/>
        <w:wordWrap/>
        <w:bidi w:val="0"/>
        <w:snapToGrid/>
        <w:spacing w:line="360" w:lineRule="auto"/>
        <w:jc w:val="center"/>
        <w:rPr>
          <w:rFonts w:ascii="Times New Roman" w:hAnsi="Times New Roman" w:eastAsia="宋体" w:cs="Times New Roman"/>
          <w:sz w:val="24"/>
        </w:rPr>
      </w:pPr>
      <m:oMathPara>
        <m:oMath>
          <m:sSub>
            <m:sSubPr>
              <m:ctrlPr>
                <w:rPr>
                  <w:rFonts w:ascii="Cambria Math" w:hAnsi="Cambria Math" w:eastAsia="宋体" w:cs="Times New Roman"/>
                  <w:sz w:val="24"/>
                </w:rPr>
              </m:ctrlPr>
            </m:sSubPr>
            <m:e>
              <m:r>
                <m:rPr>
                  <m:sty m:val="p"/>
                </m:rPr>
                <w:rPr>
                  <w:rFonts w:ascii="Cambria Math" w:hAnsi="Cambria Math" w:eastAsia="宋体" w:cs="Times New Roman"/>
                  <w:sz w:val="24"/>
                </w:rPr>
                <m:t>P</m:t>
              </m:r>
              <m:ctrlPr>
                <w:rPr>
                  <w:rFonts w:ascii="Cambria Math" w:hAnsi="Cambria Math" w:eastAsia="宋体" w:cs="Times New Roman"/>
                  <w:sz w:val="24"/>
                </w:rPr>
              </m:ctrlPr>
            </m:e>
            <m:sub>
              <m:r>
                <m:rPr>
                  <m:sty m:val="p"/>
                </m:rPr>
                <w:rPr>
                  <w:rFonts w:ascii="Cambria Math" w:hAnsi="Cambria Math" w:eastAsia="宋体" w:cs="Times New Roman"/>
                  <w:sz w:val="24"/>
                </w:rPr>
                <m:t>i</m:t>
              </m:r>
              <m:ctrlPr>
                <w:rPr>
                  <w:rFonts w:ascii="Cambria Math" w:hAnsi="Cambria Math" w:eastAsia="宋体" w:cs="Times New Roman"/>
                  <w:sz w:val="24"/>
                </w:rPr>
              </m:ctrlPr>
            </m:sub>
          </m:sSub>
          <m:r>
            <m:rPr>
              <m:sty m:val="p"/>
            </m:rPr>
            <w:rPr>
              <w:rFonts w:ascii="Cambria Math" w:hAnsi="Cambria Math" w:eastAsia="宋体" w:cs="Times New Roman"/>
              <w:sz w:val="24"/>
            </w:rPr>
            <m:t>=</m:t>
          </m:r>
          <m:f>
            <m:fPr>
              <m:ctrlPr>
                <w:rPr>
                  <w:rFonts w:ascii="Cambria Math" w:hAnsi="Cambria Math" w:eastAsia="宋体" w:cs="Times New Roman"/>
                  <w:sz w:val="24"/>
                </w:rPr>
              </m:ctrlPr>
            </m:fPr>
            <m:num>
              <m:sSub>
                <m:sSubPr>
                  <m:ctrlPr>
                    <w:rPr>
                      <w:rFonts w:ascii="Cambria Math" w:hAnsi="Cambria Math" w:eastAsia="宋体" w:cs="Times New Roman"/>
                      <w:sz w:val="24"/>
                    </w:rPr>
                  </m:ctrlPr>
                </m:sSubPr>
                <m:e>
                  <m:r>
                    <m:rPr>
                      <m:sty m:val="p"/>
                    </m:rPr>
                    <w:rPr>
                      <w:rFonts w:ascii="Cambria Math" w:hAnsi="Cambria Math" w:eastAsia="宋体" w:cs="Times New Roman"/>
                      <w:sz w:val="24"/>
                    </w:rPr>
                    <m:t>c</m:t>
                  </m:r>
                  <m:ctrlPr>
                    <w:rPr>
                      <w:rFonts w:ascii="Cambria Math" w:hAnsi="Cambria Math" w:eastAsia="宋体" w:cs="Times New Roman"/>
                      <w:sz w:val="24"/>
                    </w:rPr>
                  </m:ctrlPr>
                </m:e>
                <m:sub>
                  <m:r>
                    <m:rPr>
                      <m:sty m:val="p"/>
                    </m:rPr>
                    <w:rPr>
                      <w:rFonts w:ascii="Cambria Math" w:hAnsi="Cambria Math" w:eastAsia="宋体" w:cs="Times New Roman"/>
                      <w:sz w:val="24"/>
                    </w:rPr>
                    <m:t>i</m:t>
                  </m:r>
                  <m:ctrlPr>
                    <w:rPr>
                      <w:rFonts w:ascii="Cambria Math" w:hAnsi="Cambria Math" w:eastAsia="宋体" w:cs="Times New Roman"/>
                      <w:sz w:val="24"/>
                    </w:rPr>
                  </m:ctrlPr>
                </m:sub>
              </m:sSub>
              <m:ctrlPr>
                <w:rPr>
                  <w:rFonts w:ascii="Cambria Math" w:hAnsi="Cambria Math" w:eastAsia="宋体" w:cs="Times New Roman"/>
                  <w:sz w:val="24"/>
                </w:rPr>
              </m:ctrlPr>
            </m:num>
            <m:den>
              <m:sSub>
                <m:sSubPr>
                  <m:ctrlPr>
                    <w:rPr>
                      <w:rFonts w:ascii="Cambria Math" w:hAnsi="Cambria Math" w:eastAsia="宋体" w:cs="Times New Roman"/>
                      <w:sz w:val="24"/>
                    </w:rPr>
                  </m:ctrlPr>
                </m:sSubPr>
                <m:e>
                  <m:r>
                    <m:rPr>
                      <m:sty m:val="p"/>
                    </m:rPr>
                    <w:rPr>
                      <w:rFonts w:ascii="Cambria Math" w:hAnsi="Cambria Math" w:eastAsia="宋体" w:cs="Times New Roman"/>
                      <w:sz w:val="24"/>
                    </w:rPr>
                    <m:t>c</m:t>
                  </m:r>
                  <m:ctrlPr>
                    <w:rPr>
                      <w:rFonts w:ascii="Cambria Math" w:hAnsi="Cambria Math" w:eastAsia="宋体" w:cs="Times New Roman"/>
                      <w:sz w:val="24"/>
                    </w:rPr>
                  </m:ctrlPr>
                </m:e>
                <m:sub>
                  <m:r>
                    <m:rPr>
                      <m:sty m:val="p"/>
                    </m:rPr>
                    <w:rPr>
                      <w:rFonts w:ascii="Cambria Math" w:hAnsi="Cambria Math" w:eastAsia="宋体" w:cs="Times New Roman"/>
                      <w:sz w:val="24"/>
                    </w:rPr>
                    <m:t>si</m:t>
                  </m:r>
                  <m:ctrlPr>
                    <w:rPr>
                      <w:rFonts w:ascii="Cambria Math" w:hAnsi="Cambria Math" w:eastAsia="宋体" w:cs="Times New Roman"/>
                      <w:sz w:val="24"/>
                    </w:rPr>
                  </m:ctrlPr>
                </m:sub>
              </m:sSub>
              <m:ctrlPr>
                <w:rPr>
                  <w:rFonts w:ascii="Cambria Math" w:hAnsi="Cambria Math" w:eastAsia="宋体" w:cs="Times New Roman"/>
                  <w:sz w:val="24"/>
                </w:rPr>
              </m:ctrlPr>
            </m:den>
          </m:f>
        </m:oMath>
      </m:oMathPara>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式中：</w:t>
      </w:r>
      <m:oMath>
        <m:sSub>
          <m:sSubPr>
            <m:ctrlPr>
              <w:rPr>
                <w:rFonts w:ascii="Cambria Math" w:hAnsi="Cambria Math" w:eastAsia="宋体" w:cs="Times New Roman"/>
                <w:sz w:val="24"/>
              </w:rPr>
            </m:ctrlPr>
          </m:sSubPr>
          <m:e>
            <m:r>
              <m:rPr>
                <m:sty m:val="p"/>
              </m:rPr>
              <w:rPr>
                <w:rFonts w:ascii="Cambria Math" w:hAnsi="Cambria Math" w:eastAsia="宋体" w:cs="Times New Roman"/>
                <w:sz w:val="24"/>
              </w:rPr>
              <m:t>P</m:t>
            </m:r>
            <m:ctrlPr>
              <w:rPr>
                <w:rFonts w:ascii="Cambria Math" w:hAnsi="Cambria Math" w:eastAsia="宋体" w:cs="Times New Roman"/>
                <w:sz w:val="24"/>
              </w:rPr>
            </m:ctrlPr>
          </m:e>
          <m:sub>
            <m:r>
              <m:rPr>
                <m:sty m:val="p"/>
              </m:rPr>
              <w:rPr>
                <w:rFonts w:ascii="Cambria Math" w:hAnsi="Cambria Math" w:eastAsia="宋体" w:cs="Times New Roman"/>
                <w:sz w:val="24"/>
              </w:rPr>
              <m:t>i</m:t>
            </m:r>
            <m:ctrlPr>
              <w:rPr>
                <w:rFonts w:ascii="Cambria Math" w:hAnsi="Cambria Math" w:eastAsia="宋体" w:cs="Times New Roman"/>
                <w:sz w:val="24"/>
              </w:rPr>
            </m:ctrlPr>
          </m:sub>
        </m:sSub>
      </m:oMath>
      <w:r>
        <w:rPr>
          <w:rFonts w:ascii="Times New Roman" w:hAnsi="Times New Roman" w:eastAsia="宋体" w:cs="Times New Roman"/>
          <w:sz w:val="24"/>
        </w:rPr>
        <w:t>—单项水质参数i在j点的标准指数；</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m:oMath>
        <m:sSub>
          <m:sSubPr>
            <m:ctrlPr>
              <w:rPr>
                <w:rFonts w:ascii="Cambria Math" w:hAnsi="Cambria Math" w:eastAsia="宋体" w:cs="Times New Roman"/>
                <w:sz w:val="24"/>
              </w:rPr>
            </m:ctrlPr>
          </m:sSubPr>
          <m:e>
            <m:r>
              <m:rPr>
                <m:sty m:val="p"/>
              </m:rPr>
              <w:rPr>
                <w:rFonts w:ascii="Cambria Math" w:hAnsi="Cambria Math" w:eastAsia="宋体" w:cs="Times New Roman"/>
                <w:sz w:val="24"/>
              </w:rPr>
              <m:t>c</m:t>
            </m:r>
            <m:ctrlPr>
              <w:rPr>
                <w:rFonts w:ascii="Cambria Math" w:hAnsi="Cambria Math" w:eastAsia="宋体" w:cs="Times New Roman"/>
                <w:sz w:val="24"/>
              </w:rPr>
            </m:ctrlPr>
          </m:e>
          <m:sub>
            <m:r>
              <m:rPr>
                <m:sty m:val="p"/>
              </m:rPr>
              <w:rPr>
                <w:rFonts w:ascii="Cambria Math" w:hAnsi="Cambria Math" w:eastAsia="宋体" w:cs="Times New Roman"/>
                <w:sz w:val="24"/>
              </w:rPr>
              <m:t>i</m:t>
            </m:r>
            <m:ctrlPr>
              <w:rPr>
                <w:rFonts w:ascii="Cambria Math" w:hAnsi="Cambria Math" w:eastAsia="宋体" w:cs="Times New Roman"/>
                <w:sz w:val="24"/>
              </w:rPr>
            </m:ctrlPr>
          </m:sub>
        </m:sSub>
      </m:oMath>
      <w:r>
        <w:rPr>
          <w:rFonts w:ascii="Times New Roman" w:hAnsi="Times New Roman" w:eastAsia="宋体" w:cs="Times New Roman"/>
          <w:sz w:val="24"/>
        </w:rPr>
        <w:t>—污染物i在j点的浓度值，mg/L；</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m:oMath>
        <m:sSub>
          <m:sSubPr>
            <m:ctrlPr>
              <w:rPr>
                <w:rFonts w:ascii="Cambria Math" w:hAnsi="Cambria Math" w:eastAsia="宋体" w:cs="Times New Roman"/>
                <w:sz w:val="24"/>
              </w:rPr>
            </m:ctrlPr>
          </m:sSubPr>
          <m:e>
            <m:r>
              <m:rPr>
                <m:sty m:val="p"/>
              </m:rPr>
              <w:rPr>
                <w:rFonts w:ascii="Cambria Math" w:hAnsi="Cambria Math" w:eastAsia="宋体" w:cs="Times New Roman"/>
                <w:sz w:val="24"/>
              </w:rPr>
              <m:t>c</m:t>
            </m:r>
            <m:ctrlPr>
              <w:rPr>
                <w:rFonts w:ascii="Cambria Math" w:hAnsi="Cambria Math" w:eastAsia="宋体" w:cs="Times New Roman"/>
                <w:sz w:val="24"/>
              </w:rPr>
            </m:ctrlPr>
          </m:e>
          <m:sub>
            <m:r>
              <m:rPr>
                <m:sty m:val="p"/>
              </m:rPr>
              <w:rPr>
                <w:rFonts w:ascii="Cambria Math" w:hAnsi="Cambria Math" w:eastAsia="宋体" w:cs="Times New Roman"/>
                <w:sz w:val="24"/>
              </w:rPr>
              <m:t>si</m:t>
            </m:r>
            <m:ctrlPr>
              <w:rPr>
                <w:rFonts w:ascii="Cambria Math" w:hAnsi="Cambria Math" w:eastAsia="宋体" w:cs="Times New Roman"/>
                <w:sz w:val="24"/>
              </w:rPr>
            </m:ctrlPr>
          </m:sub>
        </m:sSub>
      </m:oMath>
      <w:r>
        <w:rPr>
          <w:rFonts w:ascii="Times New Roman" w:hAnsi="Times New Roman" w:eastAsia="宋体" w:cs="Times New Roman"/>
          <w:sz w:val="24"/>
        </w:rPr>
        <w:t>—水质参数i的地表水水质标准，mg/L；</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m:oMath>
        <m:r>
          <m:rPr>
            <m:sty m:val="p"/>
          </m:rPr>
          <w:rPr>
            <w:rFonts w:ascii="Cambria Math" w:hAnsi="Cambria Math" w:eastAsia="宋体" w:cs="Times New Roman"/>
            <w:sz w:val="24"/>
          </w:rPr>
          <m:t>pH</m:t>
        </m:r>
      </m:oMath>
      <w:r>
        <w:rPr>
          <w:rFonts w:ascii="Times New Roman" w:hAnsi="Times New Roman" w:eastAsia="宋体" w:cs="Times New Roman"/>
          <w:sz w:val="24"/>
        </w:rPr>
        <w:t>的标准指数计算公式：</w:t>
      </w:r>
      <w:r>
        <w:rPr>
          <w:rFonts w:ascii="Times New Roman" w:hAnsi="Times New Roman" w:eastAsia="宋体" w:cs="Times New Roman"/>
          <w:sz w:val="24"/>
        </w:rPr>
        <w:object>
          <v:shape id="_x0000_i1042" o:spt="75" type="#_x0000_t75" style="height:18.6pt;width:11.4pt;" o:ole="t" filled="f" o:preferrelative="t" stroked="f" coordsize="21600,21600">
            <v:path/>
            <v:fill on="f" focussize="0,0"/>
            <v:stroke on="f" joinstyle="miter"/>
            <v:imagedata r:id="rId71" o:title=""/>
            <o:lock v:ext="edit" aspectratio="t"/>
            <w10:wrap type="none"/>
            <w10:anchorlock/>
          </v:shape>
          <o:OLEObject Type="Embed" ProgID="Equation.3" ShapeID="_x0000_i1042" DrawAspect="Content" ObjectID="_1468075742" r:id="rId70">
            <o:LockedField>false</o:LockedField>
          </o:OLEObject>
        </w:object>
      </w:r>
      <w:r>
        <w:rPr>
          <w:rFonts w:ascii="Times New Roman" w:hAnsi="Times New Roman" w:eastAsia="宋体" w:cs="Times New Roman"/>
          <w:sz w:val="24"/>
        </w:rPr>
        <w:object>
          <v:shape id="_x0000_i1043" o:spt="75" type="#_x0000_t75" style="height:18.6pt;width:11.4pt;" o:ole="t" filled="f" o:preferrelative="t" stroked="f" coordsize="21600,21600">
            <v:path/>
            <v:fill on="f" focussize="0,0"/>
            <v:stroke on="f" joinstyle="miter"/>
            <v:imagedata r:id="rId71" o:title=""/>
            <o:lock v:ext="edit" aspectratio="t"/>
            <w10:wrap type="none"/>
            <w10:anchorlock/>
          </v:shape>
          <o:OLEObject Type="Embed" ProgID="Equation.3" ShapeID="_x0000_i1043" DrawAspect="Content" ObjectID="_1468075743" r:id="rId72">
            <o:LockedField>false</o:LockedField>
          </o:OLEObject>
        </w:objec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pH污染物指数为：</w:t>
      </w:r>
    </w:p>
    <w:p>
      <w:pPr>
        <w:keepNext w:val="0"/>
        <w:keepLines w:val="0"/>
        <w:pageBreakBefore w:val="0"/>
        <w:widowControl/>
        <w:kinsoku/>
        <w:wordWrap/>
        <w:bidi w:val="0"/>
        <w:snapToGrid/>
        <w:spacing w:line="360" w:lineRule="auto"/>
        <w:jc w:val="center"/>
        <w:rPr>
          <w:rFonts w:ascii="Times New Roman" w:hAnsi="Times New Roman" w:eastAsia="宋体" w:cs="Times New Roman"/>
          <w:sz w:val="24"/>
        </w:rPr>
      </w:pPr>
      <w:r>
        <w:rPr>
          <w:rFonts w:ascii="Times New Roman" w:hAnsi="Times New Roman" w:eastAsia="宋体" w:cs="Times New Roman"/>
          <w:sz w:val="24"/>
        </w:rPr>
        <w:drawing>
          <wp:inline distT="0" distB="0" distL="114300" distR="114300">
            <wp:extent cx="1571625" cy="476250"/>
            <wp:effectExtent l="0" t="0" r="0" b="0"/>
            <wp:docPr id="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
                    <pic:cNvPicPr>
                      <a:picLocks noChangeAspect="1"/>
                    </pic:cNvPicPr>
                  </pic:nvPicPr>
                  <pic:blipFill>
                    <a:blip r:embed="rId73"/>
                    <a:stretch>
                      <a:fillRect/>
                    </a:stretch>
                  </pic:blipFill>
                  <pic:spPr>
                    <a:xfrm>
                      <a:off x="0" y="0"/>
                      <a:ext cx="1571625" cy="476250"/>
                    </a:xfrm>
                    <a:prstGeom prst="rect">
                      <a:avLst/>
                    </a:prstGeom>
                    <a:noFill/>
                    <a:ln w="9525">
                      <a:noFill/>
                    </a:ln>
                  </pic:spPr>
                </pic:pic>
              </a:graphicData>
            </a:graphic>
          </wp:inline>
        </w:drawing>
      </w:r>
      <w:r>
        <w:rPr>
          <w:rFonts w:ascii="Times New Roman" w:hAnsi="Times New Roman" w:eastAsia="宋体" w:cs="Times New Roman"/>
          <w:sz w:val="24"/>
        </w:rPr>
        <w:t xml:space="preserve">    pHj≤7.0</w:t>
      </w:r>
    </w:p>
    <w:p>
      <w:pPr>
        <w:keepNext w:val="0"/>
        <w:keepLines w:val="0"/>
        <w:pageBreakBefore w:val="0"/>
        <w:widowControl/>
        <w:kinsoku/>
        <w:wordWrap/>
        <w:bidi w:val="0"/>
        <w:snapToGrid/>
        <w:spacing w:line="360" w:lineRule="auto"/>
        <w:jc w:val="center"/>
        <w:rPr>
          <w:rFonts w:ascii="Times New Roman" w:hAnsi="Times New Roman" w:eastAsia="宋体" w:cs="Times New Roman"/>
          <w:sz w:val="24"/>
        </w:rPr>
      </w:pPr>
      <w:r>
        <w:rPr>
          <w:rFonts w:ascii="Times New Roman" w:hAnsi="Times New Roman" w:eastAsia="宋体" w:cs="Times New Roman"/>
          <w:sz w:val="24"/>
        </w:rPr>
        <w:drawing>
          <wp:inline distT="0" distB="0" distL="114300" distR="114300">
            <wp:extent cx="1447165" cy="476250"/>
            <wp:effectExtent l="0" t="0" r="0" b="0"/>
            <wp:docPr id="5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7"/>
                    <pic:cNvPicPr>
                      <a:picLocks noChangeAspect="1"/>
                    </pic:cNvPicPr>
                  </pic:nvPicPr>
                  <pic:blipFill>
                    <a:blip r:embed="rId74"/>
                    <a:stretch>
                      <a:fillRect/>
                    </a:stretch>
                  </pic:blipFill>
                  <pic:spPr>
                    <a:xfrm>
                      <a:off x="0" y="0"/>
                      <a:ext cx="1447165" cy="476250"/>
                    </a:xfrm>
                    <a:prstGeom prst="rect">
                      <a:avLst/>
                    </a:prstGeom>
                    <a:noFill/>
                    <a:ln w="9525">
                      <a:noFill/>
                    </a:ln>
                  </pic:spPr>
                </pic:pic>
              </a:graphicData>
            </a:graphic>
          </wp:inline>
        </w:drawing>
      </w:r>
      <w:r>
        <w:rPr>
          <w:rFonts w:ascii="Times New Roman" w:hAnsi="Times New Roman" w:eastAsia="宋体" w:cs="Times New Roman"/>
          <w:sz w:val="24"/>
        </w:rPr>
        <w:t xml:space="preserve">    pHj＞7.0</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式中：SpH</w:t>
      </w:r>
      <w:r>
        <w:rPr>
          <w:rFonts w:ascii="Times New Roman" w:hAnsi="Times New Roman" w:eastAsia="宋体" w:cs="Times New Roman"/>
          <w:sz w:val="24"/>
          <w:vertAlign w:val="subscript"/>
        </w:rPr>
        <w:t>,j</w:t>
      </w:r>
      <w:r>
        <w:rPr>
          <w:rFonts w:ascii="Times New Roman" w:hAnsi="Times New Roman" w:eastAsia="宋体" w:cs="Times New Roman"/>
          <w:sz w:val="24"/>
        </w:rPr>
        <w:t>：为水质参数pH在j点的标准指数；</w:t>
      </w:r>
    </w:p>
    <w:p>
      <w:pPr>
        <w:keepNext w:val="0"/>
        <w:keepLines w:val="0"/>
        <w:pageBreakBefore w:val="0"/>
        <w:widowControl/>
        <w:kinsoku/>
        <w:wordWrap/>
        <w:bidi w:val="0"/>
        <w:snapToGrid/>
        <w:spacing w:line="360" w:lineRule="auto"/>
        <w:ind w:firstLine="1315" w:firstLineChars="548"/>
        <w:rPr>
          <w:rFonts w:ascii="Times New Roman" w:hAnsi="Times New Roman" w:eastAsia="宋体" w:cs="Times New Roman"/>
          <w:sz w:val="24"/>
        </w:rPr>
      </w:pPr>
      <w:r>
        <w:rPr>
          <w:rFonts w:ascii="Times New Roman" w:hAnsi="Times New Roman" w:eastAsia="宋体" w:cs="Times New Roman"/>
          <w:sz w:val="24"/>
        </w:rPr>
        <w:t>pH</w:t>
      </w:r>
      <w:r>
        <w:rPr>
          <w:rFonts w:ascii="Times New Roman" w:hAnsi="Times New Roman" w:eastAsia="宋体" w:cs="Times New Roman"/>
          <w:sz w:val="24"/>
          <w:vertAlign w:val="subscript"/>
        </w:rPr>
        <w:t>j</w:t>
      </w:r>
      <w:r>
        <w:rPr>
          <w:rFonts w:ascii="Times New Roman" w:hAnsi="Times New Roman" w:eastAsia="宋体" w:cs="Times New Roman"/>
          <w:sz w:val="24"/>
        </w:rPr>
        <w:t>：为j点的pH值；</w:t>
      </w:r>
    </w:p>
    <w:p>
      <w:pPr>
        <w:keepNext w:val="0"/>
        <w:keepLines w:val="0"/>
        <w:pageBreakBefore w:val="0"/>
        <w:widowControl/>
        <w:kinsoku/>
        <w:wordWrap/>
        <w:bidi w:val="0"/>
        <w:snapToGrid/>
        <w:spacing w:line="360" w:lineRule="auto"/>
        <w:ind w:firstLine="1315" w:firstLineChars="548"/>
        <w:rPr>
          <w:rFonts w:ascii="Times New Roman" w:hAnsi="Times New Roman" w:eastAsia="宋体" w:cs="Times New Roman"/>
          <w:sz w:val="24"/>
        </w:rPr>
      </w:pPr>
      <w:r>
        <w:rPr>
          <w:rFonts w:ascii="Times New Roman" w:hAnsi="Times New Roman" w:eastAsia="宋体" w:cs="Times New Roman"/>
          <w:sz w:val="24"/>
        </w:rPr>
        <w:t>pH</w:t>
      </w:r>
      <w:r>
        <w:rPr>
          <w:rFonts w:ascii="Times New Roman" w:hAnsi="Times New Roman" w:eastAsia="宋体" w:cs="Times New Roman"/>
          <w:sz w:val="24"/>
          <w:vertAlign w:val="subscript"/>
        </w:rPr>
        <w:t>Su</w:t>
      </w:r>
      <w:r>
        <w:rPr>
          <w:rFonts w:ascii="Times New Roman" w:hAnsi="Times New Roman" w:eastAsia="宋体" w:cs="Times New Roman"/>
          <w:sz w:val="24"/>
        </w:rPr>
        <w:t>：为地表水水质标准中规定的pH值上限；</w:t>
      </w:r>
    </w:p>
    <w:p>
      <w:pPr>
        <w:keepNext w:val="0"/>
        <w:keepLines w:val="0"/>
        <w:pageBreakBefore w:val="0"/>
        <w:widowControl/>
        <w:kinsoku/>
        <w:wordWrap/>
        <w:bidi w:val="0"/>
        <w:snapToGrid/>
        <w:spacing w:line="360" w:lineRule="auto"/>
        <w:ind w:firstLine="1315" w:firstLineChars="548"/>
        <w:rPr>
          <w:rFonts w:ascii="Times New Roman" w:hAnsi="Times New Roman" w:eastAsia="宋体" w:cs="Times New Roman"/>
          <w:sz w:val="24"/>
        </w:rPr>
      </w:pPr>
      <w:r>
        <w:rPr>
          <w:rFonts w:ascii="Times New Roman" w:hAnsi="Times New Roman" w:eastAsia="宋体" w:cs="Times New Roman"/>
          <w:sz w:val="24"/>
        </w:rPr>
        <w:t>pH</w:t>
      </w:r>
      <w:r>
        <w:rPr>
          <w:rFonts w:ascii="Times New Roman" w:hAnsi="Times New Roman" w:eastAsia="宋体" w:cs="Times New Roman"/>
          <w:sz w:val="24"/>
          <w:vertAlign w:val="subscript"/>
        </w:rPr>
        <w:t>Sd</w:t>
      </w:r>
      <w:r>
        <w:rPr>
          <w:rFonts w:ascii="Times New Roman" w:hAnsi="Times New Roman" w:eastAsia="宋体" w:cs="Times New Roman"/>
          <w:sz w:val="24"/>
        </w:rPr>
        <w:t>：为地表水水质标准中规定的pH值下限。</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水质参数的标准指数大于1，表明该水质参数超过了规定的水质标准，已经不能满足使用功能要求。当监测值低于检出限时，按检出限的一半作为监测值进行计算。</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（3）评价结果</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表5.3-2</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 xml:space="preserve">  地下水环境质量评价结果一览表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861"/>
        <w:gridCol w:w="862"/>
        <w:gridCol w:w="861"/>
        <w:gridCol w:w="860"/>
        <w:gridCol w:w="863"/>
        <w:gridCol w:w="860"/>
        <w:gridCol w:w="858"/>
        <w:gridCol w:w="858"/>
        <w:gridCol w:w="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330" w:type="dxa"/>
            <w:tcBorders>
              <w:tl2br w:val="single" w:color="auto" w:sz="4" w:space="0"/>
            </w:tcBorders>
            <w:vAlign w:val="center"/>
          </w:tcPr>
          <w:p>
            <w:pPr>
              <w:keepNext w:val="0"/>
              <w:keepLines w:val="0"/>
              <w:pageBreakBefore w:val="0"/>
              <w:kinsoku/>
              <w:wordWrap/>
              <w:bidi w:val="0"/>
              <w:snapToGrid/>
              <w:jc w:val="right"/>
              <w:rPr>
                <w:rFonts w:ascii="Times New Roman" w:hAnsi="Times New Roman" w:eastAsia="宋体" w:cs="Times New Roman"/>
                <w:b/>
                <w:bCs/>
                <w:szCs w:val="21"/>
              </w:rPr>
            </w:pPr>
            <w:r>
              <w:rPr>
                <w:rFonts w:ascii="Times New Roman" w:hAnsi="Times New Roman" w:eastAsia="宋体" w:cs="Times New Roman"/>
                <w:b/>
                <w:bCs/>
                <w:szCs w:val="21"/>
              </w:rPr>
              <w:t>监测点位</w:t>
            </w:r>
          </w:p>
          <w:p>
            <w:pPr>
              <w:keepNext w:val="0"/>
              <w:keepLines w:val="0"/>
              <w:pageBreakBefore w:val="0"/>
              <w:kinsoku/>
              <w:wordWrap/>
              <w:bidi w:val="0"/>
              <w:snapToGrid/>
              <w:jc w:val="left"/>
              <w:rPr>
                <w:rFonts w:ascii="Times New Roman" w:hAnsi="Times New Roman" w:eastAsia="宋体" w:cs="Times New Roman"/>
                <w:b/>
                <w:bCs/>
                <w:szCs w:val="21"/>
              </w:rPr>
            </w:pPr>
            <w:r>
              <w:rPr>
                <w:rFonts w:ascii="Times New Roman" w:hAnsi="Times New Roman" w:eastAsia="宋体" w:cs="Times New Roman"/>
                <w:b/>
                <w:bCs/>
                <w:szCs w:val="21"/>
              </w:rPr>
              <w:t>监测因子</w:t>
            </w:r>
          </w:p>
        </w:tc>
        <w:tc>
          <w:tcPr>
            <w:tcW w:w="86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D1</w:t>
            </w:r>
          </w:p>
        </w:tc>
        <w:tc>
          <w:tcPr>
            <w:tcW w:w="86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D2</w:t>
            </w:r>
          </w:p>
        </w:tc>
        <w:tc>
          <w:tcPr>
            <w:tcW w:w="86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D3</w:t>
            </w:r>
          </w:p>
        </w:tc>
        <w:tc>
          <w:tcPr>
            <w:tcW w:w="86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D4</w:t>
            </w:r>
          </w:p>
        </w:tc>
        <w:tc>
          <w:tcPr>
            <w:tcW w:w="86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D5</w:t>
            </w:r>
          </w:p>
        </w:tc>
        <w:tc>
          <w:tcPr>
            <w:tcW w:w="86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D6</w:t>
            </w:r>
          </w:p>
        </w:tc>
        <w:tc>
          <w:tcPr>
            <w:tcW w:w="85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color w:val="0000FF"/>
                <w:szCs w:val="21"/>
              </w:rPr>
            </w:pPr>
            <w:r>
              <w:rPr>
                <w:rFonts w:ascii="Times New Roman" w:hAnsi="Times New Roman" w:eastAsia="宋体" w:cs="Times New Roman"/>
                <w:b/>
                <w:bCs/>
                <w:color w:val="auto"/>
                <w:szCs w:val="21"/>
              </w:rPr>
              <w:t>D7</w:t>
            </w:r>
          </w:p>
        </w:tc>
        <w:tc>
          <w:tcPr>
            <w:tcW w:w="85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D8</w:t>
            </w:r>
          </w:p>
        </w:tc>
        <w:tc>
          <w:tcPr>
            <w:tcW w:w="85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D9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pH</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0.55</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0.65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0.15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0.1</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FF"/>
                <w:szCs w:val="21"/>
              </w:rPr>
            </w:pPr>
            <w:r>
              <w:rPr>
                <w:rFonts w:ascii="Times New Roman" w:hAnsi="Times New Roman" w:eastAsia="宋体" w:cs="Times New Roman"/>
                <w:color w:val="auto"/>
                <w:szCs w:val="21"/>
              </w:rPr>
              <w:t>0.1</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0.15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氨氮</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0.084</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0.09</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0.074</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0.078</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0.096</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0.084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0.09</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0.078</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0.074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挥发酚</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0.075</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0.075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0.075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0.075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0.075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0.075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0000FF"/>
                <w:szCs w:val="21"/>
                <w:highlight w:val="none"/>
                <w:lang w:val="en-US" w:eastAsia="zh-CN"/>
              </w:rPr>
            </w:pPr>
            <w:r>
              <w:rPr>
                <w:rFonts w:hint="eastAsia" w:ascii="Times New Roman" w:hAnsi="Times New Roman" w:eastAsia="宋体" w:cs="Times New Roman"/>
                <w:color w:val="auto"/>
                <w:szCs w:val="21"/>
                <w:highlight w:val="none"/>
                <w:lang w:val="en-US" w:eastAsia="zh-CN"/>
              </w:rPr>
              <w:t>0.075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kern w:val="0"/>
                <w:szCs w:val="21"/>
                <w:highlight w:val="none"/>
                <w:lang w:val="en-US" w:eastAsia="zh-CN" w:bidi="ar"/>
              </w:rPr>
            </w:pPr>
            <w:r>
              <w:rPr>
                <w:rFonts w:hint="eastAsia" w:ascii="Times New Roman" w:hAnsi="Times New Roman" w:eastAsia="宋体" w:cs="Times New Roman"/>
                <w:kern w:val="0"/>
                <w:szCs w:val="21"/>
                <w:highlight w:val="none"/>
                <w:lang w:val="en-US" w:eastAsia="zh-CN" w:bidi="ar"/>
              </w:rPr>
              <w:t>0.075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kern w:val="0"/>
                <w:szCs w:val="21"/>
                <w:highlight w:val="none"/>
                <w:lang w:val="en-US" w:eastAsia="zh-CN" w:bidi="ar"/>
              </w:rPr>
            </w:pPr>
            <w:r>
              <w:rPr>
                <w:rFonts w:hint="eastAsia" w:ascii="Times New Roman" w:hAnsi="Times New Roman" w:eastAsia="宋体" w:cs="Times New Roman"/>
                <w:kern w:val="0"/>
                <w:szCs w:val="21"/>
                <w:highlight w:val="none"/>
                <w:lang w:val="en-US" w:eastAsia="zh-CN" w:bidi="ar"/>
              </w:rPr>
              <w:t>0.075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氰化物</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FF"/>
                <w:szCs w:val="21"/>
              </w:rPr>
            </w:pPr>
            <w:r>
              <w:rPr>
                <w:rFonts w:ascii="Times New Roman" w:hAnsi="Times New Roman" w:eastAsia="宋体" w:cs="Times New Roman"/>
                <w:color w:val="auto"/>
                <w:szCs w:val="21"/>
              </w:rPr>
              <w:t>0.04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氟化物</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0.13</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0.12</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0.29</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0.20</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0.20</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0.19</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FF"/>
                <w:szCs w:val="21"/>
              </w:rPr>
            </w:pPr>
            <w:r>
              <w:rPr>
                <w:rFonts w:ascii="Times New Roman" w:hAnsi="Times New Roman" w:eastAsia="宋体" w:cs="Times New Roman"/>
                <w:color w:val="auto"/>
                <w:szCs w:val="21"/>
              </w:rPr>
              <w:t>0.18</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0.57</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六价铬</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0.04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总硬度</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0.28</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0.98</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0.17</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0.33</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0.37</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0.34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0.74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0.52</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kern w:val="0"/>
                <w:szCs w:val="21"/>
                <w:lang w:val="en-US" w:eastAsia="zh-CN" w:bidi="ar"/>
              </w:rPr>
            </w:pPr>
            <w:r>
              <w:rPr>
                <w:rFonts w:hint="eastAsia" w:ascii="Times New Roman" w:hAnsi="Times New Roman" w:eastAsia="宋体" w:cs="Times New Roman"/>
                <w:kern w:val="0"/>
                <w:szCs w:val="21"/>
                <w:highlight w:val="none"/>
                <w:lang w:val="en-US" w:eastAsia="zh-CN" w:bidi="ar"/>
              </w:rPr>
              <w:t>0.92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溶解性总固体</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0.18</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0.50</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0.13</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0.24</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0.23</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0.21</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FF"/>
                <w:szCs w:val="21"/>
              </w:rPr>
            </w:pPr>
            <w:r>
              <w:rPr>
                <w:rFonts w:ascii="Times New Roman" w:hAnsi="Times New Roman" w:eastAsia="宋体" w:cs="Times New Roman"/>
                <w:color w:val="auto"/>
                <w:szCs w:val="21"/>
              </w:rPr>
              <w:t>0.40</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0.28</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kern w:val="0"/>
                <w:szCs w:val="21"/>
                <w:lang w:val="en-US" w:eastAsia="zh-CN" w:bidi="ar"/>
              </w:rPr>
            </w:pPr>
            <w:r>
              <w:rPr>
                <w:rFonts w:hint="eastAsia" w:ascii="Times New Roman" w:hAnsi="Times New Roman" w:eastAsia="宋体" w:cs="Times New Roman"/>
                <w:kern w:val="0"/>
                <w:szCs w:val="21"/>
                <w:lang w:val="en-US" w:eastAsia="zh-CN" w:bidi="ar"/>
              </w:rPr>
              <w:t>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耗氧量</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0.67</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highlight w:val="none"/>
                <w:lang w:val="en-US" w:eastAsia="zh-CN"/>
              </w:rPr>
              <w:t>0.93</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0.57</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0.97</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0.93</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0.73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FF"/>
                <w:szCs w:val="21"/>
              </w:rPr>
            </w:pPr>
            <w:r>
              <w:rPr>
                <w:rFonts w:ascii="Times New Roman" w:hAnsi="Times New Roman" w:eastAsia="宋体" w:cs="Times New Roman"/>
                <w:color w:val="auto"/>
                <w:szCs w:val="21"/>
              </w:rPr>
              <w:t>0.37</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0.47</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硫酸盐</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0.077</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0.024</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0.006</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0.002</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0.002</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0.028</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0.081</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0.428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氯化物</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0.048</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0.24</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0.109</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0.049</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0.048</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0.049</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0.038</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0.044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0.532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硝酸盐</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0.009</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0.0001</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0.0001</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0.0013</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0.0004</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0.0001</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0.032</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0.065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亚硝酸盐</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0.24</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0.0025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0.519</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0.185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0.341</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0.287</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0.083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0.0025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kern w:val="0"/>
                <w:szCs w:val="21"/>
                <w:lang w:val="en-US" w:eastAsia="zh-CN" w:bidi="ar"/>
              </w:rPr>
            </w:pPr>
            <w:r>
              <w:rPr>
                <w:rFonts w:hint="eastAsia" w:ascii="Times New Roman" w:hAnsi="Times New Roman" w:eastAsia="宋体" w:cs="Times New Roman"/>
                <w:kern w:val="0"/>
                <w:szCs w:val="21"/>
                <w:highlight w:val="none"/>
                <w:lang w:val="en-US" w:eastAsia="zh-CN" w:bidi="ar"/>
              </w:rPr>
              <w:t>0.960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硫化物</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0.125</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0.125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0.125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0.125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0.125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FF"/>
                <w:szCs w:val="21"/>
              </w:rPr>
            </w:pPr>
            <w:r>
              <w:rPr>
                <w:rFonts w:ascii="Times New Roman" w:hAnsi="Times New Roman" w:eastAsia="宋体" w:cs="Times New Roman"/>
                <w:color w:val="auto"/>
                <w:szCs w:val="21"/>
              </w:rPr>
              <w:t>0.125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0.125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砷</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0.23</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0.1</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0.22</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0.3</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0.97</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0.38</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0.5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0.78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lang w:bidi="ar"/>
              </w:rPr>
              <w:t>汞</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0.44</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0.922</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0.69</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0.28</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0.31</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0.35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0.29</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0.39</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硒</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0.06</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0.02</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铝</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0.02</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0.02</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镉</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0.01</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0.01</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0.01</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0.01</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0.01</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0.01</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0.34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0.01</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钠</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0.012</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0.034</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0.019</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0.101</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0.094</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0.019</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0.075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0.039</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铅</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0.05</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kern w:val="0"/>
                <w:szCs w:val="21"/>
                <w:lang w:val="en-US" w:eastAsia="zh-CN" w:bidi="ar"/>
              </w:rPr>
            </w:pPr>
            <w:r>
              <w:rPr>
                <w:rFonts w:hint="eastAsia" w:ascii="Times New Roman" w:hAnsi="Times New Roman" w:eastAsia="宋体" w:cs="Times New Roman"/>
                <w:kern w:val="0"/>
                <w:szCs w:val="21"/>
                <w:highlight w:val="none"/>
                <w:lang w:val="en-US" w:eastAsia="zh-CN" w:bidi="ar"/>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铁</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0.167</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0.467</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0.3</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0.533</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0.467</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0.233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0.233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8"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lang w:bidi="ar"/>
              </w:rPr>
              <w:t>锰</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0.6</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0.7</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0.7</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0.7</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0.6</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铜</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0.025</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0.025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0.025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0.025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锌</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0.05</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0.025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0.025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0.05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苯</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0.25</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0.25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甲苯</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0.0043</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0.0043</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0.0043</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0.0043</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0.0043</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0.0043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0.0043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0.0043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0.0043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菌落总数</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0.31</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0.28</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0.33</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0.27</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0.39</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0.37</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0.24</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总大肠菌数</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0.33</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0.33</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0.33</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0.33</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0.33</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0.33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0.33</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33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四氯化碳</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eastAsia="宋体" w:cs="Times New Roman"/>
                <w:kern w:val="0"/>
                <w:szCs w:val="21"/>
                <w:lang w:val="en-US" w:eastAsia="zh-CN" w:bidi="ar"/>
              </w:rPr>
            </w:pPr>
            <w:r>
              <w:rPr>
                <w:rFonts w:hint="eastAsia" w:ascii="Times New Roman" w:hAnsi="Times New Roman" w:eastAsia="宋体" w:cs="Times New Roman"/>
                <w:kern w:val="0"/>
                <w:szCs w:val="21"/>
                <w:lang w:val="en-US" w:eastAsia="zh-CN" w:bidi="ar"/>
              </w:rPr>
              <w:t>0.0625</w:t>
            </w:r>
          </w:p>
        </w:tc>
        <w:tc>
          <w:tcPr>
            <w:tcW w:w="862"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hint="eastAsia" w:ascii="Times New Roman" w:hAnsi="Times New Roman" w:eastAsia="宋体" w:cs="Times New Roman"/>
                <w:kern w:val="0"/>
                <w:szCs w:val="21"/>
                <w:lang w:val="en-US" w:eastAsia="zh-CN" w:bidi="ar"/>
              </w:rPr>
              <w:t>0.0625</w:t>
            </w:r>
          </w:p>
        </w:tc>
        <w:tc>
          <w:tcPr>
            <w:tcW w:w="86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hint="eastAsia" w:ascii="Times New Roman" w:hAnsi="Times New Roman" w:eastAsia="宋体" w:cs="Times New Roman"/>
                <w:kern w:val="0"/>
                <w:szCs w:val="21"/>
                <w:lang w:val="en-US" w:eastAsia="zh-CN" w:bidi="ar"/>
              </w:rPr>
              <w:t>0.0625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hint="eastAsia" w:ascii="Times New Roman" w:hAnsi="Times New Roman" w:eastAsia="宋体" w:cs="Times New Roman"/>
                <w:kern w:val="0"/>
                <w:szCs w:val="21"/>
                <w:lang w:val="en-US" w:eastAsia="zh-CN" w:bidi="ar"/>
              </w:rPr>
              <w:t>0.0625</w:t>
            </w:r>
          </w:p>
        </w:tc>
        <w:tc>
          <w:tcPr>
            <w:tcW w:w="863"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hint="eastAsia" w:ascii="Times New Roman" w:hAnsi="Times New Roman" w:eastAsia="宋体" w:cs="Times New Roman"/>
                <w:kern w:val="0"/>
                <w:szCs w:val="21"/>
                <w:lang w:val="en-US" w:eastAsia="zh-CN" w:bidi="ar"/>
              </w:rPr>
              <w:t>0.0625</w:t>
            </w:r>
          </w:p>
        </w:tc>
        <w:tc>
          <w:tcPr>
            <w:tcW w:w="86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hint="eastAsia" w:ascii="Times New Roman" w:hAnsi="Times New Roman" w:eastAsia="宋体" w:cs="Times New Roman"/>
                <w:kern w:val="0"/>
                <w:szCs w:val="21"/>
                <w:lang w:val="en-US" w:eastAsia="zh-CN" w:bidi="ar"/>
              </w:rPr>
              <w:t>0.0625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color w:val="0000FF"/>
                <w:kern w:val="0"/>
                <w:szCs w:val="21"/>
                <w:lang w:bidi="ar"/>
              </w:rPr>
            </w:pPr>
            <w:r>
              <w:rPr>
                <w:rFonts w:hint="eastAsia" w:ascii="Times New Roman" w:hAnsi="Times New Roman" w:eastAsia="宋体" w:cs="Times New Roman"/>
                <w:kern w:val="0"/>
                <w:szCs w:val="21"/>
                <w:lang w:val="en-US" w:eastAsia="zh-CN" w:bidi="ar"/>
              </w:rPr>
              <w:t>0.0625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hint="eastAsia" w:ascii="Times New Roman" w:hAnsi="Times New Roman" w:eastAsia="宋体" w:cs="Times New Roman"/>
                <w:kern w:val="0"/>
                <w:szCs w:val="21"/>
                <w:lang w:val="en-US" w:eastAsia="zh-CN" w:bidi="ar"/>
              </w:rPr>
              <w:t>0.0625</w:t>
            </w:r>
          </w:p>
        </w:tc>
        <w:tc>
          <w:tcPr>
            <w:tcW w:w="858"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hint="eastAsia" w:ascii="Times New Roman" w:hAnsi="Times New Roman" w:eastAsia="宋体" w:cs="Times New Roman"/>
                <w:kern w:val="0"/>
                <w:szCs w:val="21"/>
                <w:lang w:val="en-US" w:eastAsia="zh-CN" w:bidi="ar"/>
              </w:rPr>
              <w:t>0.0625</w:t>
            </w:r>
          </w:p>
        </w:tc>
      </w:tr>
    </w:tbl>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highlight w:val="none"/>
        </w:rPr>
      </w:pPr>
      <w:r>
        <w:rPr>
          <w:rFonts w:ascii="Times New Roman" w:hAnsi="Times New Roman" w:eastAsia="宋体" w:cs="Times New Roman"/>
          <w:sz w:val="24"/>
          <w:highlight w:val="none"/>
        </w:rPr>
        <w:t>由上表可知，各监测点位的地下水监测因子</w:t>
      </w:r>
      <w:r>
        <w:rPr>
          <w:rFonts w:hint="eastAsia" w:ascii="Times New Roman" w:hAnsi="Times New Roman" w:eastAsia="宋体" w:cs="Times New Roman"/>
          <w:sz w:val="24"/>
          <w:highlight w:val="none"/>
          <w:lang w:eastAsia="zh-CN"/>
        </w:rPr>
        <w:t>均</w:t>
      </w:r>
      <w:r>
        <w:rPr>
          <w:rFonts w:ascii="Times New Roman" w:hAnsi="Times New Roman" w:eastAsia="宋体" w:cs="Times New Roman"/>
          <w:sz w:val="24"/>
          <w:highlight w:val="none"/>
        </w:rPr>
        <w:t>能满足《地下水质量标准》（GB/T14848-2017）中III类标准，说明评价区所在区域内的现状污染源对评价区地下水影响较小。</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5.3.4.3地下水环境质量变化趋势</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（1）区域历史地下水环境质量检测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本评价引用《芜湖新兴铸管有限责任公司2×58孔焦炉技术改造工程环境影响报告书》中的地下水质量现状监测数据，检测日期为2016年8月，详见表5.3-2</w:t>
      </w:r>
      <w:r>
        <w:rPr>
          <w:rFonts w:hint="eastAsia" w:ascii="Times New Roman" w:hAnsi="Times New Roman" w:eastAsia="宋体" w:cs="Times New Roman"/>
          <w:bCs/>
          <w:sz w:val="24"/>
          <w:szCs w:val="24"/>
          <w:lang w:val="en-US" w:eastAsia="zh-CN"/>
        </w:rPr>
        <w:t>8</w:t>
      </w:r>
      <w:r>
        <w:rPr>
          <w:rFonts w:ascii="Times New Roman" w:hAnsi="Times New Roman" w:eastAsia="宋体" w:cs="Times New Roman"/>
          <w:bCs/>
          <w:sz w:val="24"/>
          <w:szCs w:val="24"/>
        </w:rPr>
        <w:t>。</w:t>
      </w:r>
    </w:p>
    <w:p>
      <w:pPr>
        <w:pStyle w:val="2"/>
        <w:rPr>
          <w:rFonts w:ascii="Times New Roman" w:hAnsi="Times New Roman" w:eastAsia="宋体" w:cs="Times New Roman"/>
          <w:bCs/>
          <w:sz w:val="24"/>
          <w:szCs w:val="24"/>
        </w:rPr>
      </w:pPr>
    </w:p>
    <w:p>
      <w:pPr>
        <w:pStyle w:val="2"/>
        <w:rPr>
          <w:rFonts w:ascii="Times New Roman" w:hAnsi="Times New Roman" w:eastAsia="宋体" w:cs="Times New Roman"/>
          <w:bCs/>
          <w:sz w:val="24"/>
          <w:szCs w:val="24"/>
        </w:rPr>
      </w:pPr>
    </w:p>
    <w:p>
      <w:pPr>
        <w:pStyle w:val="2"/>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表5.3-2</w:t>
      </w:r>
      <w:r>
        <w:rPr>
          <w:rFonts w:hint="eastAsia" w:ascii="Times New Roman" w:hAnsi="Times New Roman" w:eastAsia="黑体" w:cs="Times New Roman"/>
          <w:sz w:val="24"/>
          <w:lang w:val="en-US" w:eastAsia="zh-CN"/>
        </w:rPr>
        <w:t>8</w:t>
      </w:r>
      <w:r>
        <w:rPr>
          <w:rFonts w:ascii="Times New Roman" w:hAnsi="Times New Roman" w:eastAsia="黑体" w:cs="Times New Roman"/>
          <w:sz w:val="24"/>
        </w:rPr>
        <w:t xml:space="preserve">  区域历史地下水质量检测数据及分析一览表（单位：mg/L，pH无量纲；色度：度；浑浊度：NTU）</w:t>
      </w:r>
    </w:p>
    <w:tbl>
      <w:tblPr>
        <w:tblStyle w:val="21"/>
        <w:tblW w:w="9071" w:type="dxa"/>
        <w:jc w:val="center"/>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4"/>
        <w:gridCol w:w="2918"/>
        <w:gridCol w:w="43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4712" w:type="dxa"/>
            <w:gridSpan w:val="2"/>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rPr>
            </w:pPr>
            <w:r>
              <w:rPr>
                <w:b/>
                <w:bCs/>
              </w:rPr>
              <w:t>监测点位</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rPr>
            </w:pPr>
            <w:r>
              <w:rPr>
                <w:b/>
                <w:bCs/>
              </w:rPr>
              <w:t>厂界东北侧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4712" w:type="dxa"/>
            <w:gridSpan w:val="2"/>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rPr>
            </w:pPr>
            <w:r>
              <w:rPr>
                <w:b/>
                <w:bCs/>
              </w:rPr>
              <w:t>监测时间</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rPr>
            </w:pPr>
            <w:r>
              <w:rPr>
                <w:b/>
                <w:bCs/>
              </w:rPr>
              <w:t>08.02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pH</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8.32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2</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总硬度</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溶解性总固体</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298.41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4</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氨氮</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5</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硝酸盐</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0.74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6</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亚硝酸盐</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0.018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7</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高锰酸盐指数</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8</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氟化物</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9</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挥发酚</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10</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氰化物</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11</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Fe</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12</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Zn</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13</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Hg</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14</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As</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15</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Cd</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16</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Ni</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17</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Cr</w:t>
            </w:r>
            <w:r>
              <w:rPr>
                <w:vertAlign w:val="superscript"/>
              </w:rPr>
              <w:t>6+</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18</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硫酸盐</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34.70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19</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氯化物</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11.34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20</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石油类</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21</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总大肠菌群</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shd w:val="clear" w:color="auto" w:fill="auto"/>
            <w:tcMar>
              <w:left w:w="0" w:type="dxa"/>
              <w:right w:w="0" w:type="dxa"/>
            </w:tcMar>
            <w:vAlign w:val="center"/>
          </w:tcPr>
          <w:p>
            <w:pPr>
              <w:pStyle w:val="41"/>
              <w:keepNext w:val="0"/>
              <w:keepLines w:val="0"/>
              <w:pageBreakBefore w:val="0"/>
              <w:kinsoku/>
              <w:wordWrap/>
              <w:bidi w:val="0"/>
              <w:snapToGrid/>
              <w:spacing w:line="240" w:lineRule="auto"/>
            </w:pPr>
            <w:r>
              <w:t>22</w:t>
            </w:r>
          </w:p>
        </w:tc>
        <w:tc>
          <w:tcPr>
            <w:tcW w:w="2918" w:type="dxa"/>
            <w:tcBorders>
              <w:tl2br w:val="nil"/>
              <w:tr2bl w:val="nil"/>
            </w:tcBorders>
            <w:shd w:val="clear" w:color="auto" w:fill="auto"/>
            <w:tcMar>
              <w:left w:w="0" w:type="dxa"/>
              <w:right w:w="0" w:type="dxa"/>
            </w:tcMar>
            <w:vAlign w:val="center"/>
          </w:tcPr>
          <w:p>
            <w:pPr>
              <w:pStyle w:val="41"/>
              <w:keepNext w:val="0"/>
              <w:keepLines w:val="0"/>
              <w:pageBreakBefore w:val="0"/>
              <w:kinsoku/>
              <w:wordWrap/>
              <w:bidi w:val="0"/>
              <w:snapToGrid/>
              <w:spacing w:line="240" w:lineRule="auto"/>
            </w:pPr>
            <w:r>
              <w:t>硫化物</w:t>
            </w:r>
          </w:p>
        </w:tc>
        <w:tc>
          <w:tcPr>
            <w:tcW w:w="4359" w:type="dxa"/>
            <w:tcBorders>
              <w:tl2br w:val="nil"/>
              <w:tr2bl w:val="nil"/>
            </w:tcBorders>
            <w:shd w:val="clear" w:color="auto" w:fill="FFFFFF"/>
            <w:tcMar>
              <w:left w:w="0" w:type="dxa"/>
              <w:right w:w="0" w:type="dxa"/>
            </w:tcMar>
            <w:vAlign w:val="center"/>
          </w:tcPr>
          <w:p>
            <w:pPr>
              <w:pStyle w:val="41"/>
              <w:keepNext w:val="0"/>
              <w:keepLines w:val="0"/>
              <w:pageBreakBefore w:val="0"/>
              <w:kinsoku/>
              <w:wordWrap/>
              <w:bidi w:val="0"/>
              <w:snapToGrid/>
              <w:spacing w:line="240" w:lineRule="auto"/>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shd w:val="clear" w:color="auto" w:fill="auto"/>
            <w:tcMar>
              <w:left w:w="0" w:type="dxa"/>
              <w:right w:w="0" w:type="dxa"/>
            </w:tcMar>
            <w:vAlign w:val="center"/>
          </w:tcPr>
          <w:p>
            <w:pPr>
              <w:pStyle w:val="41"/>
              <w:keepNext w:val="0"/>
              <w:keepLines w:val="0"/>
              <w:pageBreakBefore w:val="0"/>
              <w:kinsoku/>
              <w:wordWrap/>
              <w:bidi w:val="0"/>
              <w:snapToGrid/>
              <w:spacing w:line="240" w:lineRule="auto"/>
            </w:pPr>
            <w:r>
              <w:t>23</w:t>
            </w:r>
          </w:p>
        </w:tc>
        <w:tc>
          <w:tcPr>
            <w:tcW w:w="2918" w:type="dxa"/>
            <w:tcBorders>
              <w:tl2br w:val="nil"/>
              <w:tr2bl w:val="nil"/>
            </w:tcBorders>
            <w:shd w:val="clear" w:color="auto" w:fill="auto"/>
            <w:tcMar>
              <w:left w:w="0" w:type="dxa"/>
              <w:right w:w="0" w:type="dxa"/>
            </w:tcMar>
            <w:vAlign w:val="center"/>
          </w:tcPr>
          <w:p>
            <w:pPr>
              <w:pStyle w:val="41"/>
              <w:keepNext w:val="0"/>
              <w:keepLines w:val="0"/>
              <w:pageBreakBefore w:val="0"/>
              <w:kinsoku/>
              <w:wordWrap/>
              <w:bidi w:val="0"/>
              <w:snapToGrid/>
              <w:spacing w:line="240" w:lineRule="auto"/>
            </w:pPr>
            <w:r>
              <w:t>苯</w:t>
            </w:r>
          </w:p>
        </w:tc>
        <w:tc>
          <w:tcPr>
            <w:tcW w:w="4359" w:type="dxa"/>
            <w:tcBorders>
              <w:tl2br w:val="nil"/>
              <w:tr2bl w:val="nil"/>
            </w:tcBorders>
            <w:shd w:val="clear" w:color="auto" w:fill="FFFFFF"/>
            <w:tcMar>
              <w:left w:w="0" w:type="dxa"/>
              <w:right w:w="0" w:type="dxa"/>
            </w:tcMar>
            <w:vAlign w:val="center"/>
          </w:tcPr>
          <w:p>
            <w:pPr>
              <w:pStyle w:val="41"/>
              <w:keepNext w:val="0"/>
              <w:keepLines w:val="0"/>
              <w:pageBreakBefore w:val="0"/>
              <w:kinsoku/>
              <w:wordWrap/>
              <w:bidi w:val="0"/>
              <w:snapToGrid/>
              <w:spacing w:line="240" w:lineRule="auto"/>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shd w:val="clear" w:color="auto" w:fill="auto"/>
            <w:tcMar>
              <w:left w:w="0" w:type="dxa"/>
              <w:right w:w="0" w:type="dxa"/>
            </w:tcMar>
            <w:vAlign w:val="center"/>
          </w:tcPr>
          <w:p>
            <w:pPr>
              <w:pStyle w:val="41"/>
              <w:keepNext w:val="0"/>
              <w:keepLines w:val="0"/>
              <w:pageBreakBefore w:val="0"/>
              <w:kinsoku/>
              <w:wordWrap/>
              <w:bidi w:val="0"/>
              <w:snapToGrid/>
              <w:spacing w:line="240" w:lineRule="auto"/>
            </w:pPr>
            <w:r>
              <w:t>24</w:t>
            </w:r>
          </w:p>
        </w:tc>
        <w:tc>
          <w:tcPr>
            <w:tcW w:w="2918" w:type="dxa"/>
            <w:tcBorders>
              <w:tl2br w:val="nil"/>
              <w:tr2bl w:val="nil"/>
            </w:tcBorders>
            <w:shd w:val="clear" w:color="auto" w:fill="auto"/>
            <w:tcMar>
              <w:left w:w="0" w:type="dxa"/>
              <w:right w:w="0" w:type="dxa"/>
            </w:tcMar>
            <w:vAlign w:val="center"/>
          </w:tcPr>
          <w:p>
            <w:pPr>
              <w:pStyle w:val="41"/>
              <w:keepNext w:val="0"/>
              <w:keepLines w:val="0"/>
              <w:pageBreakBefore w:val="0"/>
              <w:kinsoku/>
              <w:wordWrap/>
              <w:bidi w:val="0"/>
              <w:snapToGrid/>
              <w:spacing w:line="240" w:lineRule="auto"/>
            </w:pPr>
            <w:r>
              <w:t>甲苯</w:t>
            </w:r>
          </w:p>
        </w:tc>
        <w:tc>
          <w:tcPr>
            <w:tcW w:w="4359" w:type="dxa"/>
            <w:tcBorders>
              <w:tl2br w:val="nil"/>
              <w:tr2bl w:val="nil"/>
            </w:tcBorders>
            <w:shd w:val="clear" w:color="auto" w:fill="FFFFFF"/>
            <w:tcMar>
              <w:left w:w="0" w:type="dxa"/>
              <w:right w:w="0" w:type="dxa"/>
            </w:tcMar>
            <w:vAlign w:val="center"/>
          </w:tcPr>
          <w:p>
            <w:pPr>
              <w:pStyle w:val="41"/>
              <w:keepNext w:val="0"/>
              <w:keepLines w:val="0"/>
              <w:pageBreakBefore w:val="0"/>
              <w:kinsoku/>
              <w:wordWrap/>
              <w:bidi w:val="0"/>
              <w:snapToGrid/>
              <w:spacing w:line="240" w:lineRule="auto"/>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shd w:val="clear" w:color="auto" w:fill="auto"/>
            <w:tcMar>
              <w:left w:w="0" w:type="dxa"/>
              <w:right w:w="0" w:type="dxa"/>
            </w:tcMar>
            <w:vAlign w:val="center"/>
          </w:tcPr>
          <w:p>
            <w:pPr>
              <w:pStyle w:val="41"/>
              <w:keepNext w:val="0"/>
              <w:keepLines w:val="0"/>
              <w:pageBreakBefore w:val="0"/>
              <w:kinsoku/>
              <w:wordWrap/>
              <w:bidi w:val="0"/>
              <w:snapToGrid/>
              <w:spacing w:line="240" w:lineRule="auto"/>
            </w:pPr>
            <w:r>
              <w:t>25</w:t>
            </w:r>
          </w:p>
        </w:tc>
        <w:tc>
          <w:tcPr>
            <w:tcW w:w="2918" w:type="dxa"/>
            <w:tcBorders>
              <w:tl2br w:val="nil"/>
              <w:tr2bl w:val="nil"/>
            </w:tcBorders>
            <w:shd w:val="clear" w:color="auto" w:fill="auto"/>
            <w:tcMar>
              <w:left w:w="0" w:type="dxa"/>
              <w:right w:w="0" w:type="dxa"/>
            </w:tcMar>
            <w:vAlign w:val="center"/>
          </w:tcPr>
          <w:p>
            <w:pPr>
              <w:pStyle w:val="41"/>
              <w:keepNext w:val="0"/>
              <w:keepLines w:val="0"/>
              <w:pageBreakBefore w:val="0"/>
              <w:kinsoku/>
              <w:wordWrap/>
              <w:bidi w:val="0"/>
              <w:snapToGrid/>
              <w:spacing w:line="240" w:lineRule="auto"/>
            </w:pPr>
            <w:r>
              <w:t>二甲苯</w:t>
            </w:r>
          </w:p>
        </w:tc>
        <w:tc>
          <w:tcPr>
            <w:tcW w:w="4359" w:type="dxa"/>
            <w:tcBorders>
              <w:tl2br w:val="nil"/>
              <w:tr2bl w:val="nil"/>
            </w:tcBorders>
            <w:shd w:val="clear" w:color="auto" w:fill="FFFFFF"/>
            <w:tcMar>
              <w:left w:w="0" w:type="dxa"/>
              <w:right w:w="0" w:type="dxa"/>
            </w:tcMar>
            <w:vAlign w:val="center"/>
          </w:tcPr>
          <w:p>
            <w:pPr>
              <w:pStyle w:val="41"/>
              <w:keepNext w:val="0"/>
              <w:keepLines w:val="0"/>
              <w:pageBreakBefore w:val="0"/>
              <w:kinsoku/>
              <w:wordWrap/>
              <w:bidi w:val="0"/>
              <w:snapToGrid/>
              <w:spacing w:line="240" w:lineRule="auto"/>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26</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K</w:t>
            </w:r>
            <w:r>
              <w:rPr>
                <w:vertAlign w:val="superscript"/>
              </w:rPr>
              <w:t>+</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27</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Na</w:t>
            </w:r>
            <w:r>
              <w:rPr>
                <w:vertAlign w:val="superscript"/>
              </w:rPr>
              <w:t>+</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8.39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28</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Ca</w:t>
            </w:r>
            <w:r>
              <w:rPr>
                <w:vertAlign w:val="superscript"/>
              </w:rPr>
              <w:t>2+</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32.06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29</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Mg</w:t>
            </w:r>
            <w:r>
              <w:rPr>
                <w:vertAlign w:val="superscript"/>
              </w:rPr>
              <w:t>2+</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30</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CO</w:t>
            </w:r>
            <w:r>
              <w:rPr>
                <w:vertAlign w:val="subscript"/>
              </w:rPr>
              <w:t>3</w:t>
            </w:r>
            <w:r>
              <w:rPr>
                <w:vertAlign w:val="superscript"/>
              </w:rPr>
              <w:t>2-</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31</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HCO</w:t>
            </w:r>
            <w:r>
              <w:rPr>
                <w:vertAlign w:val="subscript"/>
              </w:rPr>
              <w:t>3</w:t>
            </w:r>
            <w:r>
              <w:rPr>
                <w:vertAlign w:val="superscript"/>
              </w:rPr>
              <w:t>-</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88.48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32</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Pb</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33</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Mn</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34</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细菌总数</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230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35</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Cu</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9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36</w:t>
            </w:r>
          </w:p>
        </w:tc>
        <w:tc>
          <w:tcPr>
            <w:tcW w:w="291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苯系物</w:t>
            </w:r>
          </w:p>
        </w:tc>
        <w:tc>
          <w:tcPr>
            <w:tcW w:w="43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pPr>
            <w:r>
              <w:t>&lt;0.05</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highlight w:val="none"/>
        </w:rPr>
      </w:pPr>
      <w:r>
        <w:rPr>
          <w:rFonts w:ascii="Times New Roman" w:hAnsi="Times New Roman" w:eastAsia="宋体" w:cs="Times New Roman"/>
          <w:sz w:val="24"/>
          <w:szCs w:val="24"/>
          <w:highlight w:val="none"/>
        </w:rPr>
        <w:t>（2）区域地下水质量变化趋势</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highlight w:val="none"/>
        </w:rPr>
      </w:pPr>
      <w:r>
        <w:rPr>
          <w:rFonts w:ascii="Times New Roman" w:hAnsi="Times New Roman" w:eastAsia="宋体" w:cs="Times New Roman"/>
          <w:bCs/>
          <w:sz w:val="24"/>
          <w:szCs w:val="24"/>
          <w:highlight w:val="none"/>
        </w:rPr>
        <w:t>项目区域地下水质量变化趋势见表5.3-2</w:t>
      </w:r>
      <w:r>
        <w:rPr>
          <w:rFonts w:hint="eastAsia" w:ascii="Times New Roman" w:hAnsi="Times New Roman" w:eastAsia="宋体" w:cs="Times New Roman"/>
          <w:bCs/>
          <w:sz w:val="24"/>
          <w:szCs w:val="24"/>
          <w:highlight w:val="none"/>
          <w:lang w:val="en-US" w:eastAsia="zh-CN"/>
        </w:rPr>
        <w:t>9</w:t>
      </w:r>
      <w:r>
        <w:rPr>
          <w:rFonts w:ascii="Times New Roman" w:hAnsi="Times New Roman" w:eastAsia="宋体" w:cs="Times New Roman"/>
          <w:bCs/>
          <w:sz w:val="24"/>
          <w:szCs w:val="24"/>
          <w:highlight w:val="none"/>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highlight w:val="none"/>
        </w:rPr>
      </w:pPr>
      <w:r>
        <w:rPr>
          <w:rFonts w:ascii="Times New Roman" w:hAnsi="Times New Roman" w:eastAsia="黑体" w:cs="Times New Roman"/>
          <w:sz w:val="24"/>
          <w:highlight w:val="none"/>
        </w:rPr>
        <w:t>表5.3-2</w:t>
      </w:r>
      <w:r>
        <w:rPr>
          <w:rFonts w:hint="eastAsia" w:ascii="Times New Roman" w:hAnsi="Times New Roman" w:eastAsia="黑体" w:cs="Times New Roman"/>
          <w:sz w:val="24"/>
          <w:highlight w:val="none"/>
          <w:lang w:val="en-US" w:eastAsia="zh-CN"/>
        </w:rPr>
        <w:t>9</w:t>
      </w:r>
      <w:r>
        <w:rPr>
          <w:rFonts w:ascii="Times New Roman" w:hAnsi="Times New Roman" w:eastAsia="黑体" w:cs="Times New Roman"/>
          <w:sz w:val="24"/>
          <w:highlight w:val="none"/>
        </w:rPr>
        <w:t xml:space="preserve">  区域地下水质量变化趋势一览表（单位：mg/L，pH无量纲；色度：度；浑浊度：NTU）</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31"/>
        <w:gridCol w:w="1470"/>
        <w:gridCol w:w="1640"/>
        <w:gridCol w:w="1815"/>
        <w:gridCol w:w="18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vMerge w:val="restart"/>
            <w:tcBorders>
              <w:tl2br w:val="nil"/>
              <w:tr2bl w:val="nil"/>
            </w:tcBorders>
            <w:vAlign w:val="center"/>
          </w:tcPr>
          <w:p>
            <w:pPr>
              <w:pStyle w:val="41"/>
              <w:keepNext w:val="0"/>
              <w:keepLines w:val="0"/>
              <w:pageBreakBefore w:val="0"/>
              <w:kinsoku/>
              <w:wordWrap/>
              <w:bidi w:val="0"/>
              <w:snapToGrid/>
              <w:spacing w:line="240" w:lineRule="auto"/>
              <w:rPr>
                <w:b/>
                <w:bCs/>
                <w:color w:val="FF0000"/>
                <w:szCs w:val="22"/>
                <w:highlight w:val="none"/>
              </w:rPr>
            </w:pPr>
            <w:r>
              <w:rPr>
                <w:b/>
                <w:bCs/>
                <w:color w:val="FF0000"/>
                <w:szCs w:val="22"/>
                <w:highlight w:val="none"/>
              </w:rPr>
              <w:t>监测因子</w:t>
            </w:r>
          </w:p>
        </w:tc>
        <w:tc>
          <w:tcPr>
            <w:tcW w:w="1470" w:type="dxa"/>
            <w:vMerge w:val="restart"/>
            <w:tcBorders>
              <w:tl2br w:val="nil"/>
              <w:tr2bl w:val="nil"/>
            </w:tcBorders>
            <w:vAlign w:val="center"/>
          </w:tcPr>
          <w:p>
            <w:pPr>
              <w:pStyle w:val="41"/>
              <w:keepNext w:val="0"/>
              <w:keepLines w:val="0"/>
              <w:pageBreakBefore w:val="0"/>
              <w:kinsoku/>
              <w:wordWrap/>
              <w:bidi w:val="0"/>
              <w:snapToGrid/>
              <w:spacing w:line="240" w:lineRule="auto"/>
              <w:rPr>
                <w:b/>
                <w:bCs/>
                <w:color w:val="FF0000"/>
                <w:szCs w:val="22"/>
                <w:highlight w:val="none"/>
              </w:rPr>
            </w:pPr>
            <w:r>
              <w:rPr>
                <w:b/>
                <w:bCs/>
                <w:color w:val="FF0000"/>
                <w:szCs w:val="22"/>
                <w:highlight w:val="none"/>
              </w:rPr>
              <w:t>标准值</w:t>
            </w:r>
          </w:p>
        </w:tc>
        <w:tc>
          <w:tcPr>
            <w:tcW w:w="5270" w:type="dxa"/>
            <w:gridSpan w:val="3"/>
            <w:tcBorders>
              <w:tl2br w:val="nil"/>
              <w:tr2bl w:val="nil"/>
            </w:tcBorders>
            <w:vAlign w:val="center"/>
          </w:tcPr>
          <w:p>
            <w:pPr>
              <w:pStyle w:val="41"/>
              <w:keepNext w:val="0"/>
              <w:keepLines w:val="0"/>
              <w:pageBreakBefore w:val="0"/>
              <w:kinsoku/>
              <w:wordWrap/>
              <w:bidi w:val="0"/>
              <w:snapToGrid/>
              <w:spacing w:line="240" w:lineRule="auto"/>
              <w:rPr>
                <w:b/>
                <w:bCs/>
                <w:color w:val="FF0000"/>
                <w:szCs w:val="22"/>
                <w:highlight w:val="none"/>
              </w:rPr>
            </w:pPr>
            <w:r>
              <w:rPr>
                <w:b/>
                <w:bCs/>
                <w:color w:val="FF0000"/>
                <w:szCs w:val="22"/>
                <w:highlight w:val="none"/>
              </w:rPr>
              <w:t>厂区东北侧1155m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vMerge w:val="continue"/>
            <w:tcBorders>
              <w:tl2br w:val="nil"/>
              <w:tr2bl w:val="nil"/>
            </w:tcBorders>
            <w:vAlign w:val="center"/>
          </w:tcPr>
          <w:p>
            <w:pPr>
              <w:pStyle w:val="41"/>
              <w:keepNext w:val="0"/>
              <w:keepLines w:val="0"/>
              <w:pageBreakBefore w:val="0"/>
              <w:kinsoku/>
              <w:wordWrap/>
              <w:bidi w:val="0"/>
              <w:snapToGrid/>
              <w:spacing w:line="240" w:lineRule="auto"/>
              <w:rPr>
                <w:b/>
                <w:bCs/>
                <w:color w:val="FF0000"/>
                <w:szCs w:val="22"/>
                <w:highlight w:val="none"/>
              </w:rPr>
            </w:pPr>
          </w:p>
        </w:tc>
        <w:tc>
          <w:tcPr>
            <w:tcW w:w="1470" w:type="dxa"/>
            <w:vMerge w:val="continue"/>
            <w:tcBorders>
              <w:tl2br w:val="nil"/>
              <w:tr2bl w:val="nil"/>
            </w:tcBorders>
            <w:vAlign w:val="center"/>
          </w:tcPr>
          <w:p>
            <w:pPr>
              <w:pStyle w:val="41"/>
              <w:keepNext w:val="0"/>
              <w:keepLines w:val="0"/>
              <w:pageBreakBefore w:val="0"/>
              <w:kinsoku/>
              <w:wordWrap/>
              <w:bidi w:val="0"/>
              <w:snapToGrid/>
              <w:spacing w:line="240" w:lineRule="auto"/>
              <w:rPr>
                <w:b/>
                <w:bCs/>
                <w:color w:val="FF0000"/>
                <w:szCs w:val="22"/>
                <w:highlight w:val="none"/>
              </w:rPr>
            </w:pPr>
          </w:p>
        </w:tc>
        <w:tc>
          <w:tcPr>
            <w:tcW w:w="1640" w:type="dxa"/>
            <w:tcBorders>
              <w:tl2br w:val="nil"/>
              <w:tr2bl w:val="nil"/>
            </w:tcBorders>
            <w:vAlign w:val="center"/>
          </w:tcPr>
          <w:p>
            <w:pPr>
              <w:pStyle w:val="41"/>
              <w:keepNext w:val="0"/>
              <w:keepLines w:val="0"/>
              <w:pageBreakBefore w:val="0"/>
              <w:kinsoku/>
              <w:wordWrap/>
              <w:bidi w:val="0"/>
              <w:snapToGrid/>
              <w:spacing w:line="240" w:lineRule="auto"/>
              <w:rPr>
                <w:b/>
                <w:bCs/>
                <w:color w:val="FF0000"/>
                <w:szCs w:val="22"/>
                <w:highlight w:val="none"/>
              </w:rPr>
            </w:pPr>
            <w:r>
              <w:rPr>
                <w:b/>
                <w:bCs/>
                <w:color w:val="FF0000"/>
                <w:szCs w:val="22"/>
                <w:highlight w:val="none"/>
              </w:rPr>
              <w:t>历史数据</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b/>
                <w:bCs/>
                <w:color w:val="FF0000"/>
                <w:szCs w:val="22"/>
                <w:highlight w:val="none"/>
              </w:rPr>
            </w:pPr>
            <w:r>
              <w:rPr>
                <w:b/>
                <w:bCs/>
                <w:color w:val="FF0000"/>
                <w:szCs w:val="22"/>
                <w:highlight w:val="none"/>
              </w:rPr>
              <w:t>后评价数据</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b/>
                <w:bCs/>
                <w:color w:val="FF0000"/>
                <w:szCs w:val="22"/>
                <w:highlight w:val="none"/>
                <w:lang w:eastAsia="zh-CN"/>
              </w:rPr>
            </w:pPr>
            <w:r>
              <w:rPr>
                <w:rFonts w:hint="eastAsia"/>
                <w:b/>
                <w:bCs/>
                <w:color w:val="FF0000"/>
                <w:szCs w:val="22"/>
                <w:highlight w:val="none"/>
                <w:lang w:eastAsia="zh-CN"/>
              </w:rPr>
              <w:t>变化情况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pH</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8.32</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7.2</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szCs w:val="22"/>
                <w:highlight w:val="none"/>
                <w:lang w:eastAsia="zh-CN"/>
              </w:rPr>
            </w:pPr>
            <w:r>
              <w:rPr>
                <w:rFonts w:hint="eastAsia"/>
                <w:color w:val="FF0000"/>
                <w:szCs w:val="22"/>
                <w:highlight w:val="none"/>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总硬度（以CaCO</w:t>
            </w:r>
            <w:r>
              <w:rPr>
                <w:rFonts w:ascii="Times New Roman" w:hAnsi="Times New Roman" w:eastAsia="宋体" w:cs="Times New Roman"/>
                <w:color w:val="FF0000"/>
                <w:kern w:val="0"/>
                <w:szCs w:val="21"/>
                <w:highlight w:val="none"/>
                <w:vertAlign w:val="subscript"/>
              </w:rPr>
              <w:t>3</w:t>
            </w:r>
            <w:r>
              <w:rPr>
                <w:rFonts w:ascii="Times New Roman" w:hAnsi="Times New Roman" w:eastAsia="宋体" w:cs="Times New Roman"/>
                <w:color w:val="FF0000"/>
                <w:kern w:val="0"/>
                <w:szCs w:val="21"/>
                <w:highlight w:val="none"/>
              </w:rPr>
              <w:t>计）</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112.5</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332</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szCs w:val="22"/>
                <w:highlight w:val="none"/>
                <w:lang w:eastAsia="zh-CN"/>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溶解性固体</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298.41</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401</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硫酸盐</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34.70</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7.02</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氯化物</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11.34</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9.44</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szCs w:val="21"/>
                <w:highlight w:val="none"/>
              </w:rPr>
              <w:t>铁</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0.05</w:t>
            </w:r>
          </w:p>
        </w:tc>
        <w:tc>
          <w:tcPr>
            <w:tcW w:w="1815"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cs="Times New Roman" w:eastAsiaTheme="minorEastAsia"/>
                <w:color w:val="FF0000"/>
                <w:highlight w:val="none"/>
                <w:lang w:val="en-US" w:eastAsia="zh-CN"/>
              </w:rPr>
            </w:pPr>
            <w:r>
              <w:rPr>
                <w:rFonts w:hint="eastAsia" w:ascii="Times New Roman" w:hAnsi="Times New Roman" w:eastAsia="宋体" w:cs="Times New Roman"/>
                <w:color w:val="FF0000"/>
                <w:szCs w:val="21"/>
                <w:highlight w:val="none"/>
                <w:lang w:val="en-US" w:eastAsia="zh-CN"/>
              </w:rPr>
              <w:t>0.07</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szCs w:val="21"/>
                <w:highlight w:val="none"/>
              </w:rPr>
              <w:t>锰</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&lt;0.01</w:t>
            </w:r>
          </w:p>
        </w:tc>
        <w:tc>
          <w:tcPr>
            <w:tcW w:w="1815" w:type="dxa"/>
            <w:tcBorders>
              <w:tl2br w:val="nil"/>
              <w:tr2bl w:val="nil"/>
            </w:tcBorders>
            <w:vAlign w:val="center"/>
          </w:tcPr>
          <w:p>
            <w:pPr>
              <w:keepNext w:val="0"/>
              <w:keepLines w:val="0"/>
              <w:pageBreakBefore w:val="0"/>
              <w:widowControl/>
              <w:kinsoku/>
              <w:wordWrap/>
              <w:bidi w:val="0"/>
              <w:snapToGrid/>
              <w:jc w:val="center"/>
              <w:textAlignment w:val="center"/>
              <w:rPr>
                <w:rFonts w:hint="default" w:ascii="Times New Roman" w:hAnsi="Times New Roman" w:cs="Times New Roman" w:eastAsiaTheme="minorEastAsia"/>
                <w:color w:val="FF0000"/>
                <w:highlight w:val="none"/>
                <w:lang w:val="en-US" w:eastAsia="zh-CN"/>
              </w:rPr>
            </w:pPr>
            <w:r>
              <w:rPr>
                <w:rFonts w:hint="eastAsia" w:ascii="Times New Roman" w:hAnsi="Times New Roman" w:eastAsia="宋体" w:cs="Times New Roman"/>
                <w:color w:val="FF0000"/>
                <w:szCs w:val="21"/>
                <w:highlight w:val="none"/>
                <w:lang w:val="en-US" w:eastAsia="zh-CN"/>
              </w:rPr>
              <w:t>0.07</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szCs w:val="21"/>
                <w:highlight w:val="none"/>
              </w:rPr>
              <w:t>铜</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&lt;0.01</w:t>
            </w:r>
          </w:p>
        </w:tc>
        <w:tc>
          <w:tcPr>
            <w:tcW w:w="1815" w:type="dxa"/>
            <w:tcBorders>
              <w:tl2br w:val="nil"/>
              <w:tr2bl w:val="nil"/>
            </w:tcBorders>
            <w:vAlign w:val="center"/>
          </w:tcPr>
          <w:p>
            <w:pPr>
              <w:keepNext w:val="0"/>
              <w:keepLines w:val="0"/>
              <w:pageBreakBefore w:val="0"/>
              <w:widowControl/>
              <w:kinsoku/>
              <w:wordWrap/>
              <w:bidi w:val="0"/>
              <w:snapToGrid/>
              <w:jc w:val="center"/>
              <w:textAlignment w:val="center"/>
              <w:rPr>
                <w:rFonts w:hint="eastAsia" w:ascii="Times New Roman" w:hAnsi="Times New Roman" w:cs="Times New Roman" w:eastAsiaTheme="minorEastAsia"/>
                <w:color w:val="FF0000"/>
                <w:highlight w:val="none"/>
                <w:lang w:val="en-US" w:eastAsia="zh-CN"/>
              </w:rPr>
            </w:pPr>
            <w:r>
              <w:rPr>
                <w:rFonts w:hint="eastAsia" w:ascii="Times New Roman" w:hAnsi="Times New Roman" w:eastAsia="宋体" w:cs="Times New Roman"/>
                <w:color w:val="FF0000"/>
                <w:szCs w:val="21"/>
                <w:highlight w:val="none"/>
                <w:lang w:val="en-US" w:eastAsia="zh-CN"/>
              </w:rPr>
              <w:t>&lt;0.05</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szCs w:val="22"/>
                <w:highlight w:val="none"/>
                <w:lang w:val="en-US" w:eastAsia="zh-CN"/>
              </w:rPr>
            </w:pPr>
            <w:r>
              <w:rPr>
                <w:rFonts w:hint="eastAsia"/>
                <w:color w:val="FF0000"/>
                <w:szCs w:val="22"/>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szCs w:val="21"/>
                <w:highlight w:val="none"/>
              </w:rPr>
              <w:t>锌</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0.02</w:t>
            </w:r>
          </w:p>
        </w:tc>
        <w:tc>
          <w:tcPr>
            <w:tcW w:w="18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lang w:bidi="ar"/>
              </w:rPr>
              <w:t>0.05</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szCs w:val="21"/>
                <w:highlight w:val="none"/>
              </w:rPr>
              <w:t>挥发性酚类（以苯酚计）</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&lt;0.002</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&lt;</w:t>
            </w:r>
            <w:r>
              <w:rPr>
                <w:rFonts w:hint="eastAsia"/>
                <w:color w:val="FF0000"/>
                <w:szCs w:val="22"/>
                <w:highlight w:val="none"/>
              </w:rPr>
              <w:t>0.0003</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szCs w:val="22"/>
                <w:highlight w:val="none"/>
                <w:lang w:val="en-US" w:eastAsia="zh-CN"/>
              </w:rPr>
            </w:pPr>
            <w:r>
              <w:rPr>
                <w:rFonts w:hint="eastAsia"/>
                <w:color w:val="FF0000"/>
                <w:szCs w:val="22"/>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szCs w:val="21"/>
                <w:highlight w:val="none"/>
              </w:rPr>
              <w:t>耗氧量（COD</w:t>
            </w:r>
            <w:r>
              <w:rPr>
                <w:rFonts w:ascii="Times New Roman" w:hAnsi="Times New Roman" w:eastAsia="宋体" w:cs="Times New Roman"/>
                <w:color w:val="FF0000"/>
                <w:szCs w:val="21"/>
                <w:highlight w:val="none"/>
                <w:vertAlign w:val="subscript"/>
              </w:rPr>
              <w:t>Mn</w:t>
            </w:r>
            <w:r>
              <w:rPr>
                <w:rFonts w:ascii="Times New Roman" w:hAnsi="Times New Roman" w:eastAsia="宋体" w:cs="Times New Roman"/>
                <w:color w:val="FF0000"/>
                <w:szCs w:val="21"/>
                <w:highlight w:val="none"/>
              </w:rPr>
              <w:t>法，以O</w:t>
            </w:r>
            <w:r>
              <w:rPr>
                <w:rFonts w:ascii="Times New Roman" w:hAnsi="Times New Roman" w:eastAsia="宋体" w:cs="Times New Roman"/>
                <w:color w:val="FF0000"/>
                <w:szCs w:val="21"/>
                <w:highlight w:val="none"/>
                <w:vertAlign w:val="subscript"/>
              </w:rPr>
              <w:t>2</w:t>
            </w:r>
            <w:r>
              <w:rPr>
                <w:rFonts w:ascii="Times New Roman" w:hAnsi="Times New Roman" w:eastAsia="宋体" w:cs="Times New Roman"/>
                <w:color w:val="FF0000"/>
                <w:szCs w:val="21"/>
                <w:highlight w:val="none"/>
              </w:rPr>
              <w:t>计）</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1.97</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1.1</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szCs w:val="21"/>
                <w:highlight w:val="none"/>
              </w:rPr>
              <w:t>氨氮（以N计）</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0.002</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0.045</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szCs w:val="21"/>
                <w:highlight w:val="none"/>
              </w:rPr>
              <w:t>钠</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8.39</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1"/>
                <w:highlight w:val="none"/>
                <w:lang w:val="en-US" w:eastAsia="zh-CN"/>
              </w:rPr>
              <w:t>15.0</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szCs w:val="21"/>
                <w:highlight w:val="none"/>
              </w:rPr>
            </w:pPr>
            <w:r>
              <w:rPr>
                <w:rFonts w:ascii="Times New Roman" w:hAnsi="Times New Roman" w:eastAsia="宋体" w:cs="Times New Roman"/>
                <w:color w:val="FF0000"/>
                <w:kern w:val="0"/>
                <w:szCs w:val="21"/>
                <w:highlight w:val="none"/>
              </w:rPr>
              <w:t>总大肠菌群</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MPN/100mL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15</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&lt;2</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szCs w:val="21"/>
                <w:highlight w:val="none"/>
              </w:rPr>
            </w:pPr>
            <w:r>
              <w:rPr>
                <w:rFonts w:ascii="Times New Roman" w:hAnsi="Times New Roman" w:eastAsia="宋体" w:cs="Times New Roman"/>
                <w:color w:val="FF0000"/>
                <w:kern w:val="0"/>
                <w:szCs w:val="21"/>
                <w:highlight w:val="none"/>
              </w:rPr>
              <w:t>菌落总数</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CFU/mL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230</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37</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highlight w:val="none"/>
              </w:rPr>
            </w:pPr>
            <w:r>
              <w:rPr>
                <w:rFonts w:ascii="Times New Roman" w:hAnsi="Times New Roman" w:eastAsia="宋体" w:cs="Times New Roman"/>
                <w:color w:val="FF0000"/>
                <w:szCs w:val="21"/>
                <w:highlight w:val="none"/>
              </w:rPr>
              <w:t>亚硝酸盐（以N计）</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0.018</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1"/>
                <w:highlight w:val="none"/>
              </w:rPr>
              <w:t>0.083</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highlight w:val="none"/>
              </w:rPr>
            </w:pPr>
            <w:r>
              <w:rPr>
                <w:rFonts w:ascii="Times New Roman" w:hAnsi="Times New Roman" w:eastAsia="宋体" w:cs="Times New Roman"/>
                <w:color w:val="FF0000"/>
                <w:szCs w:val="21"/>
                <w:highlight w:val="none"/>
              </w:rPr>
              <w:t>硝酸盐（以N计）</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0.74</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color w:val="FF0000"/>
                <w:szCs w:val="21"/>
                <w:highlight w:val="none"/>
              </w:rPr>
              <w:t>0.</w:t>
            </w:r>
            <w:r>
              <w:rPr>
                <w:rFonts w:hint="eastAsia"/>
                <w:color w:val="FF0000"/>
                <w:szCs w:val="21"/>
                <w:highlight w:val="none"/>
                <w:lang w:val="en-US" w:eastAsia="zh-CN"/>
              </w:rPr>
              <w:t>645</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highlight w:val="none"/>
              </w:rPr>
            </w:pPr>
            <w:r>
              <w:rPr>
                <w:rFonts w:ascii="Times New Roman" w:hAnsi="Times New Roman" w:eastAsia="宋体" w:cs="Times New Roman"/>
                <w:color w:val="FF0000"/>
                <w:szCs w:val="21"/>
                <w:highlight w:val="none"/>
              </w:rPr>
              <w:t>氰化物</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&lt;0.004</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&lt;0.004</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highlight w:val="none"/>
              </w:rPr>
            </w:pPr>
            <w:r>
              <w:rPr>
                <w:rFonts w:ascii="Times New Roman" w:hAnsi="Times New Roman" w:eastAsia="宋体" w:cs="Times New Roman"/>
                <w:color w:val="FF0000"/>
                <w:szCs w:val="21"/>
                <w:highlight w:val="none"/>
              </w:rPr>
              <w:t>汞</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0.0004</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0.29</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highlight w:val="none"/>
              </w:rPr>
            </w:pPr>
            <w:r>
              <w:rPr>
                <w:rFonts w:ascii="Times New Roman" w:hAnsi="Times New Roman" w:eastAsia="宋体" w:cs="Times New Roman"/>
                <w:color w:val="FF0000"/>
                <w:szCs w:val="21"/>
                <w:highlight w:val="none"/>
              </w:rPr>
              <w:t>砷</w:t>
            </w:r>
          </w:p>
        </w:tc>
        <w:tc>
          <w:tcPr>
            <w:tcW w:w="1470"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&lt;0.005</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3.8</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highlight w:val="none"/>
              </w:rPr>
            </w:pPr>
            <w:r>
              <w:rPr>
                <w:rFonts w:ascii="Times New Roman" w:hAnsi="Times New Roman" w:eastAsia="宋体" w:cs="Times New Roman"/>
                <w:color w:val="FF0000"/>
                <w:szCs w:val="21"/>
                <w:highlight w:val="none"/>
              </w:rPr>
              <w:t>镉</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&lt;0.01</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color w:val="FF0000"/>
                <w:szCs w:val="22"/>
                <w:highlight w:val="none"/>
                <w:lang w:val="en-US" w:eastAsia="zh-CN"/>
              </w:rPr>
            </w:pPr>
            <w:r>
              <w:rPr>
                <w:rFonts w:hint="eastAsia"/>
                <w:color w:val="FF0000"/>
                <w:szCs w:val="22"/>
                <w:highlight w:val="none"/>
                <w:lang w:val="en-US" w:eastAsia="zh-CN"/>
              </w:rPr>
              <w:t>1.7</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highlight w:val="none"/>
              </w:rPr>
            </w:pPr>
            <w:r>
              <w:rPr>
                <w:rFonts w:ascii="Times New Roman" w:hAnsi="Times New Roman" w:eastAsia="宋体" w:cs="Times New Roman"/>
                <w:color w:val="FF0000"/>
                <w:kern w:val="0"/>
                <w:szCs w:val="21"/>
                <w:highlight w:val="none"/>
              </w:rPr>
              <w:t>铅</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highlight w:val="none"/>
              </w:rPr>
              <w:t>&lt;0.01</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color w:val="FF0000"/>
                <w:szCs w:val="22"/>
                <w:highlight w:val="none"/>
                <w:lang w:eastAsia="zh-CN"/>
              </w:rPr>
            </w:pPr>
            <w:r>
              <w:rPr>
                <w:rFonts w:hint="eastAsia"/>
                <w:color w:val="FF0000"/>
                <w:szCs w:val="22"/>
                <w:highlight w:val="none"/>
                <w:lang w:val="en-US" w:eastAsia="zh-CN"/>
              </w:rPr>
              <w:t>5</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31"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color w:val="FF0000"/>
                <w:kern w:val="0"/>
                <w:szCs w:val="21"/>
                <w:highlight w:val="none"/>
              </w:rPr>
            </w:pPr>
            <w:r>
              <w:rPr>
                <w:rFonts w:ascii="Times New Roman" w:hAnsi="Times New Roman" w:eastAsia="宋体" w:cs="Times New Roman"/>
                <w:color w:val="FF0000"/>
                <w:kern w:val="0"/>
                <w:szCs w:val="21"/>
                <w:highlight w:val="none"/>
              </w:rPr>
              <w:t>氟化物</w:t>
            </w:r>
          </w:p>
        </w:tc>
        <w:tc>
          <w:tcPr>
            <w:tcW w:w="147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cs="Times New Roman"/>
                <w:color w:val="FF0000"/>
                <w:highlight w:val="none"/>
              </w:rPr>
            </w:pPr>
            <w:r>
              <w:rPr>
                <w:rFonts w:ascii="Times New Roman" w:hAnsi="Times New Roman" w:eastAsia="宋体" w:cs="Times New Roman"/>
                <w:color w:val="FF0000"/>
                <w:kern w:val="0"/>
                <w:szCs w:val="21"/>
                <w:highlight w:val="none"/>
              </w:rPr>
              <w:t>mg/L</w:t>
            </w:r>
          </w:p>
        </w:tc>
        <w:tc>
          <w:tcPr>
            <w:tcW w:w="1640"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0.22</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color w:val="FF0000"/>
                <w:szCs w:val="22"/>
                <w:highlight w:val="none"/>
              </w:rPr>
              <w:t>&lt;</w:t>
            </w:r>
            <w:r>
              <w:rPr>
                <w:rFonts w:hint="eastAsia"/>
                <w:color w:val="FF0000"/>
                <w:szCs w:val="22"/>
                <w:highlight w:val="none"/>
              </w:rPr>
              <w:t>0.0003</w:t>
            </w:r>
          </w:p>
        </w:tc>
        <w:tc>
          <w:tcPr>
            <w:tcW w:w="1815" w:type="dxa"/>
            <w:tcBorders>
              <w:tl2br w:val="nil"/>
              <w:tr2bl w:val="nil"/>
            </w:tcBorders>
            <w:vAlign w:val="center"/>
          </w:tcPr>
          <w:p>
            <w:pPr>
              <w:pStyle w:val="41"/>
              <w:keepNext w:val="0"/>
              <w:keepLines w:val="0"/>
              <w:pageBreakBefore w:val="0"/>
              <w:kinsoku/>
              <w:wordWrap/>
              <w:bidi w:val="0"/>
              <w:snapToGrid/>
              <w:spacing w:line="240" w:lineRule="auto"/>
              <w:rPr>
                <w:color w:val="FF0000"/>
                <w:szCs w:val="22"/>
                <w:highlight w:val="none"/>
              </w:rPr>
            </w:pPr>
            <w:r>
              <w:rPr>
                <w:rFonts w:hint="eastAsia"/>
                <w:color w:val="FF0000"/>
                <w:szCs w:val="22"/>
                <w:highlight w:val="none"/>
                <w:lang w:eastAsia="zh-CN"/>
              </w:rPr>
              <w:t>变低</w:t>
            </w:r>
          </w:p>
        </w:tc>
      </w:tr>
    </w:tbl>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highlight w:val="none"/>
          <w:lang w:eastAsia="zh-CN"/>
        </w:rPr>
      </w:pPr>
      <w:r>
        <w:rPr>
          <w:rFonts w:hint="eastAsia" w:ascii="Times New Roman" w:hAnsi="Times New Roman" w:eastAsia="宋体" w:cs="Times New Roman"/>
          <w:bCs/>
          <w:color w:val="FF0000"/>
          <w:sz w:val="24"/>
          <w:szCs w:val="24"/>
          <w:lang w:eastAsia="zh-CN"/>
        </w:rPr>
        <w:t>由上表可知，</w:t>
      </w:r>
      <w:r>
        <w:rPr>
          <w:rFonts w:ascii="Times New Roman" w:hAnsi="Times New Roman" w:eastAsia="宋体" w:cs="Times New Roman"/>
          <w:bCs/>
          <w:color w:val="FF0000"/>
          <w:sz w:val="24"/>
          <w:szCs w:val="24"/>
        </w:rPr>
        <w:t>2016年至2019年</w:t>
      </w:r>
      <w:r>
        <w:rPr>
          <w:rFonts w:hint="eastAsia" w:ascii="Times New Roman" w:hAnsi="Times New Roman" w:eastAsia="宋体" w:cs="Times New Roman"/>
          <w:bCs/>
          <w:color w:val="FF0000"/>
          <w:sz w:val="24"/>
          <w:szCs w:val="24"/>
          <w:lang w:eastAsia="zh-CN"/>
        </w:rPr>
        <w:t>厂区东北侧</w:t>
      </w:r>
      <w:r>
        <w:rPr>
          <w:rFonts w:ascii="Times New Roman" w:hAnsi="Times New Roman" w:eastAsia="宋体" w:cs="Times New Roman"/>
          <w:bCs/>
          <w:color w:val="FF0000"/>
          <w:sz w:val="24"/>
          <w:szCs w:val="24"/>
          <w:highlight w:val="none"/>
        </w:rPr>
        <w:t>地下水环境质量</w:t>
      </w:r>
      <w:r>
        <w:rPr>
          <w:rFonts w:hint="eastAsia" w:ascii="Times New Roman" w:hAnsi="Times New Roman" w:eastAsia="宋体" w:cs="Times New Roman"/>
          <w:bCs/>
          <w:color w:val="FF0000"/>
          <w:sz w:val="24"/>
          <w:szCs w:val="24"/>
          <w:highlight w:val="none"/>
          <w:lang w:eastAsia="zh-CN"/>
        </w:rPr>
        <w:t>变化波动较大，总硬度、溶解性固体、铁、锰、锌、氨氮、钠、亚硝酸盐、汞、砷、镉、铅等数据均呈现不同程度的增加。</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color w:val="FF0000"/>
          <w:sz w:val="24"/>
          <w:szCs w:val="24"/>
          <w:lang w:eastAsia="zh-CN"/>
        </w:rPr>
      </w:pPr>
      <w:r>
        <w:rPr>
          <w:rFonts w:hint="eastAsia" w:ascii="Times New Roman" w:hAnsi="Times New Roman" w:eastAsia="宋体" w:cs="Times New Roman"/>
          <w:bCs/>
          <w:color w:val="FF0000"/>
          <w:sz w:val="24"/>
          <w:szCs w:val="24"/>
          <w:lang w:eastAsia="zh-CN"/>
        </w:rPr>
        <w:t>由于缺少区域地下水环境质量整体趋势变化数据，本次评价建议企业可加强后期跟踪监测，用以反应企业的建设对周边地下水环境质量影响趋势。</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5.3.5土壤质量现状调查与评价</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5.3.5.1土壤环境质量现状监测</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（1）监测因子</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监测因子包括铅、镉、汞、砷、镍、铬（六价）、铜、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二氯酚、苯并[a]蒽、苯并[a]芘、苯并[b]荧蒽、苯并[k]荧蒽、䓛、二苯并[a</w:t>
      </w:r>
      <w:r>
        <w:rPr>
          <w:rFonts w:hint="eastAsia" w:ascii="Times New Roman" w:hAnsi="Times New Roman" w:eastAsia="宋体" w:cs="Times New Roman"/>
          <w:sz w:val="24"/>
          <w:lang w:val="en-US" w:eastAsia="zh-CN"/>
        </w:rPr>
        <w:t>,</w:t>
      </w:r>
      <w:r>
        <w:rPr>
          <w:rFonts w:ascii="Times New Roman" w:hAnsi="Times New Roman" w:eastAsia="宋体" w:cs="Times New Roman"/>
          <w:sz w:val="24"/>
        </w:rPr>
        <w:t>h]蒽、茚并[1</w:t>
      </w:r>
      <w:r>
        <w:rPr>
          <w:rFonts w:hint="eastAsia" w:ascii="Times New Roman" w:hAnsi="Times New Roman" w:eastAsia="宋体" w:cs="Times New Roman"/>
          <w:sz w:val="24"/>
          <w:lang w:val="en-US" w:eastAsia="zh-CN"/>
        </w:rPr>
        <w:t>,</w:t>
      </w:r>
      <w:r>
        <w:rPr>
          <w:rFonts w:ascii="Times New Roman" w:hAnsi="Times New Roman" w:eastAsia="宋体" w:cs="Times New Roman"/>
          <w:sz w:val="24"/>
        </w:rPr>
        <w:t>2</w:t>
      </w:r>
      <w:r>
        <w:rPr>
          <w:rFonts w:hint="eastAsia" w:ascii="Times New Roman" w:hAnsi="Times New Roman" w:eastAsia="宋体" w:cs="Times New Roman"/>
          <w:sz w:val="24"/>
          <w:lang w:val="en-US" w:eastAsia="zh-CN"/>
        </w:rPr>
        <w:t>,</w:t>
      </w:r>
      <w:r>
        <w:rPr>
          <w:rFonts w:ascii="Times New Roman" w:hAnsi="Times New Roman" w:eastAsia="宋体" w:cs="Times New Roman"/>
          <w:sz w:val="24"/>
        </w:rPr>
        <w:t>3-c</w:t>
      </w:r>
      <w:r>
        <w:rPr>
          <w:rFonts w:hint="eastAsia" w:ascii="Times New Roman" w:hAnsi="Times New Roman" w:eastAsia="宋体" w:cs="Times New Roman"/>
          <w:sz w:val="24"/>
          <w:lang w:val="en-US" w:eastAsia="zh-CN"/>
        </w:rPr>
        <w:t>,</w:t>
      </w:r>
      <w:r>
        <w:rPr>
          <w:rFonts w:ascii="Times New Roman" w:hAnsi="Times New Roman" w:eastAsia="宋体" w:cs="Times New Roman"/>
          <w:sz w:val="24"/>
        </w:rPr>
        <w:t>d]芘、萘，共4</w:t>
      </w:r>
      <w:r>
        <w:rPr>
          <w:rFonts w:hint="eastAsia" w:ascii="Times New Roman" w:hAnsi="Times New Roman" w:eastAsia="宋体" w:cs="Times New Roman"/>
          <w:sz w:val="24"/>
          <w:lang w:val="en-US" w:eastAsia="zh-CN"/>
        </w:rPr>
        <w:t>5</w:t>
      </w:r>
      <w:r>
        <w:rPr>
          <w:rFonts w:ascii="Times New Roman" w:hAnsi="Times New Roman" w:eastAsia="宋体" w:cs="Times New Roman"/>
          <w:sz w:val="24"/>
        </w:rPr>
        <w:t>项。</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（2）监测点布设</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为了评价区域土壤本底环境状况，在区域内选择10个点进行土壤现状监测，具体监测点位布设情况见表5.3-</w:t>
      </w:r>
      <w:r>
        <w:rPr>
          <w:rFonts w:hint="eastAsia" w:ascii="Times New Roman" w:hAnsi="Times New Roman" w:eastAsia="宋体" w:cs="Times New Roman"/>
          <w:sz w:val="24"/>
          <w:lang w:val="en-US" w:eastAsia="zh-CN"/>
        </w:rPr>
        <w:t>30</w:t>
      </w:r>
      <w:r>
        <w:rPr>
          <w:rFonts w:ascii="Times New Roman" w:hAnsi="Times New Roman" w:eastAsia="宋体" w:cs="Times New Roman"/>
          <w:sz w:val="24"/>
        </w:rPr>
        <w:t>及图5.3-3。</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w:t>
      </w:r>
      <w:r>
        <w:rPr>
          <w:rFonts w:hint="eastAsia" w:ascii="Times New Roman" w:hAnsi="Times New Roman" w:eastAsia="黑体" w:cs="Times New Roman"/>
          <w:sz w:val="24"/>
          <w:lang w:val="en-US" w:eastAsia="zh-CN"/>
        </w:rPr>
        <w:t>30</w:t>
      </w:r>
      <w:r>
        <w:rPr>
          <w:rFonts w:ascii="Times New Roman" w:hAnsi="Times New Roman" w:eastAsia="黑体" w:cs="Times New Roman"/>
          <w:sz w:val="24"/>
        </w:rPr>
        <w:t xml:space="preserve">  土壤监测点布置一览表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5"/>
        <w:gridCol w:w="3980"/>
        <w:gridCol w:w="36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b/>
                <w:bCs/>
                <w:szCs w:val="21"/>
              </w:rPr>
            </w:pPr>
            <w:r>
              <w:rPr>
                <w:rFonts w:ascii="Times New Roman" w:hAnsi="Times New Roman" w:eastAsia="宋体" w:cs="Times New Roman"/>
                <w:b/>
                <w:bCs/>
                <w:szCs w:val="21"/>
              </w:rPr>
              <w:t>点位编号</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b/>
                <w:bCs/>
                <w:szCs w:val="21"/>
              </w:rPr>
            </w:pPr>
            <w:r>
              <w:rPr>
                <w:rFonts w:ascii="Times New Roman" w:hAnsi="Times New Roman" w:eastAsia="宋体" w:cs="Times New Roman"/>
                <w:b/>
                <w:bCs/>
                <w:szCs w:val="21"/>
              </w:rPr>
              <w:t>测点名称</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b/>
                <w:bCs/>
                <w:szCs w:val="21"/>
              </w:rPr>
            </w:pPr>
            <w:r>
              <w:rPr>
                <w:rFonts w:ascii="Times New Roman" w:hAnsi="Times New Roman" w:eastAsia="宋体" w:cs="Times New Roman"/>
                <w:b/>
                <w:bCs/>
                <w:szCs w:val="21"/>
              </w:rP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T1</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rPr>
              <w:t>高炉车间区域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T2</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炼钢连铸车间区域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T3</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球墨铸管车间区域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T4</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焦化车间区域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T5</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双高线车间区域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T6</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原料场区域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T7</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粗苯储罐区域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T8</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煤气柜区域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T9</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酚氰污水处理站区域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41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T10</w:t>
            </w:r>
          </w:p>
        </w:tc>
        <w:tc>
          <w:tcPr>
            <w:tcW w:w="3980"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全厂生产废水处理站区域</w:t>
            </w:r>
          </w:p>
        </w:tc>
        <w:tc>
          <w:tcPr>
            <w:tcW w:w="367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基础45项</w:t>
            </w:r>
          </w:p>
        </w:tc>
      </w:tr>
    </w:tbl>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（3）监测时间及频次</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监测1天，进行一次性采样。</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（4）监测方法</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采样和分析方法按照国家环保总局颁发的《环境监测分析方法》、《土壤农业化学分析方法》、《农业土壤环境质量监测技术规范》和中国环境监测总站编制的《土壤元素的近代分析方法》进行。</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（5）监测结果</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sz w:val="24"/>
        </w:rPr>
        <w:t>监测结果见表5.3-</w:t>
      </w:r>
      <w:r>
        <w:rPr>
          <w:rFonts w:hint="eastAsia" w:ascii="Times New Roman" w:hAnsi="Times New Roman" w:eastAsia="宋体" w:cs="Times New Roman"/>
          <w:sz w:val="24"/>
          <w:lang w:val="en-US" w:eastAsia="zh-CN"/>
        </w:rPr>
        <w:t>31</w:t>
      </w:r>
      <w:r>
        <w:rPr>
          <w:rFonts w:ascii="Times New Roman" w:hAnsi="Times New Roman" w:eastAsia="宋体" w:cs="Times New Roman"/>
          <w:sz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w:t>
      </w:r>
      <w:r>
        <w:rPr>
          <w:rFonts w:hint="eastAsia" w:ascii="Times New Roman" w:hAnsi="Times New Roman" w:eastAsia="黑体" w:cs="Times New Roman"/>
          <w:sz w:val="24"/>
          <w:lang w:val="en-US" w:eastAsia="zh-CN"/>
        </w:rPr>
        <w:t>31</w:t>
      </w:r>
      <w:r>
        <w:rPr>
          <w:rFonts w:ascii="Times New Roman" w:hAnsi="Times New Roman" w:eastAsia="黑体" w:cs="Times New Roman"/>
          <w:sz w:val="24"/>
        </w:rPr>
        <w:t xml:space="preserve">  土壤监测结果一览表（单位：mg/kg）</w:t>
      </w:r>
    </w:p>
    <w:tbl>
      <w:tblPr>
        <w:tblStyle w:val="22"/>
        <w:tblW w:w="1417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25"/>
        <w:gridCol w:w="1101"/>
        <w:gridCol w:w="1204"/>
        <w:gridCol w:w="1205"/>
        <w:gridCol w:w="1205"/>
        <w:gridCol w:w="1204"/>
        <w:gridCol w:w="1206"/>
        <w:gridCol w:w="1205"/>
        <w:gridCol w:w="1206"/>
        <w:gridCol w:w="1207"/>
        <w:gridCol w:w="12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b/>
                <w:bCs/>
              </w:rPr>
            </w:pPr>
            <w:r>
              <w:rPr>
                <w:rFonts w:ascii="Times New Roman" w:hAnsi="Times New Roman" w:eastAsia="宋体" w:cs="Times New Roman"/>
                <w:b/>
                <w:bCs/>
                <w:szCs w:val="21"/>
              </w:rPr>
              <w:t>监测项目</w:t>
            </w:r>
          </w:p>
        </w:tc>
        <w:tc>
          <w:tcPr>
            <w:tcW w:w="110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T1</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T2</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T3</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T4</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T5</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T6</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T7</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T8</w:t>
            </w:r>
          </w:p>
        </w:tc>
        <w:tc>
          <w:tcPr>
            <w:tcW w:w="1207"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T9</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bCs/>
                <w:szCs w:val="21"/>
              </w:rPr>
            </w:pPr>
            <w:r>
              <w:rPr>
                <w:rFonts w:ascii="Times New Roman" w:hAnsi="Times New Roman" w:eastAsia="宋体" w:cs="Times New Roman"/>
                <w:b/>
                <w:bCs/>
                <w:szCs w:val="21"/>
              </w:rPr>
              <w:t>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砷</w:t>
            </w:r>
          </w:p>
        </w:tc>
        <w:tc>
          <w:tcPr>
            <w:tcW w:w="110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11.8</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14.1</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10.8</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10.1</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14.8</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12.3</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16.0</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13.3</w:t>
            </w:r>
          </w:p>
        </w:tc>
        <w:tc>
          <w:tcPr>
            <w:tcW w:w="1207"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17.7</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43.7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镉</w:t>
            </w:r>
          </w:p>
        </w:tc>
        <w:tc>
          <w:tcPr>
            <w:tcW w:w="110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0.192</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0.369</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0.190</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0.199</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0.224</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0.258</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0.194</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0.212</w:t>
            </w:r>
          </w:p>
        </w:tc>
        <w:tc>
          <w:tcPr>
            <w:tcW w:w="1207"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0.339</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0.227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铬（六价）</w:t>
            </w:r>
          </w:p>
        </w:tc>
        <w:tc>
          <w:tcPr>
            <w:tcW w:w="110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&lt;2.0</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&lt;2.0</w:t>
            </w:r>
          </w:p>
        </w:tc>
        <w:tc>
          <w:tcPr>
            <w:tcW w:w="12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&lt;2.0</w:t>
            </w:r>
          </w:p>
        </w:tc>
        <w:tc>
          <w:tcPr>
            <w:tcW w:w="12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&lt;2.0</w:t>
            </w:r>
          </w:p>
        </w:tc>
        <w:tc>
          <w:tcPr>
            <w:tcW w:w="120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&lt;2.0</w:t>
            </w:r>
          </w:p>
        </w:tc>
        <w:tc>
          <w:tcPr>
            <w:tcW w:w="12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&lt;2.0</w:t>
            </w:r>
          </w:p>
        </w:tc>
        <w:tc>
          <w:tcPr>
            <w:tcW w:w="12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&lt;2.0</w:t>
            </w:r>
          </w:p>
        </w:tc>
        <w:tc>
          <w:tcPr>
            <w:tcW w:w="120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&lt;2.0</w:t>
            </w:r>
          </w:p>
        </w:tc>
        <w:tc>
          <w:tcPr>
            <w:tcW w:w="120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&lt;2.0</w:t>
            </w:r>
          </w:p>
        </w:tc>
        <w:tc>
          <w:tcPr>
            <w:tcW w:w="1205"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&lt;2.0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铜</w:t>
            </w:r>
          </w:p>
        </w:tc>
        <w:tc>
          <w:tcPr>
            <w:tcW w:w="110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25.9</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31.8</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32.8</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29.5</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37.3</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32.0</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27.4</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29.7</w:t>
            </w:r>
          </w:p>
        </w:tc>
        <w:tc>
          <w:tcPr>
            <w:tcW w:w="1207"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30.2</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32.9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铅</w:t>
            </w:r>
          </w:p>
        </w:tc>
        <w:tc>
          <w:tcPr>
            <w:tcW w:w="110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11.8</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21.0</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11.1</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10.2</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13.1</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10.6</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11.1</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10.6</w:t>
            </w:r>
          </w:p>
        </w:tc>
        <w:tc>
          <w:tcPr>
            <w:tcW w:w="1207"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8.4</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汞</w:t>
            </w:r>
          </w:p>
        </w:tc>
        <w:tc>
          <w:tcPr>
            <w:tcW w:w="110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0.056</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0.080</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0.094</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0.087</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0.083</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0.119</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0.118</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0.095</w:t>
            </w:r>
          </w:p>
        </w:tc>
        <w:tc>
          <w:tcPr>
            <w:tcW w:w="1207"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0.114</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0.085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镍</w:t>
            </w:r>
          </w:p>
        </w:tc>
        <w:tc>
          <w:tcPr>
            <w:tcW w:w="1101"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74</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108</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120</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94</w:t>
            </w:r>
          </w:p>
        </w:tc>
        <w:tc>
          <w:tcPr>
            <w:tcW w:w="1204"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84</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91</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85</w:t>
            </w:r>
          </w:p>
        </w:tc>
        <w:tc>
          <w:tcPr>
            <w:tcW w:w="1206"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98</w:t>
            </w:r>
          </w:p>
        </w:tc>
        <w:tc>
          <w:tcPr>
            <w:tcW w:w="1207"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90</w:t>
            </w:r>
          </w:p>
        </w:tc>
        <w:tc>
          <w:tcPr>
            <w:tcW w:w="1205"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szCs w:val="21"/>
              </w:rPr>
            </w:pPr>
            <w:r>
              <w:rPr>
                <w:rFonts w:ascii="Times New Roman" w:hAnsi="Times New Roman" w:eastAsia="宋体" w:cs="Times New Roman"/>
                <w:szCs w:val="21"/>
              </w:rPr>
              <w:t>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甲苯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乙苯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间&amp;对二甲苯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苯乙烯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邻二甲苯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1,2-二氯丙烷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氯甲烷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氯乙烯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1,1-二氯乙烯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二氯甲烷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反-1,2-二氯乙烯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1,1-二氯乙烷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顺-1,2-二氯乙烯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1,2-二氯乙烷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1,1,1-三氯乙烷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四氯化碳</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三氯乙烯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1,1,2-三氯乙烷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四氯乙烯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1,1,1,2-四氯乙烷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1,2,3-三氯丙烷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1,1,2,2-四氯乙烷</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氯苯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1,4-二氯苯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1,2-二氯苯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氯仿</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苯并[a]蒽</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苯并[b]荧蒽</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苯并[k]荧蒽</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苯并[a]芘</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䓛</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二苯并[a，h]蒽</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茚并[1，2，3-c，d]芘</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萘</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2-氯酚</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硝基苯</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cs="Times New Roman"/>
              </w:rPr>
            </w:pPr>
            <w:r>
              <w:rPr>
                <w:rFonts w:ascii="Times New Roman" w:hAnsi="Times New Roman" w:eastAsia="宋体" w:cs="Times New Roman"/>
                <w:szCs w:val="21"/>
              </w:rPr>
              <w:t>苯胺</w:t>
            </w:r>
          </w:p>
        </w:tc>
        <w:tc>
          <w:tcPr>
            <w:tcW w:w="1101"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4"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6"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7"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c>
          <w:tcPr>
            <w:tcW w:w="1205" w:type="dxa"/>
            <w:tcBorders>
              <w:tl2br w:val="nil"/>
              <w:tr2bl w:val="nil"/>
            </w:tcBorders>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szCs w:val="21"/>
              </w:rPr>
            </w:pPr>
            <w:r>
              <w:rPr>
                <w:rFonts w:ascii="Times New Roman" w:hAnsi="Times New Roman" w:eastAsia="宋体" w:cs="Times New Roman"/>
                <w:szCs w:val="21"/>
              </w:rPr>
              <w:t>&lt;0.05</w:t>
            </w:r>
          </w:p>
        </w:tc>
      </w:tr>
    </w:tbl>
    <w:p>
      <w:pPr>
        <w:pStyle w:val="2"/>
        <w:keepNext w:val="0"/>
        <w:keepLines w:val="0"/>
        <w:pageBreakBefore w:val="0"/>
        <w:kinsoku/>
        <w:wordWrap/>
        <w:bidi w:val="0"/>
        <w:snapToGrid/>
        <w:rPr>
          <w:rFonts w:ascii="Times New Roman" w:hAnsi="Times New Roman" w:eastAsia="黑体" w:cs="Times New Roman"/>
          <w:sz w:val="24"/>
        </w:rPr>
      </w:pPr>
    </w:p>
    <w:p>
      <w:pPr>
        <w:pStyle w:val="2"/>
        <w:keepNext w:val="0"/>
        <w:keepLines w:val="0"/>
        <w:pageBreakBefore w:val="0"/>
        <w:kinsoku/>
        <w:wordWrap/>
        <w:bidi w:val="0"/>
        <w:snapToGrid/>
        <w:rPr>
          <w:rFonts w:ascii="Times New Roman" w:hAnsi="Times New Roman" w:eastAsia="黑体" w:cs="Times New Roman"/>
          <w:sz w:val="24"/>
        </w:rPr>
      </w:pP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5.3.5.2土壤环境质量现状评价</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（1）评价标准</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项目所在地土壤环境执行《土壤环境质量 建设用地土壤污染风险管控标准（试行）》（GB36600-2018）表1中第二类用地限值筛选值标准要求。各污染物标准值见表5.3-</w:t>
      </w:r>
      <w:r>
        <w:rPr>
          <w:rFonts w:hint="eastAsia" w:ascii="Times New Roman" w:hAnsi="Times New Roman" w:eastAsia="宋体" w:cs="Times New Roman"/>
          <w:sz w:val="24"/>
          <w:lang w:val="en-US" w:eastAsia="zh-CN"/>
        </w:rPr>
        <w:t>32</w:t>
      </w:r>
      <w:r>
        <w:rPr>
          <w:rFonts w:ascii="Times New Roman" w:hAnsi="Times New Roman" w:eastAsia="宋体" w:cs="Times New Roman"/>
          <w:sz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表5.3-</w:t>
      </w:r>
      <w:r>
        <w:rPr>
          <w:rFonts w:hint="eastAsia" w:ascii="Times New Roman" w:hAnsi="Times New Roman" w:eastAsia="黑体" w:cs="Times New Roman"/>
          <w:sz w:val="24"/>
          <w:lang w:val="en-US" w:eastAsia="zh-CN"/>
        </w:rPr>
        <w:t>32</w:t>
      </w:r>
      <w:r>
        <w:rPr>
          <w:rFonts w:ascii="Times New Roman" w:hAnsi="Times New Roman" w:eastAsia="黑体" w:cs="Times New Roman"/>
          <w:sz w:val="24"/>
        </w:rPr>
        <w:t xml:space="preserve">  土壤环境质量标准值（单位：mg/kg）</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24"/>
        <w:gridCol w:w="3020"/>
        <w:gridCol w:w="30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vMerge w:val="restart"/>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污染物项目</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筛选值</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管制值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vMerge w:val="continue"/>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第二类用地</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第二类用地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60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镉</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65</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铬（六价）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5.7</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铜</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18000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36000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铅</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800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汞</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38</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镍</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900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四氯化碳</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2.8</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氯仿</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0.9</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氯甲烷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37</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1,1-二氯乙烷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9</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1,2-二氯乙烷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1,1-二氯乙烯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66</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顺-1,2-二氯乙烯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596</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反-1,2-二氯乙烯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54</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二氯甲烷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616</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1,2-二氯丙烷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1,1,1,2-四氯乙烷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1,1,2,2-四氯乙烷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6.8</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四氯乙烯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53</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1,1,1-三氯乙烷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840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1,1,2-三氯乙烷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2.8</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三氯乙烯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2.8</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1,2,3-三氯丙烷</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0.5</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氯乙烯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0.43</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氯苯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270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1,2-二氯苯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560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1,4-二氯苯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乙苯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28</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苯乙烯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1290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1290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甲苯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1200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间二甲苯+对二甲苯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570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邻二甲苯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640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硝基苯</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76</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苯胺</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260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663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szCs w:val="21"/>
              </w:rPr>
              <w:t>2-氯酚</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2256</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4500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苯并[a]蒽</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苯并[a]芘</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苯并[b]荧蒽</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苯并[k]荧蒽</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151</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䓛</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1293</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12900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二苯并[a,h]蒽</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茚并[1,2,3-c,d]芘</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3024"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萘</w:t>
            </w:r>
          </w:p>
        </w:tc>
        <w:tc>
          <w:tcPr>
            <w:tcW w:w="3020"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70</w:t>
            </w:r>
          </w:p>
        </w:tc>
        <w:tc>
          <w:tcPr>
            <w:tcW w:w="3027" w:type="dxa"/>
            <w:tcBorders>
              <w:tl2br w:val="nil"/>
              <w:tr2bl w:val="nil"/>
            </w:tcBorders>
            <w:shd w:val="clear" w:color="auto" w:fill="auto"/>
            <w:vAlign w:val="center"/>
          </w:tcPr>
          <w:p>
            <w:pPr>
              <w:keepNext w:val="0"/>
              <w:keepLines w:val="0"/>
              <w:pageBreakBefore w:val="0"/>
              <w:widowControl/>
              <w:kinsoku/>
              <w:wordWrap/>
              <w:bidi w:val="0"/>
              <w:snapToGrid/>
              <w:jc w:val="center"/>
              <w:rPr>
                <w:rFonts w:ascii="Times New Roman" w:hAnsi="Times New Roman" w:eastAsia="宋体" w:cs="Times New Roman"/>
                <w:kern w:val="0"/>
                <w:szCs w:val="21"/>
              </w:rPr>
            </w:pPr>
            <w:r>
              <w:rPr>
                <w:rFonts w:ascii="Times New Roman" w:hAnsi="Times New Roman" w:eastAsia="宋体" w:cs="Times New Roman"/>
                <w:kern w:val="0"/>
                <w:szCs w:val="21"/>
              </w:rPr>
              <w:t>700</w:t>
            </w:r>
          </w:p>
        </w:tc>
      </w:tr>
    </w:tbl>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（2）评价方法</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依照《土壤环境质量 建设用地土壤污染风险管控标准（试行）》（GB36600-2018）中第二类用地限值（筛选值）对该地区的土壤进行现状评价，评价方法采用与标准直接比较的方法。</w:t>
      </w:r>
    </w:p>
    <w:p>
      <w:pPr>
        <w:keepNext w:val="0"/>
        <w:keepLines w:val="0"/>
        <w:pageBreakBefore w:val="0"/>
        <w:widowControl/>
        <w:kinsoku/>
        <w:wordWrap/>
        <w:bidi w:val="0"/>
        <w:snapToGrid/>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土壤现状监测结果中可以看出，各监测点位的土壤各监测因子均能低于《土壤环境质量 建设用地土壤污染风险管控标准（试行）》（GB36600-2018）中第二类用地限值（筛选值），说明开发区所在区域土壤环境质量较好。</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5.3.5.3区域历史土壤环境质量检测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本评价引用《芜湖新兴铸管有限责任公司2×58孔焦炉技术改造工程环境影响报告书》中的土壤质量现状监测数据，检测日期为2016年7月29日，详见表5.3-</w:t>
      </w:r>
      <w:r>
        <w:rPr>
          <w:rFonts w:hint="eastAsia" w:ascii="Times New Roman" w:hAnsi="Times New Roman" w:eastAsia="宋体" w:cs="Times New Roman"/>
          <w:bCs/>
          <w:sz w:val="24"/>
          <w:szCs w:val="24"/>
          <w:lang w:val="en-US" w:eastAsia="zh-CN"/>
        </w:rPr>
        <w:t>33</w:t>
      </w:r>
      <w:r>
        <w:rPr>
          <w:rFonts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sz w:val="24"/>
        </w:rPr>
      </w:pPr>
      <w:r>
        <w:rPr>
          <w:rFonts w:ascii="Times New Roman" w:hAnsi="Times New Roman" w:eastAsia="黑体" w:cs="Times New Roman"/>
          <w:sz w:val="24"/>
        </w:rPr>
        <w:t>表5.3-</w:t>
      </w:r>
      <w:r>
        <w:rPr>
          <w:rFonts w:hint="eastAsia" w:ascii="Times New Roman" w:hAnsi="Times New Roman" w:eastAsia="黑体" w:cs="Times New Roman"/>
          <w:sz w:val="24"/>
          <w:lang w:val="en-US" w:eastAsia="zh-CN"/>
        </w:rPr>
        <w:t>33</w:t>
      </w:r>
      <w:r>
        <w:rPr>
          <w:rFonts w:ascii="Times New Roman" w:hAnsi="Times New Roman" w:eastAsia="黑体" w:cs="Times New Roman"/>
          <w:sz w:val="24"/>
        </w:rPr>
        <w:t xml:space="preserve">  区域历史土壤质量检测数据及分析一览表（单位：</w:t>
      </w:r>
      <w:r>
        <w:rPr>
          <w:rFonts w:hint="eastAsia" w:ascii="Times New Roman" w:hAnsi="Times New Roman" w:eastAsia="黑体" w:cs="Times New Roman"/>
          <w:sz w:val="24"/>
          <w:lang w:val="en-US" w:eastAsia="zh-CN"/>
        </w:rPr>
        <w:t>pH无量纲，</w:t>
      </w:r>
      <w:r>
        <w:rPr>
          <w:rFonts w:ascii="Times New Roman" w:hAnsi="Times New Roman" w:eastAsia="黑体" w:cs="Times New Roman"/>
          <w:sz w:val="24"/>
        </w:rPr>
        <w:t>mg/</w:t>
      </w:r>
      <w:r>
        <w:rPr>
          <w:rFonts w:hint="eastAsia" w:ascii="Times New Roman" w:hAnsi="Times New Roman" w:eastAsia="黑体" w:cs="Times New Roman"/>
          <w:sz w:val="24"/>
          <w:lang w:val="en-US" w:eastAsia="zh-CN"/>
        </w:rPr>
        <w:t>kg</w:t>
      </w:r>
      <w:r>
        <w:rPr>
          <w:rFonts w:ascii="Times New Roman" w:hAnsi="Times New Roman" w:eastAsia="黑体" w:cs="Times New Roman"/>
          <w:sz w:val="24"/>
        </w:rPr>
        <w:t>）</w:t>
      </w:r>
    </w:p>
    <w:tbl>
      <w:tblPr>
        <w:tblStyle w:val="21"/>
        <w:tblW w:w="9071" w:type="dxa"/>
        <w:jc w:val="center"/>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386"/>
        <w:gridCol w:w="1080"/>
        <w:gridCol w:w="859"/>
        <w:gridCol w:w="655"/>
        <w:gridCol w:w="641"/>
        <w:gridCol w:w="641"/>
        <w:gridCol w:w="586"/>
        <w:gridCol w:w="600"/>
        <w:gridCol w:w="723"/>
        <w:gridCol w:w="641"/>
        <w:gridCol w:w="6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52"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测点</w:t>
            </w:r>
          </w:p>
          <w:p>
            <w:pPr>
              <w:pStyle w:val="41"/>
              <w:keepNext w:val="0"/>
              <w:keepLines w:val="0"/>
              <w:pageBreakBefore w:val="0"/>
              <w:kinsoku/>
              <w:wordWrap/>
              <w:bidi w:val="0"/>
              <w:snapToGrid/>
              <w:spacing w:line="240" w:lineRule="auto"/>
              <w:rPr>
                <w:b/>
                <w:bCs/>
                <w:sz w:val="18"/>
                <w:szCs w:val="18"/>
              </w:rPr>
            </w:pPr>
            <w:r>
              <w:rPr>
                <w:b/>
                <w:bCs/>
                <w:sz w:val="18"/>
                <w:szCs w:val="18"/>
              </w:rPr>
              <w:t>编号</w:t>
            </w:r>
          </w:p>
        </w:tc>
        <w:tc>
          <w:tcPr>
            <w:tcW w:w="1386"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坐标信息</w:t>
            </w:r>
          </w:p>
        </w:tc>
        <w:tc>
          <w:tcPr>
            <w:tcW w:w="1080"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监测点位</w:t>
            </w:r>
          </w:p>
        </w:tc>
        <w:tc>
          <w:tcPr>
            <w:tcW w:w="5953" w:type="dxa"/>
            <w:gridSpan w:val="9"/>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52"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p>
        </w:tc>
        <w:tc>
          <w:tcPr>
            <w:tcW w:w="1386"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p>
        </w:tc>
        <w:tc>
          <w:tcPr>
            <w:tcW w:w="1080"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p>
        </w:tc>
        <w:tc>
          <w:tcPr>
            <w:tcW w:w="8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pH</w:t>
            </w:r>
          </w:p>
        </w:tc>
        <w:tc>
          <w:tcPr>
            <w:tcW w:w="65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Hg</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Zn</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As</w:t>
            </w:r>
          </w:p>
        </w:tc>
        <w:tc>
          <w:tcPr>
            <w:tcW w:w="586"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Pb</w:t>
            </w:r>
          </w:p>
        </w:tc>
        <w:tc>
          <w:tcPr>
            <w:tcW w:w="600"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Cu</w:t>
            </w:r>
          </w:p>
        </w:tc>
        <w:tc>
          <w:tcPr>
            <w:tcW w:w="723"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Cr</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Cd</w:t>
            </w:r>
          </w:p>
        </w:tc>
        <w:tc>
          <w:tcPr>
            <w:tcW w:w="60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 w:val="18"/>
                <w:szCs w:val="18"/>
              </w:rPr>
            </w:pPr>
            <w:r>
              <w:rPr>
                <w:b/>
                <w:bCs/>
                <w:sz w:val="18"/>
                <w:szCs w:val="18"/>
              </w:rPr>
              <w:t>Ni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52"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S1</w:t>
            </w:r>
          </w:p>
        </w:tc>
        <w:tc>
          <w:tcPr>
            <w:tcW w:w="1386"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31°13'28.98"N</w:t>
            </w:r>
          </w:p>
          <w:p>
            <w:pPr>
              <w:pStyle w:val="41"/>
              <w:keepNext w:val="0"/>
              <w:keepLines w:val="0"/>
              <w:pageBreakBefore w:val="0"/>
              <w:kinsoku/>
              <w:wordWrap/>
              <w:bidi w:val="0"/>
              <w:snapToGrid/>
              <w:spacing w:line="240" w:lineRule="auto"/>
              <w:rPr>
                <w:sz w:val="18"/>
                <w:szCs w:val="18"/>
              </w:rPr>
            </w:pPr>
            <w:r>
              <w:rPr>
                <w:sz w:val="18"/>
                <w:szCs w:val="18"/>
              </w:rPr>
              <w:t>118° 7'48.63"E</w:t>
            </w:r>
          </w:p>
        </w:tc>
        <w:tc>
          <w:tcPr>
            <w:tcW w:w="1080"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厂区西侧</w:t>
            </w:r>
          </w:p>
        </w:tc>
        <w:tc>
          <w:tcPr>
            <w:tcW w:w="8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8.02</w:t>
            </w:r>
          </w:p>
        </w:tc>
        <w:tc>
          <w:tcPr>
            <w:tcW w:w="65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0.037</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88.4</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11.4</w:t>
            </w:r>
          </w:p>
        </w:tc>
        <w:tc>
          <w:tcPr>
            <w:tcW w:w="586"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54.5</w:t>
            </w:r>
          </w:p>
        </w:tc>
        <w:tc>
          <w:tcPr>
            <w:tcW w:w="600"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34.4</w:t>
            </w:r>
          </w:p>
        </w:tc>
        <w:tc>
          <w:tcPr>
            <w:tcW w:w="723"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68.2</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0.098</w:t>
            </w:r>
          </w:p>
        </w:tc>
        <w:tc>
          <w:tcPr>
            <w:tcW w:w="60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29.9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652"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S2</w:t>
            </w:r>
          </w:p>
        </w:tc>
        <w:tc>
          <w:tcPr>
            <w:tcW w:w="1386"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31°13'29.27"N</w:t>
            </w:r>
          </w:p>
          <w:p>
            <w:pPr>
              <w:pStyle w:val="41"/>
              <w:keepNext w:val="0"/>
              <w:keepLines w:val="0"/>
              <w:pageBreakBefore w:val="0"/>
              <w:kinsoku/>
              <w:wordWrap/>
              <w:bidi w:val="0"/>
              <w:snapToGrid/>
              <w:spacing w:line="240" w:lineRule="auto"/>
              <w:rPr>
                <w:sz w:val="18"/>
                <w:szCs w:val="18"/>
              </w:rPr>
            </w:pPr>
            <w:r>
              <w:rPr>
                <w:sz w:val="18"/>
                <w:szCs w:val="18"/>
              </w:rPr>
              <w:t>118° 9'47.70"E</w:t>
            </w:r>
          </w:p>
        </w:tc>
        <w:tc>
          <w:tcPr>
            <w:tcW w:w="1080"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厂区东侧</w:t>
            </w:r>
          </w:p>
        </w:tc>
        <w:tc>
          <w:tcPr>
            <w:tcW w:w="8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8.01</w:t>
            </w:r>
          </w:p>
        </w:tc>
        <w:tc>
          <w:tcPr>
            <w:tcW w:w="65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0.039</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75.2</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15.3</w:t>
            </w:r>
          </w:p>
        </w:tc>
        <w:tc>
          <w:tcPr>
            <w:tcW w:w="586"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51.9</w:t>
            </w:r>
          </w:p>
        </w:tc>
        <w:tc>
          <w:tcPr>
            <w:tcW w:w="600"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38.7</w:t>
            </w:r>
          </w:p>
        </w:tc>
        <w:tc>
          <w:tcPr>
            <w:tcW w:w="723"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76.0</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0.112</w:t>
            </w:r>
          </w:p>
        </w:tc>
        <w:tc>
          <w:tcPr>
            <w:tcW w:w="60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35.6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118" w:type="dxa"/>
            <w:gridSpan w:val="3"/>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二级标准</w:t>
            </w:r>
          </w:p>
        </w:tc>
        <w:tc>
          <w:tcPr>
            <w:tcW w:w="859"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&gt;7.5</w:t>
            </w:r>
          </w:p>
        </w:tc>
        <w:tc>
          <w:tcPr>
            <w:tcW w:w="655"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1.0</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300</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25</w:t>
            </w:r>
          </w:p>
        </w:tc>
        <w:tc>
          <w:tcPr>
            <w:tcW w:w="586"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350</w:t>
            </w:r>
          </w:p>
        </w:tc>
        <w:tc>
          <w:tcPr>
            <w:tcW w:w="600"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100</w:t>
            </w:r>
          </w:p>
        </w:tc>
        <w:tc>
          <w:tcPr>
            <w:tcW w:w="723"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250</w:t>
            </w:r>
          </w:p>
        </w:tc>
        <w:tc>
          <w:tcPr>
            <w:tcW w:w="64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0.60</w:t>
            </w:r>
          </w:p>
        </w:tc>
        <w:tc>
          <w:tcPr>
            <w:tcW w:w="60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 w:val="18"/>
                <w:szCs w:val="18"/>
              </w:rPr>
            </w:pPr>
            <w:r>
              <w:rPr>
                <w:sz w:val="18"/>
                <w:szCs w:val="18"/>
              </w:rPr>
              <w:t>60</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由上表可知，土壤监测点pH、Cd、Hg、As、Cu、Pb、Cr、Zn、Ni的指标指数在0.04至0.61之间，均可满足《土壤环境质量标准》（GB15618-1995）二级标准要求，说明监测期间土壤环境质量良好。</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bCs/>
          <w:color w:val="FF0000"/>
          <w:sz w:val="24"/>
          <w:szCs w:val="24"/>
          <w:lang w:eastAsia="zh-CN"/>
        </w:rPr>
        <w:t>由于缺少区域土壤环境质量整体趋势变化数据，本次评价建议企业可加强后期跟踪监测，用以反应企业的建设对周边土壤环境质量影响趋势。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ascii="Times New Roman" w:hAnsi="Times New Roman" w:eastAsia="黑体" w:cs="Times New Roman"/>
          <w:sz w:val="44"/>
          <w:szCs w:val="44"/>
        </w:rPr>
        <w:t>6环境影响预测论证</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6.1大气环境影响分析</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6.1.1搬迁项目（现状评价）大气环境影响分析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芜湖新兴铸管有限责任公司搬迁技术改造项目现状评价》中环境影响预测过程：报告中对搬迁项目、连铸机技术改造项目、中棒技术改造项目、矿渣微粉技术改造项目、35t/h锅炉搬迁改造项目等所排放的污染物进行了预测计算，并将其与现状监测值（2016年监测数据）叠加进行达标分析。现状评价中得出预测结论：各项目建成投产后，环境敏感点（包括协力村</w:t>
      </w:r>
      <w:r>
        <w:rPr>
          <w:rFonts w:hint="eastAsia" w:ascii="Times New Roman" w:hAnsi="Times New Roman" w:eastAsia="宋体" w:cs="Times New Roman"/>
          <w:bCs/>
          <w:sz w:val="24"/>
          <w:szCs w:val="24"/>
          <w:lang w:eastAsia="zh-CN"/>
        </w:rPr>
        <w:t>等</w:t>
      </w:r>
      <w:r>
        <w:rPr>
          <w:rFonts w:ascii="Times New Roman" w:hAnsi="Times New Roman" w:eastAsia="宋体" w:cs="Times New Roman"/>
          <w:bCs/>
          <w:sz w:val="24"/>
          <w:szCs w:val="24"/>
        </w:rPr>
        <w:t>）SO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、NO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小时、日均浓度叠加值，TSP、PM</w:t>
      </w:r>
      <w:r>
        <w:rPr>
          <w:rFonts w:ascii="Times New Roman" w:hAnsi="Times New Roman" w:eastAsia="宋体" w:cs="Times New Roman"/>
          <w:bCs/>
          <w:sz w:val="24"/>
          <w:szCs w:val="24"/>
          <w:vertAlign w:val="subscript"/>
        </w:rPr>
        <w:t>10</w:t>
      </w:r>
      <w:r>
        <w:rPr>
          <w:rFonts w:ascii="Times New Roman" w:hAnsi="Times New Roman" w:eastAsia="宋体" w:cs="Times New Roman"/>
          <w:bCs/>
          <w:sz w:val="24"/>
          <w:szCs w:val="24"/>
        </w:rPr>
        <w:t>日均浓度叠加值均可满足《环境空气质量标准》（GB3095-2012）二级标准要求。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各项目建成投产后，厂界各无组织排放控制点颗粒物、SO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、NO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最大小时浓度，均低于《大气污染物综合排放标准》（GB16297-1996）中无组织排放监控浓度限值。</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各项目建成投产后，确定厂区防护距离以焦炉外扩1000m、高炉外扩1200m范围的包络线。根据测绘图，距离最近的华电小区离防护距离为1.02km，因此防护距离范围内不涉及居民区，满足《环境影响评价技术导则 大气环境》（HJ2.2-2018）8.7.5.3“在大气防护距离内不应有长期居住的人群”的管理要求。</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6.1.2后评价大气环境影响分析</w:t>
      </w:r>
    </w:p>
    <w:p>
      <w:pPr>
        <w:keepNext w:val="0"/>
        <w:keepLines w:val="0"/>
        <w:pageBreakBefore w:val="0"/>
        <w:kinsoku/>
        <w:wordWrap/>
        <w:autoSpaceDE w:val="0"/>
        <w:autoSpaceDN w:val="0"/>
        <w:bidi w:val="0"/>
        <w:adjustRightInd w:val="0"/>
        <w:snapToGrid/>
        <w:spacing w:line="360" w:lineRule="auto"/>
        <w:ind w:firstLine="480" w:firstLineChars="200"/>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由于原环评（原环境保护部 环审[2013]300号）与后评价阶段厂区建设变化情况较大，因此该部分章节内容为厂区现状评价报告（芜湖市环保局 环行审[2017]37号）大气环境影响预测内容与本次现状监测数据的对比分析。</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lang w:eastAsia="zh-CN"/>
        </w:rPr>
      </w:pPr>
      <w:r>
        <w:rPr>
          <w:rFonts w:hint="eastAsia" w:ascii="Times New Roman" w:hAnsi="Times New Roman" w:eastAsia="黑体" w:cs="Times New Roman"/>
          <w:sz w:val="24"/>
          <w:szCs w:val="24"/>
          <w:lang w:val="en-US" w:eastAsia="zh-CN"/>
        </w:rPr>
        <w:t>6.1</w:t>
      </w:r>
      <w:r>
        <w:rPr>
          <w:rFonts w:hint="eastAsia" w:ascii="Times New Roman" w:hAnsi="Times New Roman" w:eastAsia="黑体" w:cs="Times New Roman"/>
          <w:sz w:val="24"/>
          <w:szCs w:val="24"/>
        </w:rPr>
        <w:t>.2.</w:t>
      </w:r>
      <w:r>
        <w:rPr>
          <w:rFonts w:hint="eastAsia" w:ascii="Times New Roman" w:hAnsi="Times New Roman" w:eastAsia="黑体" w:cs="Times New Roman"/>
          <w:sz w:val="24"/>
          <w:szCs w:val="24"/>
          <w:lang w:val="en-US" w:eastAsia="zh-CN"/>
        </w:rPr>
        <w:t>1</w:t>
      </w:r>
      <w:r>
        <w:rPr>
          <w:rFonts w:hint="eastAsia" w:ascii="Times New Roman" w:hAnsi="Times New Roman" w:eastAsia="黑体" w:cs="Times New Roman"/>
          <w:sz w:val="24"/>
          <w:szCs w:val="24"/>
          <w:lang w:eastAsia="zh-CN"/>
        </w:rPr>
        <w:t>环境敏感点空气质量预测内容对比分析</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本次环境敏感点协力村信息具体见下表所示。</w:t>
      </w:r>
    </w:p>
    <w:p>
      <w:pPr>
        <w:pStyle w:val="31"/>
        <w:keepNext w:val="0"/>
        <w:keepLines w:val="0"/>
        <w:pageBreakBefore w:val="0"/>
        <w:kinsoku/>
        <w:wordWrap/>
        <w:bidi w:val="0"/>
        <w:snapToGrid/>
        <w:spacing w:line="360" w:lineRule="auto"/>
        <w:rPr>
          <w:rFonts w:cs="Times New Roman"/>
        </w:rPr>
      </w:pPr>
      <w:r>
        <w:rPr>
          <w:rFonts w:cs="Times New Roman"/>
        </w:rPr>
        <w:t>表</w:t>
      </w:r>
      <w:r>
        <w:rPr>
          <w:rFonts w:hint="eastAsia" w:cs="Times New Roman"/>
          <w:lang w:val="en-US" w:eastAsia="zh-CN"/>
        </w:rPr>
        <w:t xml:space="preserve">6.1-1 </w:t>
      </w:r>
      <w:r>
        <w:rPr>
          <w:rFonts w:cs="Times New Roman"/>
        </w:rPr>
        <w:t xml:space="preserve"> 环境空气保护目标一览表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1320"/>
        <w:gridCol w:w="1140"/>
        <w:gridCol w:w="810"/>
        <w:gridCol w:w="1256"/>
        <w:gridCol w:w="1369"/>
        <w:gridCol w:w="885"/>
        <w:gridCol w:w="10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vMerge w:val="restart"/>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名称</w:t>
            </w:r>
          </w:p>
        </w:tc>
        <w:tc>
          <w:tcPr>
            <w:tcW w:w="2460" w:type="dxa"/>
            <w:gridSpan w:val="2"/>
            <w:tcBorders>
              <w:tl2br w:val="nil"/>
              <w:tr2bl w:val="nil"/>
            </w:tcBorders>
            <w:vAlign w:val="center"/>
          </w:tcPr>
          <w:p>
            <w:pPr>
              <w:pStyle w:val="41"/>
              <w:keepNext w:val="0"/>
              <w:keepLines w:val="0"/>
              <w:pageBreakBefore w:val="0"/>
              <w:kinsoku/>
              <w:wordWrap/>
              <w:bidi w:val="0"/>
              <w:snapToGrid/>
              <w:spacing w:line="240" w:lineRule="auto"/>
              <w:rPr>
                <w:b/>
                <w:bCs/>
              </w:rPr>
            </w:pPr>
            <w:r>
              <w:rPr>
                <w:b/>
                <w:bCs/>
              </w:rPr>
              <w:t>坐标</w:t>
            </w:r>
          </w:p>
        </w:tc>
        <w:tc>
          <w:tcPr>
            <w:tcW w:w="810" w:type="dxa"/>
            <w:vMerge w:val="restart"/>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保护</w:t>
            </w:r>
          </w:p>
          <w:p>
            <w:pPr>
              <w:pStyle w:val="41"/>
              <w:keepNext w:val="0"/>
              <w:keepLines w:val="0"/>
              <w:pageBreakBefore w:val="0"/>
              <w:kinsoku/>
              <w:wordWrap/>
              <w:bidi w:val="0"/>
              <w:snapToGrid/>
              <w:spacing w:line="240" w:lineRule="auto"/>
              <w:rPr>
                <w:b/>
                <w:bCs/>
                <w:szCs w:val="21"/>
              </w:rPr>
            </w:pPr>
            <w:r>
              <w:rPr>
                <w:b/>
                <w:bCs/>
                <w:szCs w:val="21"/>
              </w:rPr>
              <w:t>对象</w:t>
            </w:r>
          </w:p>
        </w:tc>
        <w:tc>
          <w:tcPr>
            <w:tcW w:w="1256" w:type="dxa"/>
            <w:vMerge w:val="restart"/>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保护内容</w:t>
            </w:r>
          </w:p>
        </w:tc>
        <w:tc>
          <w:tcPr>
            <w:tcW w:w="1369" w:type="dxa"/>
            <w:vMerge w:val="restart"/>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环境功能区</w:t>
            </w:r>
          </w:p>
        </w:tc>
        <w:tc>
          <w:tcPr>
            <w:tcW w:w="885" w:type="dxa"/>
            <w:vMerge w:val="restart"/>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相对厂址方位</w:t>
            </w:r>
          </w:p>
        </w:tc>
        <w:tc>
          <w:tcPr>
            <w:tcW w:w="1040" w:type="dxa"/>
            <w:vMerge w:val="restart"/>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1251"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320"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X</w:t>
            </w:r>
          </w:p>
        </w:tc>
        <w:tc>
          <w:tcPr>
            <w:tcW w:w="1140"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Y</w:t>
            </w:r>
          </w:p>
        </w:tc>
        <w:tc>
          <w:tcPr>
            <w:tcW w:w="810"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256"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369"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885"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040"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51" w:type="dxa"/>
            <w:tcBorders>
              <w:tl2br w:val="nil"/>
              <w:tr2bl w:val="nil"/>
            </w:tcBorders>
            <w:vAlign w:val="center"/>
          </w:tcPr>
          <w:p>
            <w:pPr>
              <w:pStyle w:val="41"/>
              <w:keepNext w:val="0"/>
              <w:keepLines w:val="0"/>
              <w:pageBreakBefore w:val="0"/>
              <w:kinsoku/>
              <w:wordWrap/>
              <w:bidi w:val="0"/>
              <w:snapToGrid/>
              <w:rPr>
                <w:szCs w:val="21"/>
              </w:rPr>
            </w:pPr>
            <w:r>
              <w:rPr>
                <w:szCs w:val="21"/>
              </w:rPr>
              <w:t>协力村</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zCs w:val="21"/>
              </w:rPr>
            </w:pPr>
            <w:r>
              <w:rPr>
                <w:rFonts w:hint="eastAsia"/>
                <w:color w:val="FF0000"/>
                <w:szCs w:val="21"/>
                <w:lang w:val="en-US" w:eastAsia="zh-CN"/>
              </w:rPr>
              <w:t>-3285</w:t>
            </w:r>
          </w:p>
        </w:tc>
        <w:tc>
          <w:tcPr>
            <w:tcW w:w="11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rFonts w:hint="eastAsia"/>
                <w:color w:val="FF0000"/>
                <w:szCs w:val="21"/>
                <w:lang w:val="en-US" w:eastAsia="zh-CN"/>
              </w:rPr>
              <w:t>1667</w:t>
            </w:r>
          </w:p>
        </w:tc>
        <w:tc>
          <w:tcPr>
            <w:tcW w:w="81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居民</w:t>
            </w:r>
          </w:p>
        </w:tc>
        <w:tc>
          <w:tcPr>
            <w:tcW w:w="1256" w:type="dxa"/>
            <w:tcBorders>
              <w:tl2br w:val="nil"/>
              <w:tr2bl w:val="nil"/>
            </w:tcBorders>
            <w:vAlign w:val="center"/>
          </w:tcPr>
          <w:p>
            <w:pPr>
              <w:pStyle w:val="41"/>
              <w:keepNext w:val="0"/>
              <w:keepLines w:val="0"/>
              <w:pageBreakBefore w:val="0"/>
              <w:kinsoku/>
              <w:wordWrap/>
              <w:bidi w:val="0"/>
              <w:snapToGrid/>
              <w:rPr>
                <w:szCs w:val="21"/>
              </w:rPr>
            </w:pPr>
            <w:r>
              <w:rPr>
                <w:szCs w:val="21"/>
              </w:rPr>
              <w:t>396户，1586人</w:t>
            </w:r>
          </w:p>
        </w:tc>
        <w:tc>
          <w:tcPr>
            <w:tcW w:w="136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环境空气质量二类功能区</w:t>
            </w:r>
          </w:p>
        </w:tc>
        <w:tc>
          <w:tcPr>
            <w:tcW w:w="885" w:type="dxa"/>
            <w:tcBorders>
              <w:tl2br w:val="nil"/>
              <w:tr2bl w:val="nil"/>
            </w:tcBorders>
            <w:vAlign w:val="center"/>
          </w:tcPr>
          <w:p>
            <w:pPr>
              <w:pStyle w:val="41"/>
              <w:keepNext w:val="0"/>
              <w:keepLines w:val="0"/>
              <w:pageBreakBefore w:val="0"/>
              <w:kinsoku/>
              <w:wordWrap/>
              <w:bidi w:val="0"/>
              <w:snapToGrid/>
              <w:rPr>
                <w:szCs w:val="21"/>
              </w:rPr>
            </w:pPr>
            <w:r>
              <w:rPr>
                <w:szCs w:val="21"/>
              </w:rPr>
              <w:t>W</w:t>
            </w:r>
          </w:p>
        </w:tc>
        <w:tc>
          <w:tcPr>
            <w:tcW w:w="1040" w:type="dxa"/>
            <w:tcBorders>
              <w:tl2br w:val="nil"/>
              <w:tr2bl w:val="nil"/>
            </w:tcBorders>
            <w:vAlign w:val="center"/>
          </w:tcPr>
          <w:p>
            <w:pPr>
              <w:pStyle w:val="41"/>
              <w:keepNext w:val="0"/>
              <w:keepLines w:val="0"/>
              <w:pageBreakBefore w:val="0"/>
              <w:kinsoku/>
              <w:wordWrap/>
              <w:bidi w:val="0"/>
              <w:snapToGrid/>
              <w:rPr>
                <w:szCs w:val="21"/>
              </w:rPr>
            </w:pPr>
            <w:r>
              <w:rPr>
                <w:szCs w:val="21"/>
              </w:rPr>
              <w:t>2.55</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eastAsia="宋体" w:cs="Times New Roman"/>
          <w:sz w:val="24"/>
          <w:szCs w:val="24"/>
        </w:rPr>
      </w:pPr>
      <w:r>
        <w:rPr>
          <w:rFonts w:hint="eastAsia" w:ascii="Times New Roman" w:hAnsi="Times New Roman" w:eastAsia="宋体" w:cs="Times New Roman"/>
          <w:color w:val="FF0000"/>
          <w:sz w:val="18"/>
          <w:szCs w:val="18"/>
          <w:lang w:eastAsia="zh-CN"/>
        </w:rPr>
        <w:t>注：以厂区西南角为坐标原点，坐标为经度118.145213和维度31.221206。</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敏感点空气质量对比分析见下表所示。</w:t>
      </w:r>
    </w:p>
    <w:p>
      <w:pPr>
        <w:pStyle w:val="31"/>
        <w:keepNext w:val="0"/>
        <w:keepLines w:val="0"/>
        <w:pageBreakBefore w:val="0"/>
        <w:kinsoku/>
        <w:wordWrap/>
        <w:bidi w:val="0"/>
        <w:snapToGrid/>
        <w:spacing w:line="360" w:lineRule="auto"/>
        <w:rPr>
          <w:rFonts w:hint="eastAsia" w:eastAsia="黑体" w:cs="Times New Roman"/>
          <w:lang w:eastAsia="zh-CN"/>
        </w:rPr>
      </w:pPr>
      <w:r>
        <w:rPr>
          <w:rFonts w:cs="Times New Roman"/>
        </w:rPr>
        <w:t>表</w:t>
      </w:r>
      <w:r>
        <w:rPr>
          <w:rFonts w:hint="eastAsia" w:cs="Times New Roman"/>
          <w:lang w:val="en-US" w:eastAsia="zh-CN"/>
        </w:rPr>
        <w:t>6.1-2</w:t>
      </w:r>
      <w:r>
        <w:rPr>
          <w:rFonts w:cs="Times New Roman"/>
        </w:rPr>
        <w:t xml:space="preserve">  </w:t>
      </w:r>
      <w:r>
        <w:rPr>
          <w:rFonts w:hint="eastAsia" w:cs="Times New Roman"/>
          <w:lang w:eastAsia="zh-CN"/>
        </w:rPr>
        <w:t>敏感点空气质量对比分析（单位：µg/m</w:t>
      </w:r>
      <w:r>
        <w:rPr>
          <w:rFonts w:hint="eastAsia" w:cs="Times New Roman"/>
          <w:vertAlign w:val="superscript"/>
          <w:lang w:eastAsia="zh-CN"/>
        </w:rPr>
        <w:t>3</w:t>
      </w:r>
      <w:r>
        <w:rPr>
          <w:rFonts w:hint="eastAsia" w:cs="Times New Roman"/>
          <w:lang w:eastAsia="zh-CN"/>
        </w:rPr>
        <w:t>）</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46"/>
        <w:gridCol w:w="1622"/>
        <w:gridCol w:w="1227"/>
        <w:gridCol w:w="1426"/>
        <w:gridCol w:w="1424"/>
        <w:gridCol w:w="14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敏感点名称</w:t>
            </w:r>
          </w:p>
        </w:tc>
        <w:tc>
          <w:tcPr>
            <w:tcW w:w="1622" w:type="dxa"/>
            <w:vMerge w:val="restart"/>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监测时间</w:t>
            </w:r>
          </w:p>
        </w:tc>
        <w:tc>
          <w:tcPr>
            <w:tcW w:w="1227"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SO</w:t>
            </w:r>
            <w:r>
              <w:rPr>
                <w:rFonts w:hint="eastAsia"/>
                <w:b/>
                <w:bCs/>
                <w:szCs w:val="21"/>
                <w:vertAlign w:val="subscript"/>
                <w:lang w:val="en-US" w:eastAsia="zh-CN"/>
              </w:rPr>
              <w:t>2</w:t>
            </w:r>
          </w:p>
        </w:tc>
        <w:tc>
          <w:tcPr>
            <w:tcW w:w="142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NO</w:t>
            </w:r>
            <w:r>
              <w:rPr>
                <w:rFonts w:hint="eastAsia"/>
                <w:b/>
                <w:bCs/>
                <w:szCs w:val="21"/>
                <w:vertAlign w:val="subscript"/>
                <w:lang w:val="en-US" w:eastAsia="zh-CN"/>
              </w:rPr>
              <w:t>x</w:t>
            </w:r>
          </w:p>
        </w:tc>
        <w:tc>
          <w:tcPr>
            <w:tcW w:w="1424"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szCs w:val="21"/>
                <w:lang w:val="en-US" w:eastAsia="zh-CN"/>
              </w:rPr>
            </w:pPr>
            <w:r>
              <w:rPr>
                <w:rFonts w:hint="eastAsia"/>
                <w:b/>
                <w:bCs/>
                <w:szCs w:val="21"/>
                <w:lang w:val="en-US" w:eastAsia="zh-CN"/>
              </w:rPr>
              <w:t>PM</w:t>
            </w:r>
            <w:r>
              <w:rPr>
                <w:rFonts w:hint="eastAsia"/>
                <w:b/>
                <w:bCs/>
                <w:szCs w:val="21"/>
                <w:vertAlign w:val="subscript"/>
                <w:lang w:val="en-US" w:eastAsia="zh-CN"/>
              </w:rPr>
              <w:t>10</w:t>
            </w:r>
          </w:p>
        </w:tc>
        <w:tc>
          <w:tcPr>
            <w:tcW w:w="142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szCs w:val="21"/>
                <w:lang w:val="en-US" w:eastAsia="zh-CN"/>
              </w:rPr>
            </w:pPr>
            <w:r>
              <w:rPr>
                <w:rFonts w:hint="eastAsia"/>
                <w:b/>
                <w:bCs/>
                <w:szCs w:val="21"/>
                <w:lang w:val="en-US" w:eastAsia="zh-CN"/>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r>
              <w:rPr>
                <w:rFonts w:hint="eastAsia"/>
                <w:b/>
                <w:bCs/>
                <w:szCs w:val="21"/>
                <w:lang w:val="en-US" w:eastAsia="zh-CN"/>
              </w:rPr>
              <w:t>协力村</w:t>
            </w:r>
          </w:p>
        </w:tc>
        <w:tc>
          <w:tcPr>
            <w:tcW w:w="1622" w:type="dxa"/>
            <w:vMerge w:val="continue"/>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p>
        </w:tc>
        <w:tc>
          <w:tcPr>
            <w:tcW w:w="1227"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日均浓度</w:t>
            </w:r>
          </w:p>
        </w:tc>
        <w:tc>
          <w:tcPr>
            <w:tcW w:w="142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日均浓度</w:t>
            </w:r>
          </w:p>
        </w:tc>
        <w:tc>
          <w:tcPr>
            <w:tcW w:w="1424"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日均浓度</w:t>
            </w:r>
          </w:p>
        </w:tc>
        <w:tc>
          <w:tcPr>
            <w:tcW w:w="142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日均浓度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r>
              <w:rPr>
                <w:rFonts w:hint="eastAsia"/>
                <w:szCs w:val="21"/>
                <w:lang w:val="en-US" w:eastAsia="zh-CN"/>
              </w:rPr>
              <w:t>现状评价预测数据</w:t>
            </w:r>
          </w:p>
        </w:tc>
        <w:tc>
          <w:tcPr>
            <w:tcW w:w="1622"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2016.7.25-7.31</w:t>
            </w:r>
          </w:p>
        </w:tc>
        <w:tc>
          <w:tcPr>
            <w:tcW w:w="1227"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46.42</w:t>
            </w:r>
          </w:p>
        </w:tc>
        <w:tc>
          <w:tcPr>
            <w:tcW w:w="142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50.94</w:t>
            </w:r>
          </w:p>
        </w:tc>
        <w:tc>
          <w:tcPr>
            <w:tcW w:w="1424"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96.24</w:t>
            </w:r>
          </w:p>
        </w:tc>
        <w:tc>
          <w:tcPr>
            <w:tcW w:w="142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180.44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94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本次评价监测数据</w:t>
            </w:r>
          </w:p>
        </w:tc>
        <w:tc>
          <w:tcPr>
            <w:tcW w:w="1622"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2019.4.8-4.14</w:t>
            </w:r>
          </w:p>
        </w:tc>
        <w:tc>
          <w:tcPr>
            <w:tcW w:w="1227"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7.57</w:t>
            </w:r>
          </w:p>
        </w:tc>
        <w:tc>
          <w:tcPr>
            <w:tcW w:w="142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39.43</w:t>
            </w:r>
          </w:p>
        </w:tc>
        <w:tc>
          <w:tcPr>
            <w:tcW w:w="1424"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68.57</w:t>
            </w:r>
          </w:p>
        </w:tc>
        <w:tc>
          <w:tcPr>
            <w:tcW w:w="1426" w:type="dxa"/>
            <w:tcBorders>
              <w:tl2br w:val="nil"/>
              <w:tr2bl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148</w:t>
            </w:r>
          </w:p>
        </w:tc>
      </w:tr>
    </w:tbl>
    <w:p>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auto"/>
        <w:rPr>
          <w:rFonts w:hint="default" w:ascii="Times New Roman" w:hAnsi="Times New Roman" w:eastAsia="宋体" w:cs="Times New Roman"/>
          <w:bCs/>
          <w:sz w:val="18"/>
          <w:szCs w:val="18"/>
          <w:lang w:val="en-US" w:eastAsia="zh-CN"/>
        </w:rPr>
      </w:pPr>
      <w:r>
        <w:rPr>
          <w:rFonts w:hint="eastAsia" w:ascii="Times New Roman" w:hAnsi="Times New Roman" w:eastAsia="宋体" w:cs="Times New Roman"/>
          <w:bCs/>
          <w:sz w:val="18"/>
          <w:szCs w:val="18"/>
          <w:lang w:val="en-US" w:eastAsia="zh-CN"/>
        </w:rPr>
        <w:t>注：SO</w:t>
      </w:r>
      <w:r>
        <w:rPr>
          <w:rFonts w:hint="eastAsia" w:ascii="Times New Roman" w:hAnsi="Times New Roman" w:eastAsia="宋体" w:cs="Times New Roman"/>
          <w:bCs/>
          <w:sz w:val="18"/>
          <w:szCs w:val="18"/>
          <w:vertAlign w:val="subscript"/>
          <w:lang w:val="en-US" w:eastAsia="zh-CN"/>
        </w:rPr>
        <w:t>2</w:t>
      </w:r>
      <w:r>
        <w:rPr>
          <w:rFonts w:hint="eastAsia" w:ascii="Times New Roman" w:hAnsi="Times New Roman" w:eastAsia="宋体" w:cs="Times New Roman"/>
          <w:bCs/>
          <w:sz w:val="18"/>
          <w:szCs w:val="18"/>
          <w:lang w:val="en-US" w:eastAsia="zh-CN"/>
        </w:rPr>
        <w:t>、NO</w:t>
      </w:r>
      <w:r>
        <w:rPr>
          <w:rFonts w:hint="eastAsia" w:ascii="Times New Roman" w:hAnsi="Times New Roman" w:eastAsia="宋体" w:cs="Times New Roman"/>
          <w:bCs/>
          <w:sz w:val="18"/>
          <w:szCs w:val="18"/>
          <w:vertAlign w:val="subscript"/>
          <w:lang w:val="en-US" w:eastAsia="zh-CN"/>
        </w:rPr>
        <w:t>x</w:t>
      </w:r>
      <w:r>
        <w:rPr>
          <w:rFonts w:hint="eastAsia" w:ascii="Times New Roman" w:hAnsi="Times New Roman" w:eastAsia="宋体" w:cs="Times New Roman"/>
          <w:bCs/>
          <w:sz w:val="18"/>
          <w:szCs w:val="18"/>
          <w:vertAlign w:val="baseline"/>
          <w:lang w:val="en-US" w:eastAsia="zh-CN"/>
        </w:rPr>
        <w:t>、PM</w:t>
      </w:r>
      <w:r>
        <w:rPr>
          <w:rFonts w:hint="eastAsia" w:ascii="Times New Roman" w:hAnsi="Times New Roman" w:eastAsia="宋体" w:cs="Times New Roman"/>
          <w:bCs/>
          <w:sz w:val="18"/>
          <w:szCs w:val="18"/>
          <w:vertAlign w:val="subscript"/>
          <w:lang w:val="en-US" w:eastAsia="zh-CN"/>
        </w:rPr>
        <w:t>10</w:t>
      </w:r>
      <w:r>
        <w:rPr>
          <w:rFonts w:hint="eastAsia" w:ascii="Times New Roman" w:hAnsi="Times New Roman" w:eastAsia="宋体" w:cs="Times New Roman"/>
          <w:bCs/>
          <w:sz w:val="18"/>
          <w:szCs w:val="18"/>
          <w:lang w:val="en-US" w:eastAsia="zh-CN"/>
        </w:rPr>
        <w:t>浓度数值来自2018年芜湖市环境质量状况简报4月8日至4月14日统计数据，TSP来自</w:t>
      </w:r>
      <w:r>
        <w:rPr>
          <w:rFonts w:ascii="Times New Roman" w:hAnsi="Times New Roman" w:eastAsia="宋体" w:cs="Times New Roman"/>
          <w:sz w:val="18"/>
          <w:szCs w:val="18"/>
        </w:rPr>
        <w:t>安徽世标检测技术有限公司于2019年4月</w:t>
      </w:r>
      <w:r>
        <w:rPr>
          <w:rFonts w:hint="eastAsia" w:ascii="Times New Roman" w:hAnsi="Times New Roman" w:eastAsia="宋体" w:cs="Times New Roman"/>
          <w:bCs/>
          <w:sz w:val="18"/>
          <w:szCs w:val="18"/>
          <w:lang w:val="en-US" w:eastAsia="zh-CN"/>
        </w:rPr>
        <w:t>8日至4月14日现状监测数据。</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由上表可知，自2017年现状评价至今，企业外排废气对周边环境敏感点影响较小，敏感点协力村主要环境污染物SO</w:t>
      </w:r>
      <w:r>
        <w:rPr>
          <w:rFonts w:hint="eastAsia" w:ascii="Times New Roman" w:hAnsi="Times New Roman" w:eastAsia="宋体" w:cs="Times New Roman"/>
          <w:bCs/>
          <w:sz w:val="24"/>
          <w:szCs w:val="24"/>
          <w:vertAlign w:val="subscript"/>
          <w:lang w:val="en-US" w:eastAsia="zh-CN"/>
        </w:rPr>
        <w:t>2</w:t>
      </w:r>
      <w:r>
        <w:rPr>
          <w:rFonts w:hint="eastAsia" w:ascii="Times New Roman" w:hAnsi="Times New Roman" w:eastAsia="宋体" w:cs="Times New Roman"/>
          <w:bCs/>
          <w:sz w:val="24"/>
          <w:szCs w:val="24"/>
          <w:lang w:val="en-US" w:eastAsia="zh-CN"/>
        </w:rPr>
        <w:t>、NO</w:t>
      </w:r>
      <w:r>
        <w:rPr>
          <w:rFonts w:hint="eastAsia" w:ascii="Times New Roman" w:hAnsi="Times New Roman" w:eastAsia="宋体" w:cs="Times New Roman"/>
          <w:bCs/>
          <w:sz w:val="24"/>
          <w:szCs w:val="24"/>
          <w:vertAlign w:val="subscript"/>
          <w:lang w:val="en-US" w:eastAsia="zh-CN"/>
        </w:rPr>
        <w:t>x</w:t>
      </w:r>
      <w:r>
        <w:rPr>
          <w:rFonts w:hint="eastAsia" w:ascii="Times New Roman" w:hAnsi="Times New Roman" w:eastAsia="宋体" w:cs="Times New Roman"/>
          <w:bCs/>
          <w:sz w:val="24"/>
          <w:szCs w:val="24"/>
          <w:lang w:val="en-US" w:eastAsia="zh-CN"/>
        </w:rPr>
        <w:t>、PM</w:t>
      </w:r>
      <w:r>
        <w:rPr>
          <w:rFonts w:hint="eastAsia" w:ascii="Times New Roman" w:hAnsi="Times New Roman" w:eastAsia="宋体" w:cs="Times New Roman"/>
          <w:bCs/>
          <w:sz w:val="24"/>
          <w:szCs w:val="24"/>
          <w:vertAlign w:val="subscript"/>
          <w:lang w:val="en-US" w:eastAsia="zh-CN"/>
        </w:rPr>
        <w:t>10</w:t>
      </w:r>
      <w:r>
        <w:rPr>
          <w:rFonts w:hint="eastAsia" w:ascii="Times New Roman" w:hAnsi="Times New Roman" w:eastAsia="宋体" w:cs="Times New Roman"/>
          <w:bCs/>
          <w:sz w:val="24"/>
          <w:szCs w:val="24"/>
          <w:lang w:val="en-US" w:eastAsia="zh-CN"/>
        </w:rPr>
        <w:t>、TSP现状浓度均低于环境影响预测叠加浓度，均符合</w:t>
      </w:r>
      <w:r>
        <w:rPr>
          <w:rFonts w:ascii="Times New Roman" w:hAnsi="Times New Roman" w:eastAsia="宋体" w:cs="Times New Roman"/>
          <w:bCs/>
          <w:sz w:val="24"/>
          <w:szCs w:val="24"/>
        </w:rPr>
        <w:t>《环境空气质量标准》（GB3095-2012）二级标准</w:t>
      </w:r>
      <w:r>
        <w:rPr>
          <w:rFonts w:hint="eastAsia" w:ascii="Times New Roman" w:hAnsi="Times New Roman" w:eastAsia="宋体" w:cs="Times New Roman"/>
          <w:bCs/>
          <w:sz w:val="24"/>
          <w:szCs w:val="24"/>
          <w:lang w:val="en-US" w:eastAsia="zh-CN"/>
        </w:rPr>
        <w:t>。</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lang w:eastAsia="zh-CN"/>
        </w:rPr>
      </w:pPr>
      <w:r>
        <w:rPr>
          <w:rFonts w:hint="eastAsia" w:ascii="Times New Roman" w:hAnsi="Times New Roman" w:eastAsia="黑体" w:cs="Times New Roman"/>
          <w:sz w:val="24"/>
          <w:szCs w:val="24"/>
          <w:lang w:val="en-US" w:eastAsia="zh-CN"/>
        </w:rPr>
        <w:t>6.1</w:t>
      </w:r>
      <w:r>
        <w:rPr>
          <w:rFonts w:hint="eastAsia" w:ascii="Times New Roman" w:hAnsi="Times New Roman" w:eastAsia="黑体" w:cs="Times New Roman"/>
          <w:sz w:val="24"/>
          <w:szCs w:val="24"/>
        </w:rPr>
        <w:t>.2.</w:t>
      </w:r>
      <w:r>
        <w:rPr>
          <w:rFonts w:hint="eastAsia" w:ascii="Times New Roman" w:hAnsi="Times New Roman" w:eastAsia="黑体" w:cs="Times New Roman"/>
          <w:sz w:val="24"/>
          <w:szCs w:val="24"/>
          <w:lang w:val="en-US" w:eastAsia="zh-CN"/>
        </w:rPr>
        <w:t>2厂区</w:t>
      </w:r>
      <w:r>
        <w:rPr>
          <w:rFonts w:hint="eastAsia" w:ascii="Times New Roman" w:hAnsi="Times New Roman" w:eastAsia="黑体" w:cs="Times New Roman"/>
          <w:sz w:val="24"/>
          <w:szCs w:val="24"/>
          <w:lang w:eastAsia="zh-CN"/>
        </w:rPr>
        <w:t>无组织空气质量分析</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厂区边界无组织空气质量对比分析见下表所示。</w:t>
      </w:r>
    </w:p>
    <w:p>
      <w:pPr>
        <w:pStyle w:val="31"/>
        <w:keepNext w:val="0"/>
        <w:keepLines w:val="0"/>
        <w:pageBreakBefore w:val="0"/>
        <w:kinsoku/>
        <w:wordWrap/>
        <w:bidi w:val="0"/>
        <w:snapToGrid/>
        <w:spacing w:line="360" w:lineRule="auto"/>
        <w:rPr>
          <w:rFonts w:hint="eastAsia" w:eastAsia="黑体" w:cs="Times New Roman"/>
          <w:lang w:eastAsia="zh-CN"/>
        </w:rPr>
      </w:pPr>
      <w:r>
        <w:rPr>
          <w:rFonts w:cs="Times New Roman"/>
        </w:rPr>
        <w:t>表</w:t>
      </w:r>
      <w:r>
        <w:rPr>
          <w:rFonts w:hint="eastAsia" w:cs="Times New Roman"/>
          <w:lang w:val="en-US" w:eastAsia="zh-CN"/>
        </w:rPr>
        <w:t>6.1-3</w:t>
      </w:r>
      <w:r>
        <w:rPr>
          <w:rFonts w:cs="Times New Roman"/>
        </w:rPr>
        <w:t xml:space="preserve">  </w:t>
      </w:r>
      <w:r>
        <w:rPr>
          <w:rFonts w:hint="eastAsia" w:cs="Times New Roman"/>
          <w:lang w:eastAsia="zh-CN"/>
        </w:rPr>
        <w:t>厂区边界无组织空气质量对比分析（单位：µg/m</w:t>
      </w:r>
      <w:r>
        <w:rPr>
          <w:rFonts w:hint="eastAsia" w:cs="Times New Roman"/>
          <w:vertAlign w:val="superscript"/>
          <w:lang w:eastAsia="zh-CN"/>
        </w:rPr>
        <w:t>3</w:t>
      </w:r>
      <w:r>
        <w:rPr>
          <w:rFonts w:hint="eastAsia" w:cs="Times New Roman"/>
          <w:lang w:eastAsia="zh-CN"/>
        </w:rPr>
        <w:t>）</w:t>
      </w:r>
    </w:p>
    <w:tbl>
      <w:tblPr>
        <w:tblStyle w:val="22"/>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9"/>
        <w:gridCol w:w="1964"/>
        <w:gridCol w:w="1663"/>
        <w:gridCol w:w="1555"/>
        <w:gridCol w:w="1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73" w:type="dxa"/>
            <w:gridSpan w:val="2"/>
            <w:tcBorders>
              <w:top w:val="single" w:color="auto" w:sz="12" w:space="0"/>
              <w:left w:val="nil"/>
              <w:tl2br w:val="single" w:color="auto" w:sz="12" w:space="0"/>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b/>
                <w:bCs/>
                <w:lang w:val="en-US" w:eastAsia="zh-CN"/>
              </w:rPr>
            </w:pPr>
            <w:r>
              <w:rPr>
                <w:rFonts w:hint="eastAsia"/>
                <w:b/>
                <w:bCs/>
                <w:lang w:val="en-US" w:eastAsia="zh-CN"/>
              </w:rPr>
              <w:t>污染物名称</w:t>
            </w:r>
          </w:p>
          <w:p>
            <w:pPr>
              <w:keepNext w:val="0"/>
              <w:keepLines w:val="0"/>
              <w:pageBreakBefore w:val="0"/>
              <w:kinsoku/>
              <w:wordWrap/>
              <w:bidi w:val="0"/>
              <w:snapToGrid/>
              <w:jc w:val="left"/>
              <w:rPr>
                <w:rFonts w:hint="eastAsia"/>
                <w:b/>
                <w:bCs/>
                <w:lang w:val="en-US" w:eastAsia="zh-CN"/>
              </w:rPr>
            </w:pPr>
            <w:r>
              <w:rPr>
                <w:rFonts w:hint="eastAsia" w:ascii="Times New Roman" w:hAnsi="Times New Roman" w:eastAsia="宋体" w:cs="Times New Roman"/>
                <w:b/>
                <w:bCs/>
                <w:kern w:val="0"/>
                <w:sz w:val="21"/>
                <w:szCs w:val="22"/>
                <w:lang w:val="en-US" w:eastAsia="zh-CN" w:bidi="ar-SA"/>
              </w:rPr>
              <w:t>监测点位</w:t>
            </w:r>
          </w:p>
        </w:tc>
        <w:tc>
          <w:tcPr>
            <w:tcW w:w="1663" w:type="dxa"/>
            <w:tcBorders>
              <w:top w:val="single" w:color="auto" w:sz="12" w:space="0"/>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二氧化硫</w:t>
            </w:r>
          </w:p>
        </w:tc>
        <w:tc>
          <w:tcPr>
            <w:tcW w:w="1555" w:type="dxa"/>
            <w:tcBorders>
              <w:top w:val="single" w:color="auto" w:sz="12" w:space="0"/>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szCs w:val="21"/>
                <w:lang w:val="en-US" w:eastAsia="zh-CN"/>
              </w:rPr>
            </w:pPr>
            <w:r>
              <w:rPr>
                <w:rFonts w:hint="eastAsia"/>
                <w:b/>
                <w:bCs/>
                <w:szCs w:val="21"/>
                <w:lang w:val="en-US" w:eastAsia="zh-CN"/>
              </w:rPr>
              <w:t>氮氧化物</w:t>
            </w:r>
          </w:p>
        </w:tc>
        <w:tc>
          <w:tcPr>
            <w:tcW w:w="1480" w:type="dxa"/>
            <w:tcBorders>
              <w:top w:val="single" w:color="auto" w:sz="12" w:space="0"/>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szCs w:val="21"/>
                <w:lang w:val="en-US" w:eastAsia="zh-CN"/>
              </w:rPr>
            </w:pPr>
            <w:r>
              <w:rPr>
                <w:rFonts w:hint="eastAsia"/>
                <w:b/>
                <w:bCs/>
                <w:szCs w:val="21"/>
                <w:lang w:val="en-US" w:eastAsia="zh-CN"/>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409" w:type="dxa"/>
            <w:vMerge w:val="restart"/>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cs="Times New Roman"/>
                <w:szCs w:val="21"/>
                <w:lang w:eastAsia="zh-CN"/>
              </w:rPr>
              <w:t>厂</w:t>
            </w:r>
            <w:r>
              <w:rPr>
                <w:rFonts w:ascii="Times New Roman" w:hAnsi="Times New Roman" w:eastAsia="宋体" w:cs="Times New Roman"/>
                <w:szCs w:val="21"/>
              </w:rPr>
              <w:t>界上风向西北厂界外</w:t>
            </w:r>
          </w:p>
        </w:tc>
        <w:tc>
          <w:tcPr>
            <w:tcW w:w="1964" w:type="dxa"/>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s="Times New Roman"/>
                <w:szCs w:val="21"/>
                <w:lang w:eastAsia="zh-CN"/>
              </w:rPr>
            </w:pPr>
            <w:r>
              <w:rPr>
                <w:rFonts w:hint="eastAsia"/>
                <w:szCs w:val="21"/>
                <w:lang w:val="en-US" w:eastAsia="zh-CN"/>
              </w:rPr>
              <w:t>现状评价预测数据</w:t>
            </w:r>
          </w:p>
        </w:tc>
        <w:tc>
          <w:tcPr>
            <w:tcW w:w="1663"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36.00</w:t>
            </w:r>
          </w:p>
        </w:tc>
        <w:tc>
          <w:tcPr>
            <w:tcW w:w="1555"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48.12</w:t>
            </w:r>
          </w:p>
        </w:tc>
        <w:tc>
          <w:tcPr>
            <w:tcW w:w="1480" w:type="dxa"/>
            <w:tcBorders>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111.64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409" w:type="dxa"/>
            <w:vMerge w:val="continue"/>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p>
        </w:tc>
        <w:tc>
          <w:tcPr>
            <w:tcW w:w="1964" w:type="dxa"/>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r>
              <w:rPr>
                <w:rFonts w:hint="eastAsia"/>
                <w:szCs w:val="21"/>
                <w:lang w:val="en-US" w:eastAsia="zh-CN"/>
              </w:rPr>
              <w:t>本次评价监测数据</w:t>
            </w:r>
          </w:p>
        </w:tc>
        <w:tc>
          <w:tcPr>
            <w:tcW w:w="1663"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18.00</w:t>
            </w:r>
          </w:p>
        </w:tc>
        <w:tc>
          <w:tcPr>
            <w:tcW w:w="1555"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26.67</w:t>
            </w:r>
          </w:p>
        </w:tc>
        <w:tc>
          <w:tcPr>
            <w:tcW w:w="1480" w:type="dxa"/>
            <w:tcBorders>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181.67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409" w:type="dxa"/>
            <w:vMerge w:val="restart"/>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ascii="Times New Roman" w:hAnsi="Times New Roman" w:eastAsia="宋体" w:cs="Times New Roman"/>
                <w:szCs w:val="21"/>
              </w:rPr>
              <w:t>厂界下风向南厂界外</w:t>
            </w:r>
          </w:p>
        </w:tc>
        <w:tc>
          <w:tcPr>
            <w:tcW w:w="1964" w:type="dxa"/>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eastAsia="宋体" w:cs="Times New Roman"/>
                <w:szCs w:val="21"/>
              </w:rPr>
            </w:pPr>
            <w:r>
              <w:rPr>
                <w:rFonts w:hint="eastAsia"/>
                <w:szCs w:val="21"/>
                <w:lang w:val="en-US" w:eastAsia="zh-CN"/>
              </w:rPr>
              <w:t>现状评价预测数据</w:t>
            </w:r>
          </w:p>
        </w:tc>
        <w:tc>
          <w:tcPr>
            <w:tcW w:w="1663"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35.36</w:t>
            </w:r>
          </w:p>
        </w:tc>
        <w:tc>
          <w:tcPr>
            <w:tcW w:w="1555"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48.24</w:t>
            </w:r>
          </w:p>
        </w:tc>
        <w:tc>
          <w:tcPr>
            <w:tcW w:w="1480" w:type="dxa"/>
            <w:tcBorders>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175.47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409" w:type="dxa"/>
            <w:vMerge w:val="continue"/>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p>
        </w:tc>
        <w:tc>
          <w:tcPr>
            <w:tcW w:w="1964" w:type="dxa"/>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r>
              <w:rPr>
                <w:rFonts w:hint="eastAsia"/>
                <w:szCs w:val="21"/>
                <w:lang w:val="en-US" w:eastAsia="zh-CN"/>
              </w:rPr>
              <w:t>本次评价监测数据</w:t>
            </w:r>
          </w:p>
        </w:tc>
        <w:tc>
          <w:tcPr>
            <w:tcW w:w="1663"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24.67</w:t>
            </w:r>
          </w:p>
        </w:tc>
        <w:tc>
          <w:tcPr>
            <w:tcW w:w="1555"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30.00</w:t>
            </w:r>
          </w:p>
        </w:tc>
        <w:tc>
          <w:tcPr>
            <w:tcW w:w="1480" w:type="dxa"/>
            <w:tcBorders>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265.33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409" w:type="dxa"/>
            <w:vMerge w:val="restart"/>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ascii="Times New Roman" w:hAnsi="Times New Roman" w:eastAsia="宋体" w:cs="Times New Roman"/>
                <w:szCs w:val="21"/>
              </w:rPr>
              <w:t>厂界下风向东南厂界外</w:t>
            </w:r>
          </w:p>
        </w:tc>
        <w:tc>
          <w:tcPr>
            <w:tcW w:w="1964" w:type="dxa"/>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eastAsia="宋体" w:cs="Times New Roman"/>
                <w:szCs w:val="21"/>
              </w:rPr>
            </w:pPr>
            <w:r>
              <w:rPr>
                <w:rFonts w:hint="eastAsia"/>
                <w:szCs w:val="21"/>
                <w:lang w:val="en-US" w:eastAsia="zh-CN"/>
              </w:rPr>
              <w:t>现状评价预测数据</w:t>
            </w:r>
          </w:p>
        </w:tc>
        <w:tc>
          <w:tcPr>
            <w:tcW w:w="1663" w:type="dxa"/>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left"/>
              <w:textAlignment w:val="auto"/>
              <w:rPr>
                <w:rFonts w:hint="default"/>
                <w:szCs w:val="21"/>
                <w:lang w:val="en-US" w:eastAsia="zh-CN"/>
              </w:rPr>
            </w:pPr>
            <w:r>
              <w:rPr>
                <w:rFonts w:hint="eastAsia"/>
                <w:szCs w:val="21"/>
                <w:lang w:val="en-US" w:eastAsia="zh-CN"/>
              </w:rPr>
              <w:tab/>
            </w:r>
            <w:r>
              <w:rPr>
                <w:rFonts w:hint="eastAsia"/>
                <w:szCs w:val="21"/>
                <w:lang w:val="en-US" w:eastAsia="zh-CN"/>
              </w:rPr>
              <w:t>41.74</w:t>
            </w:r>
          </w:p>
        </w:tc>
        <w:tc>
          <w:tcPr>
            <w:tcW w:w="1555"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48.97</w:t>
            </w:r>
          </w:p>
        </w:tc>
        <w:tc>
          <w:tcPr>
            <w:tcW w:w="1480" w:type="dxa"/>
            <w:tcBorders>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210.49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409" w:type="dxa"/>
            <w:vMerge w:val="continue"/>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p>
        </w:tc>
        <w:tc>
          <w:tcPr>
            <w:tcW w:w="1964" w:type="dxa"/>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r>
              <w:rPr>
                <w:rFonts w:hint="eastAsia"/>
                <w:szCs w:val="21"/>
                <w:lang w:val="en-US" w:eastAsia="zh-CN"/>
              </w:rPr>
              <w:t>本次评价监测数据</w:t>
            </w:r>
          </w:p>
        </w:tc>
        <w:tc>
          <w:tcPr>
            <w:tcW w:w="1663"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27.67</w:t>
            </w:r>
          </w:p>
        </w:tc>
        <w:tc>
          <w:tcPr>
            <w:tcW w:w="1555"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33.33</w:t>
            </w:r>
          </w:p>
        </w:tc>
        <w:tc>
          <w:tcPr>
            <w:tcW w:w="1480" w:type="dxa"/>
            <w:tcBorders>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281.33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409" w:type="dxa"/>
            <w:vMerge w:val="restart"/>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r>
              <w:rPr>
                <w:rFonts w:ascii="Times New Roman" w:hAnsi="Times New Roman" w:eastAsia="宋体" w:cs="Times New Roman"/>
                <w:szCs w:val="21"/>
              </w:rPr>
              <w:t>厂界下风向东厂界外</w:t>
            </w:r>
          </w:p>
        </w:tc>
        <w:tc>
          <w:tcPr>
            <w:tcW w:w="1964" w:type="dxa"/>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eastAsia="宋体" w:cs="Times New Roman"/>
                <w:szCs w:val="21"/>
              </w:rPr>
            </w:pPr>
            <w:r>
              <w:rPr>
                <w:rFonts w:hint="eastAsia"/>
                <w:szCs w:val="21"/>
                <w:lang w:val="en-US" w:eastAsia="zh-CN"/>
              </w:rPr>
              <w:t>现状评价预测数据</w:t>
            </w:r>
          </w:p>
        </w:tc>
        <w:tc>
          <w:tcPr>
            <w:tcW w:w="1663"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39.50</w:t>
            </w:r>
          </w:p>
        </w:tc>
        <w:tc>
          <w:tcPr>
            <w:tcW w:w="1555"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48.32</w:t>
            </w:r>
          </w:p>
        </w:tc>
        <w:tc>
          <w:tcPr>
            <w:tcW w:w="1480" w:type="dxa"/>
            <w:tcBorders>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176.38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409" w:type="dxa"/>
            <w:vMerge w:val="continue"/>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p>
        </w:tc>
        <w:tc>
          <w:tcPr>
            <w:tcW w:w="1964" w:type="dxa"/>
            <w:tcBorders>
              <w:lef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r>
              <w:rPr>
                <w:rFonts w:hint="eastAsia"/>
                <w:szCs w:val="21"/>
                <w:lang w:val="en-US" w:eastAsia="zh-CN"/>
              </w:rPr>
              <w:t>本次评价监测数据</w:t>
            </w:r>
          </w:p>
        </w:tc>
        <w:tc>
          <w:tcPr>
            <w:tcW w:w="1663"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25.33</w:t>
            </w:r>
          </w:p>
        </w:tc>
        <w:tc>
          <w:tcPr>
            <w:tcW w:w="1555" w:type="dxa"/>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33.33</w:t>
            </w:r>
          </w:p>
        </w:tc>
        <w:tc>
          <w:tcPr>
            <w:tcW w:w="1480" w:type="dxa"/>
            <w:tcBorders>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290.33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4373" w:type="dxa"/>
            <w:gridSpan w:val="2"/>
            <w:tcBorders>
              <w:left w:val="nil"/>
              <w:bottom w:val="single" w:color="auto" w:sz="12" w:space="0"/>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Cs w:val="21"/>
                <w:lang w:val="en-US" w:eastAsia="zh-CN"/>
              </w:rPr>
            </w:pPr>
            <w:r>
              <w:rPr>
                <w:rFonts w:ascii="Times New Roman" w:hAnsi="Times New Roman" w:eastAsia="宋体" w:cs="Times New Roman"/>
                <w:szCs w:val="21"/>
              </w:rPr>
              <w:t>《大气污染物综合排放标准》（GB16297-1996）</w:t>
            </w:r>
          </w:p>
        </w:tc>
        <w:tc>
          <w:tcPr>
            <w:tcW w:w="1663" w:type="dxa"/>
            <w:tcBorders>
              <w:bottom w:val="single" w:color="auto" w:sz="12" w:space="0"/>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400</w:t>
            </w:r>
          </w:p>
        </w:tc>
        <w:tc>
          <w:tcPr>
            <w:tcW w:w="1555" w:type="dxa"/>
            <w:tcBorders>
              <w:bottom w:val="single" w:color="auto" w:sz="12" w:space="0"/>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120</w:t>
            </w:r>
          </w:p>
        </w:tc>
        <w:tc>
          <w:tcPr>
            <w:tcW w:w="1480" w:type="dxa"/>
            <w:tcBorders>
              <w:bottom w:val="single" w:color="auto" w:sz="12" w:space="0"/>
              <w:right w:val="nil"/>
            </w:tcBorders>
            <w:vAlign w:val="center"/>
          </w:tcPr>
          <w:p>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Cs w:val="21"/>
                <w:lang w:val="en-US" w:eastAsia="zh-CN"/>
              </w:rPr>
            </w:pPr>
            <w:r>
              <w:rPr>
                <w:rFonts w:hint="eastAsia"/>
                <w:szCs w:val="21"/>
                <w:lang w:val="en-US" w:eastAsia="zh-CN"/>
              </w:rPr>
              <w:t>1000</w:t>
            </w:r>
          </w:p>
        </w:tc>
      </w:tr>
    </w:tbl>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由上表可知，自2017年现状评价至今，企业外排废气在厂界无组织废气浓度均符合《大气污染物综合排放标准》（GB16297-1996）中各污染物无组织浓度要求。其中，二氧化硫和氮氧化物在厂界浓度上明显降低，最大降低幅度为厂界厂界上风向西北厂界外二氧化硫浓度，降幅约50%；TSP在厂界浓度上明显增加，最大增加幅度为厂界下风向东厂界外，增幅约62.73%。厂区下一步需采取措施，抑制厂界外无组织废气浓度增涨的趋势。</w:t>
      </w:r>
    </w:p>
    <w:p>
      <w:pPr>
        <w:keepNext w:val="0"/>
        <w:keepLines w:val="0"/>
        <w:pageBreakBefore w:val="0"/>
        <w:kinsoku/>
        <w:wordWrap/>
        <w:bidi w:val="0"/>
        <w:snapToGrid/>
        <w:spacing w:line="360" w:lineRule="auto"/>
        <w:outlineLvl w:val="3"/>
        <w:rPr>
          <w:rFonts w:hint="eastAsia" w:ascii="Times New Roman" w:hAnsi="Times New Roman" w:eastAsia="黑体" w:cs="Times New Roman"/>
          <w:sz w:val="24"/>
          <w:szCs w:val="24"/>
          <w:lang w:eastAsia="zh-CN"/>
        </w:rPr>
      </w:pPr>
      <w:r>
        <w:rPr>
          <w:rFonts w:hint="eastAsia" w:ascii="Times New Roman" w:hAnsi="Times New Roman" w:eastAsia="黑体" w:cs="Times New Roman"/>
          <w:sz w:val="24"/>
          <w:szCs w:val="24"/>
          <w:lang w:val="en-US" w:eastAsia="zh-CN"/>
        </w:rPr>
        <w:t>6.1</w:t>
      </w:r>
      <w:r>
        <w:rPr>
          <w:rFonts w:hint="eastAsia" w:ascii="Times New Roman" w:hAnsi="Times New Roman" w:eastAsia="黑体" w:cs="Times New Roman"/>
          <w:sz w:val="24"/>
          <w:szCs w:val="24"/>
        </w:rPr>
        <w:t>.2.</w:t>
      </w:r>
      <w:r>
        <w:rPr>
          <w:rFonts w:hint="eastAsia" w:ascii="Times New Roman" w:hAnsi="Times New Roman" w:eastAsia="黑体" w:cs="Times New Roman"/>
          <w:sz w:val="24"/>
          <w:szCs w:val="24"/>
          <w:lang w:val="en-US" w:eastAsia="zh-CN"/>
        </w:rPr>
        <w:t>3厂区大气环境</w:t>
      </w:r>
      <w:r>
        <w:rPr>
          <w:rFonts w:hint="eastAsia" w:ascii="Times New Roman" w:hAnsi="Times New Roman" w:eastAsia="黑体" w:cs="Times New Roman"/>
          <w:sz w:val="24"/>
          <w:szCs w:val="24"/>
          <w:lang w:eastAsia="zh-CN"/>
        </w:rPr>
        <w:t>防护距离分析</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 xml:space="preserve">《芜湖新兴铸管有限责任公司搬迁技术改造项目现状评价》中关于厂区大气环境防护距离要求如下表所示。 </w:t>
      </w:r>
    </w:p>
    <w:p>
      <w:pPr>
        <w:pStyle w:val="31"/>
        <w:keepNext w:val="0"/>
        <w:keepLines w:val="0"/>
        <w:pageBreakBefore w:val="0"/>
        <w:kinsoku/>
        <w:wordWrap/>
        <w:bidi w:val="0"/>
        <w:snapToGrid/>
        <w:spacing w:line="360" w:lineRule="auto"/>
        <w:rPr>
          <w:rFonts w:hint="eastAsia" w:cs="Times New Roman"/>
          <w:lang w:eastAsia="zh-CN"/>
        </w:rPr>
      </w:pPr>
      <w:r>
        <w:rPr>
          <w:rFonts w:cs="Times New Roman"/>
        </w:rPr>
        <w:t>表</w:t>
      </w:r>
      <w:r>
        <w:rPr>
          <w:rFonts w:hint="eastAsia" w:cs="Times New Roman"/>
          <w:lang w:val="en-US" w:eastAsia="zh-CN"/>
        </w:rPr>
        <w:t>6.1-4</w:t>
      </w:r>
      <w:r>
        <w:rPr>
          <w:rFonts w:cs="Times New Roman"/>
        </w:rPr>
        <w:t xml:space="preserve">  </w:t>
      </w:r>
      <w:r>
        <w:rPr>
          <w:rFonts w:hint="eastAsia" w:cs="Times New Roman"/>
          <w:lang w:eastAsia="zh-CN"/>
        </w:rPr>
        <w:t>厂区大气环境防护距离控制一览表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1296"/>
        <w:gridCol w:w="1295"/>
        <w:gridCol w:w="1295"/>
        <w:gridCol w:w="1296"/>
        <w:gridCol w:w="1297"/>
        <w:gridCol w:w="12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vMerge w:val="restart"/>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b/>
                <w:bCs/>
                <w:szCs w:val="21"/>
                <w:lang w:val="en-US" w:eastAsia="zh-CN"/>
              </w:rPr>
            </w:pPr>
            <w:r>
              <w:rPr>
                <w:rFonts w:hint="eastAsia"/>
                <w:b/>
                <w:bCs/>
                <w:szCs w:val="21"/>
                <w:lang w:val="en-US" w:eastAsia="zh-CN"/>
              </w:rPr>
              <w:t>排放源</w:t>
            </w:r>
          </w:p>
        </w:tc>
        <w:tc>
          <w:tcPr>
            <w:tcW w:w="1296" w:type="dxa"/>
            <w:vMerge w:val="restart"/>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b/>
                <w:bCs/>
                <w:szCs w:val="21"/>
                <w:lang w:val="en-US" w:eastAsia="zh-CN"/>
              </w:rPr>
            </w:pPr>
            <w:r>
              <w:rPr>
                <w:rFonts w:hint="eastAsia"/>
                <w:b/>
                <w:bCs/>
                <w:szCs w:val="21"/>
                <w:lang w:val="en-US" w:eastAsia="zh-CN"/>
              </w:rPr>
              <w:t>污染物</w:t>
            </w:r>
          </w:p>
        </w:tc>
        <w:tc>
          <w:tcPr>
            <w:tcW w:w="2590" w:type="dxa"/>
            <w:gridSpan w:val="2"/>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b/>
                <w:bCs/>
                <w:szCs w:val="21"/>
                <w:lang w:val="en-US" w:eastAsia="zh-CN"/>
              </w:rPr>
            </w:pPr>
            <w:r>
              <w:rPr>
                <w:rFonts w:hint="eastAsia"/>
                <w:b/>
                <w:bCs/>
                <w:szCs w:val="21"/>
                <w:lang w:val="en-US" w:eastAsia="zh-CN"/>
              </w:rPr>
              <w:t>按照《制定地方大气污染物排放标准的技术方法》进行核定</w:t>
            </w:r>
          </w:p>
        </w:tc>
        <w:tc>
          <w:tcPr>
            <w:tcW w:w="1296" w:type="dxa"/>
            <w:vMerge w:val="restart"/>
            <w:tcBorders>
              <w:tl2br w:val="nil"/>
              <w:tr2bl w:val="nil"/>
            </w:tcBorders>
            <w:vAlign w:val="center"/>
          </w:tcPr>
          <w:p>
            <w:pPr>
              <w:pStyle w:val="41"/>
              <w:keepNext w:val="0"/>
              <w:keepLines w:val="0"/>
              <w:pageBreakBefore w:val="0"/>
              <w:kinsoku/>
              <w:wordWrap/>
              <w:bidi w:val="0"/>
              <w:snapToGrid/>
              <w:rPr>
                <w:rFonts w:hint="eastAsia"/>
                <w:b/>
                <w:bCs/>
                <w:szCs w:val="21"/>
                <w:lang w:val="en-US" w:eastAsia="zh-CN"/>
              </w:rPr>
            </w:pPr>
            <w:r>
              <w:rPr>
                <w:b/>
                <w:bCs/>
              </w:rPr>
              <w:t>卫生防护距离标准(m)</w:t>
            </w:r>
          </w:p>
        </w:tc>
        <w:tc>
          <w:tcPr>
            <w:tcW w:w="1297" w:type="dxa"/>
            <w:vMerge w:val="restart"/>
            <w:tcBorders>
              <w:tl2br w:val="nil"/>
              <w:tr2bl w:val="nil"/>
            </w:tcBorders>
            <w:vAlign w:val="center"/>
          </w:tcPr>
          <w:p>
            <w:pPr>
              <w:pStyle w:val="41"/>
              <w:keepNext w:val="0"/>
              <w:keepLines w:val="0"/>
              <w:pageBreakBefore w:val="0"/>
              <w:kinsoku/>
              <w:wordWrap/>
              <w:bidi w:val="0"/>
              <w:snapToGrid/>
              <w:rPr>
                <w:rFonts w:hint="eastAsia"/>
                <w:b/>
                <w:bCs/>
                <w:szCs w:val="21"/>
                <w:lang w:val="en-US" w:eastAsia="zh-CN"/>
              </w:rPr>
            </w:pPr>
            <w:r>
              <w:rPr>
                <w:b/>
                <w:bCs/>
              </w:rPr>
              <w:t>环境防护距离(m)</w:t>
            </w:r>
          </w:p>
        </w:tc>
        <w:tc>
          <w:tcPr>
            <w:tcW w:w="1297" w:type="dxa"/>
            <w:vMerge w:val="restart"/>
            <w:tcBorders>
              <w:tl2br w:val="nil"/>
              <w:tr2bl w:val="nil"/>
            </w:tcBorders>
            <w:vAlign w:val="center"/>
          </w:tcPr>
          <w:p>
            <w:pPr>
              <w:pStyle w:val="41"/>
              <w:keepNext w:val="0"/>
              <w:keepLines w:val="0"/>
              <w:pageBreakBefore w:val="0"/>
              <w:kinsoku/>
              <w:wordWrap/>
              <w:bidi w:val="0"/>
              <w:snapToGrid/>
              <w:rPr>
                <w:b/>
                <w:bCs/>
              </w:rPr>
            </w:pPr>
            <w:r>
              <w:rPr>
                <w:rFonts w:hint="eastAsia"/>
                <w:b/>
                <w:bCs/>
                <w:lang w:eastAsia="zh-CN"/>
              </w:rPr>
              <w:t>大气</w:t>
            </w:r>
            <w:r>
              <w:rPr>
                <w:b/>
                <w:bCs/>
              </w:rPr>
              <w:t>环境防护距离(m)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vMerge w:val="continue"/>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p>
        </w:tc>
        <w:tc>
          <w:tcPr>
            <w:tcW w:w="1296" w:type="dxa"/>
            <w:vMerge w:val="continue"/>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p>
        </w:tc>
        <w:tc>
          <w:tcPr>
            <w:tcW w:w="1295" w:type="dxa"/>
            <w:tcBorders>
              <w:tl2br w:val="nil"/>
              <w:tr2bl w:val="nil"/>
            </w:tcBorders>
            <w:vAlign w:val="center"/>
          </w:tcPr>
          <w:p>
            <w:pPr>
              <w:pStyle w:val="41"/>
              <w:keepNext w:val="0"/>
              <w:keepLines w:val="0"/>
              <w:pageBreakBefore w:val="0"/>
              <w:kinsoku/>
              <w:wordWrap/>
              <w:bidi w:val="0"/>
              <w:snapToGrid/>
              <w:rPr>
                <w:rFonts w:hint="eastAsia"/>
                <w:b/>
                <w:bCs/>
                <w:szCs w:val="21"/>
                <w:lang w:val="en-US" w:eastAsia="zh-CN"/>
              </w:rPr>
            </w:pPr>
            <w:r>
              <w:rPr>
                <w:b/>
                <w:bCs/>
              </w:rPr>
              <w:t>计算卫生防护距离(m)</w:t>
            </w:r>
          </w:p>
        </w:tc>
        <w:tc>
          <w:tcPr>
            <w:tcW w:w="1295" w:type="dxa"/>
            <w:tcBorders>
              <w:tl2br w:val="nil"/>
              <w:tr2bl w:val="nil"/>
            </w:tcBorders>
            <w:vAlign w:val="center"/>
          </w:tcPr>
          <w:p>
            <w:pPr>
              <w:pStyle w:val="41"/>
              <w:keepNext w:val="0"/>
              <w:keepLines w:val="0"/>
              <w:pageBreakBefore w:val="0"/>
              <w:kinsoku/>
              <w:wordWrap/>
              <w:bidi w:val="0"/>
              <w:snapToGrid/>
              <w:rPr>
                <w:rFonts w:hint="eastAsia"/>
                <w:b/>
                <w:bCs/>
                <w:szCs w:val="21"/>
                <w:lang w:val="en-US" w:eastAsia="zh-CN"/>
              </w:rPr>
            </w:pPr>
            <w:r>
              <w:rPr>
                <w:b/>
                <w:bCs/>
              </w:rPr>
              <w:t>核定卫生防护距离(m)</w:t>
            </w:r>
          </w:p>
        </w:tc>
        <w:tc>
          <w:tcPr>
            <w:tcW w:w="1296" w:type="dxa"/>
            <w:vMerge w:val="continue"/>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p>
        </w:tc>
        <w:tc>
          <w:tcPr>
            <w:tcW w:w="1297" w:type="dxa"/>
            <w:vMerge w:val="continue"/>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p>
        </w:tc>
        <w:tc>
          <w:tcPr>
            <w:tcW w:w="1297" w:type="dxa"/>
            <w:vMerge w:val="continue"/>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原料场</w:t>
            </w:r>
          </w:p>
        </w:tc>
        <w:tc>
          <w:tcPr>
            <w:tcW w:w="1296"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颗粒物</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76</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100</w:t>
            </w:r>
          </w:p>
        </w:tc>
        <w:tc>
          <w:tcPr>
            <w:tcW w:w="1296" w:type="dxa"/>
            <w:tcBorders>
              <w:tl2br w:val="nil"/>
              <w:tr2bl w:val="nil"/>
            </w:tcBorders>
            <w:vAlign w:val="center"/>
          </w:tcPr>
          <w:p>
            <w:pPr>
              <w:pStyle w:val="41"/>
              <w:keepNext w:val="0"/>
              <w:keepLines w:val="0"/>
              <w:pageBreakBefore w:val="0"/>
              <w:kinsoku/>
              <w:wordWrap/>
              <w:bidi w:val="0"/>
              <w:snapToGrid/>
              <w:rPr>
                <w:rFonts w:hint="eastAsia" w:eastAsia="宋体"/>
                <w:szCs w:val="21"/>
                <w:lang w:val="en-US" w:eastAsia="zh-CN"/>
              </w:rPr>
            </w:pPr>
            <w:r>
              <w:rPr>
                <w:rFonts w:hint="eastAsia"/>
                <w:lang w:val="en-US" w:eastAsia="zh-CN"/>
              </w:rPr>
              <w:t>/</w:t>
            </w:r>
          </w:p>
        </w:tc>
        <w:tc>
          <w:tcPr>
            <w:tcW w:w="1297"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0</w:t>
            </w:r>
          </w:p>
        </w:tc>
        <w:tc>
          <w:tcPr>
            <w:tcW w:w="1297" w:type="dxa"/>
            <w:tcBorders>
              <w:tl2br w:val="nil"/>
              <w:tr2bl w:val="nil"/>
            </w:tcBorders>
            <w:vAlign w:val="center"/>
          </w:tcPr>
          <w:p>
            <w:pPr>
              <w:pStyle w:val="41"/>
              <w:keepNext w:val="0"/>
              <w:keepLines w:val="0"/>
              <w:pageBreakBefore w:val="0"/>
              <w:kinsoku/>
              <w:wordWrap/>
              <w:bidi w:val="0"/>
              <w:snapToGrid/>
              <w:rPr>
                <w:rFonts w:hint="default" w:eastAsia="宋体"/>
                <w:lang w:val="en-US" w:eastAsia="zh-CN"/>
              </w:rPr>
            </w:pPr>
            <w:r>
              <w:rPr>
                <w:rFonts w:hint="eastAsia"/>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石灰窑</w:t>
            </w:r>
          </w:p>
        </w:tc>
        <w:tc>
          <w:tcPr>
            <w:tcW w:w="1296"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颗粒物</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200</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200</w:t>
            </w:r>
          </w:p>
        </w:tc>
        <w:tc>
          <w:tcPr>
            <w:tcW w:w="1296"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400</w:t>
            </w:r>
          </w:p>
        </w:tc>
        <w:tc>
          <w:tcPr>
            <w:tcW w:w="1297"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0</w:t>
            </w:r>
          </w:p>
        </w:tc>
        <w:tc>
          <w:tcPr>
            <w:tcW w:w="1297" w:type="dxa"/>
            <w:tcBorders>
              <w:tl2br w:val="nil"/>
              <w:tr2bl w:val="nil"/>
            </w:tcBorders>
            <w:vAlign w:val="center"/>
          </w:tcPr>
          <w:p>
            <w:pPr>
              <w:pStyle w:val="41"/>
              <w:keepNext w:val="0"/>
              <w:keepLines w:val="0"/>
              <w:pageBreakBefore w:val="0"/>
              <w:kinsoku/>
              <w:wordWrap/>
              <w:bidi w:val="0"/>
              <w:snapToGrid/>
              <w:rPr>
                <w:rFonts w:hint="default" w:eastAsia="宋体"/>
                <w:lang w:val="en-US" w:eastAsia="zh-CN"/>
              </w:rPr>
            </w:pPr>
            <w:r>
              <w:rPr>
                <w:rFonts w:hint="eastAsia"/>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炼铁</w:t>
            </w:r>
          </w:p>
        </w:tc>
        <w:tc>
          <w:tcPr>
            <w:tcW w:w="1296"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颗粒物</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311</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400</w:t>
            </w:r>
          </w:p>
        </w:tc>
        <w:tc>
          <w:tcPr>
            <w:tcW w:w="1296"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1200</w:t>
            </w:r>
          </w:p>
        </w:tc>
        <w:tc>
          <w:tcPr>
            <w:tcW w:w="1297"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0</w:t>
            </w:r>
          </w:p>
        </w:tc>
        <w:tc>
          <w:tcPr>
            <w:tcW w:w="1297" w:type="dxa"/>
            <w:tcBorders>
              <w:tl2br w:val="nil"/>
              <w:tr2bl w:val="nil"/>
            </w:tcBorders>
            <w:vAlign w:val="center"/>
          </w:tcPr>
          <w:p>
            <w:pPr>
              <w:pStyle w:val="41"/>
              <w:keepNext w:val="0"/>
              <w:keepLines w:val="0"/>
              <w:pageBreakBefore w:val="0"/>
              <w:kinsoku/>
              <w:wordWrap/>
              <w:bidi w:val="0"/>
              <w:snapToGrid/>
              <w:rPr>
                <w:rFonts w:hint="default" w:eastAsia="宋体"/>
                <w:lang w:val="en-US" w:eastAsia="zh-CN"/>
              </w:rPr>
            </w:pPr>
            <w:r>
              <w:rPr>
                <w:rFonts w:hint="eastAsia"/>
                <w:lang w:val="en-US" w:eastAsia="zh-CN"/>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铸管</w:t>
            </w:r>
          </w:p>
        </w:tc>
        <w:tc>
          <w:tcPr>
            <w:tcW w:w="1296"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颗粒物</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200</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200</w:t>
            </w:r>
          </w:p>
        </w:tc>
        <w:tc>
          <w:tcPr>
            <w:tcW w:w="1296" w:type="dxa"/>
            <w:tcBorders>
              <w:tl2br w:val="nil"/>
              <w:tr2bl w:val="nil"/>
            </w:tcBorders>
            <w:vAlign w:val="center"/>
          </w:tcPr>
          <w:p>
            <w:pPr>
              <w:pStyle w:val="41"/>
              <w:keepNext w:val="0"/>
              <w:keepLines w:val="0"/>
              <w:pageBreakBefore w:val="0"/>
              <w:kinsoku/>
              <w:wordWrap/>
              <w:bidi w:val="0"/>
              <w:snapToGrid/>
              <w:rPr>
                <w:rFonts w:hint="eastAsia" w:eastAsia="宋体"/>
                <w:szCs w:val="21"/>
                <w:lang w:val="en-US" w:eastAsia="zh-CN"/>
              </w:rPr>
            </w:pPr>
            <w:r>
              <w:rPr>
                <w:rFonts w:hint="eastAsia"/>
                <w:lang w:val="en-US" w:eastAsia="zh-CN"/>
              </w:rPr>
              <w:t>/</w:t>
            </w:r>
          </w:p>
        </w:tc>
        <w:tc>
          <w:tcPr>
            <w:tcW w:w="1297"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0</w:t>
            </w:r>
          </w:p>
        </w:tc>
        <w:tc>
          <w:tcPr>
            <w:tcW w:w="1297" w:type="dxa"/>
            <w:tcBorders>
              <w:tl2br w:val="nil"/>
              <w:tr2bl w:val="nil"/>
            </w:tcBorders>
            <w:vAlign w:val="center"/>
          </w:tcPr>
          <w:p>
            <w:pPr>
              <w:pStyle w:val="41"/>
              <w:keepNext w:val="0"/>
              <w:keepLines w:val="0"/>
              <w:pageBreakBefore w:val="0"/>
              <w:kinsoku/>
              <w:wordWrap/>
              <w:bidi w:val="0"/>
              <w:snapToGrid/>
              <w:rPr>
                <w:rFonts w:hint="default" w:eastAsia="宋体"/>
                <w:lang w:val="en-US" w:eastAsia="zh-CN"/>
              </w:rPr>
            </w:pPr>
            <w:r>
              <w:rPr>
                <w:rFonts w:hint="eastAsia"/>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转炉炼钢</w:t>
            </w:r>
          </w:p>
        </w:tc>
        <w:tc>
          <w:tcPr>
            <w:tcW w:w="1296"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颗粒物</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215</w:t>
            </w:r>
          </w:p>
        </w:tc>
        <w:tc>
          <w:tcPr>
            <w:tcW w:w="1295"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300</w:t>
            </w:r>
          </w:p>
        </w:tc>
        <w:tc>
          <w:tcPr>
            <w:tcW w:w="1296" w:type="dxa"/>
            <w:tcBorders>
              <w:tl2br w:val="nil"/>
              <w:tr2bl w:val="nil"/>
            </w:tcBorders>
            <w:vAlign w:val="center"/>
          </w:tcPr>
          <w:p>
            <w:pPr>
              <w:pStyle w:val="41"/>
              <w:keepNext w:val="0"/>
              <w:keepLines w:val="0"/>
              <w:pageBreakBefore w:val="0"/>
              <w:kinsoku/>
              <w:wordWrap/>
              <w:bidi w:val="0"/>
              <w:snapToGrid/>
              <w:rPr>
                <w:rFonts w:hint="eastAsia" w:eastAsia="宋体"/>
                <w:szCs w:val="21"/>
                <w:lang w:val="en-US" w:eastAsia="zh-CN"/>
              </w:rPr>
            </w:pPr>
            <w:r>
              <w:rPr>
                <w:rFonts w:hint="eastAsia"/>
                <w:lang w:val="en-US" w:eastAsia="zh-CN"/>
              </w:rPr>
              <w:t>/</w:t>
            </w:r>
          </w:p>
        </w:tc>
        <w:tc>
          <w:tcPr>
            <w:tcW w:w="1297" w:type="dxa"/>
            <w:tcBorders>
              <w:tl2br w:val="nil"/>
              <w:tr2bl w:val="nil"/>
            </w:tcBorders>
            <w:vAlign w:val="center"/>
          </w:tcPr>
          <w:p>
            <w:pPr>
              <w:pStyle w:val="41"/>
              <w:keepNext w:val="0"/>
              <w:keepLines w:val="0"/>
              <w:pageBreakBefore w:val="0"/>
              <w:kinsoku/>
              <w:wordWrap/>
              <w:bidi w:val="0"/>
              <w:snapToGrid/>
              <w:rPr>
                <w:rFonts w:hint="eastAsia"/>
                <w:szCs w:val="21"/>
                <w:lang w:val="en-US" w:eastAsia="zh-CN"/>
              </w:rPr>
            </w:pPr>
            <w:r>
              <w:t>0</w:t>
            </w:r>
          </w:p>
        </w:tc>
        <w:tc>
          <w:tcPr>
            <w:tcW w:w="1297" w:type="dxa"/>
            <w:tcBorders>
              <w:tl2br w:val="nil"/>
              <w:tr2bl w:val="nil"/>
            </w:tcBorders>
            <w:vAlign w:val="center"/>
          </w:tcPr>
          <w:p>
            <w:pPr>
              <w:pStyle w:val="41"/>
              <w:keepNext w:val="0"/>
              <w:keepLines w:val="0"/>
              <w:pageBreakBefore w:val="0"/>
              <w:kinsoku/>
              <w:wordWrap/>
              <w:bidi w:val="0"/>
              <w:snapToGrid/>
              <w:rPr>
                <w:rFonts w:hint="default" w:eastAsia="宋体"/>
                <w:lang w:val="en-US" w:eastAsia="zh-CN"/>
              </w:rPr>
            </w:pPr>
            <w:r>
              <w:rPr>
                <w:rFonts w:hint="eastAsia"/>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r>
              <w:rPr>
                <w:rFonts w:hint="eastAsia"/>
                <w:szCs w:val="21"/>
                <w:lang w:val="en-US" w:eastAsia="zh-CN"/>
              </w:rPr>
              <w:t>焦化</w:t>
            </w:r>
          </w:p>
        </w:tc>
        <w:tc>
          <w:tcPr>
            <w:tcW w:w="1296"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r>
              <w:rPr>
                <w:rFonts w:hint="eastAsia"/>
                <w:szCs w:val="21"/>
                <w:lang w:val="en-US" w:eastAsia="zh-CN"/>
              </w:rPr>
              <w:t>B[a]P</w:t>
            </w:r>
          </w:p>
        </w:tc>
        <w:tc>
          <w:tcPr>
            <w:tcW w:w="1295"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921</w:t>
            </w:r>
          </w:p>
        </w:tc>
        <w:tc>
          <w:tcPr>
            <w:tcW w:w="1295"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1000*</w:t>
            </w:r>
          </w:p>
        </w:tc>
        <w:tc>
          <w:tcPr>
            <w:tcW w:w="1296"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900</w:t>
            </w:r>
          </w:p>
        </w:tc>
        <w:tc>
          <w:tcPr>
            <w:tcW w:w="1297"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700</w:t>
            </w:r>
          </w:p>
        </w:tc>
        <w:tc>
          <w:tcPr>
            <w:tcW w:w="1297"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r>
              <w:rPr>
                <w:rFonts w:hint="eastAsia"/>
                <w:szCs w:val="21"/>
                <w:lang w:val="en-US" w:eastAsia="zh-CN"/>
              </w:rPr>
              <w:t>烧结</w:t>
            </w:r>
          </w:p>
        </w:tc>
        <w:tc>
          <w:tcPr>
            <w:tcW w:w="1296"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r>
              <w:rPr>
                <w:rFonts w:hint="eastAsia"/>
                <w:szCs w:val="21"/>
                <w:lang w:val="en-US" w:eastAsia="zh-CN"/>
              </w:rPr>
              <w:t>颗粒物</w:t>
            </w:r>
          </w:p>
        </w:tc>
        <w:tc>
          <w:tcPr>
            <w:tcW w:w="1295"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208</w:t>
            </w:r>
          </w:p>
        </w:tc>
        <w:tc>
          <w:tcPr>
            <w:tcW w:w="1295"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300</w:t>
            </w:r>
          </w:p>
        </w:tc>
        <w:tc>
          <w:tcPr>
            <w:tcW w:w="1296"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600</w:t>
            </w:r>
          </w:p>
        </w:tc>
        <w:tc>
          <w:tcPr>
            <w:tcW w:w="1297"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0</w:t>
            </w:r>
          </w:p>
        </w:tc>
        <w:tc>
          <w:tcPr>
            <w:tcW w:w="1297"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95"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r>
              <w:rPr>
                <w:rFonts w:hint="eastAsia"/>
                <w:szCs w:val="21"/>
                <w:lang w:val="en-US" w:eastAsia="zh-CN"/>
              </w:rPr>
              <w:t>矿渣微粉</w:t>
            </w:r>
          </w:p>
        </w:tc>
        <w:tc>
          <w:tcPr>
            <w:tcW w:w="1296"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eastAsia"/>
                <w:szCs w:val="21"/>
                <w:lang w:val="en-US" w:eastAsia="zh-CN"/>
              </w:rPr>
            </w:pPr>
            <w:r>
              <w:rPr>
                <w:rFonts w:hint="eastAsia"/>
                <w:szCs w:val="21"/>
                <w:lang w:val="en-US" w:eastAsia="zh-CN"/>
              </w:rPr>
              <w:t>颗粒物</w:t>
            </w:r>
          </w:p>
        </w:tc>
        <w:tc>
          <w:tcPr>
            <w:tcW w:w="1295"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18.5</w:t>
            </w:r>
          </w:p>
        </w:tc>
        <w:tc>
          <w:tcPr>
            <w:tcW w:w="1295"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50</w:t>
            </w:r>
          </w:p>
        </w:tc>
        <w:tc>
          <w:tcPr>
            <w:tcW w:w="1296"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w:t>
            </w:r>
          </w:p>
        </w:tc>
        <w:tc>
          <w:tcPr>
            <w:tcW w:w="1297"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0</w:t>
            </w:r>
          </w:p>
        </w:tc>
        <w:tc>
          <w:tcPr>
            <w:tcW w:w="1297" w:type="dxa"/>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center"/>
              <w:textAlignment w:val="auto"/>
              <w:rPr>
                <w:rFonts w:hint="default"/>
                <w:szCs w:val="21"/>
                <w:lang w:val="en-US" w:eastAsia="zh-CN"/>
              </w:rPr>
            </w:pPr>
            <w:r>
              <w:rPr>
                <w:rFonts w:hint="eastAsia"/>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9071" w:type="dxa"/>
            <w:gridSpan w:val="7"/>
            <w:tcBorders>
              <w:tl2br w:val="nil"/>
              <w:tr2bl w:val="nil"/>
            </w:tcBorders>
            <w:vAlign w:val="center"/>
          </w:tcPr>
          <w:p>
            <w:pPr>
              <w:pStyle w:val="41"/>
              <w:keepNext w:val="0"/>
              <w:keepLines w:val="0"/>
              <w:pageBreakBefore w:val="0"/>
              <w:widowControl w:val="0"/>
              <w:tabs>
                <w:tab w:val="left" w:pos="451"/>
                <w:tab w:val="center" w:pos="783"/>
              </w:tabs>
              <w:kinsoku/>
              <w:wordWrap/>
              <w:overflowPunct/>
              <w:topLinePunct w:val="0"/>
              <w:autoSpaceDE/>
              <w:autoSpaceDN/>
              <w:bidi w:val="0"/>
              <w:adjustRightInd/>
              <w:snapToGrid/>
              <w:spacing w:line="240" w:lineRule="auto"/>
              <w:jc w:val="both"/>
              <w:textAlignment w:val="auto"/>
              <w:rPr>
                <w:rFonts w:hint="eastAsia"/>
                <w:szCs w:val="21"/>
                <w:lang w:val="en-US" w:eastAsia="zh-CN"/>
              </w:rPr>
            </w:pPr>
            <w:r>
              <w:rPr>
                <w:rFonts w:hint="default" w:ascii="Times New Roman" w:hAnsi="Times New Roman" w:cs="Times New Roman"/>
                <w:szCs w:val="21"/>
                <w:lang w:val="en-US" w:eastAsia="zh-CN"/>
              </w:rPr>
              <w:t>注：2×58孔焦炉技术改造工程增设焦炉逸散烟尘收集处理装置，进一步减少焦化工序各污染物无组织排放量，《芜湖新兴铸管有限责任公司2×58孔焦炉技术改造工程环境影响报告书》核算焦化工序卫生防护距离核算为1000m</w:t>
            </w:r>
          </w:p>
        </w:tc>
      </w:tr>
    </w:tbl>
    <w:p>
      <w:pPr>
        <w:pStyle w:val="31"/>
        <w:keepNext w:val="0"/>
        <w:keepLines w:val="0"/>
        <w:pageBreakBefore w:val="0"/>
        <w:kinsoku/>
        <w:wordWrap/>
        <w:bidi w:val="0"/>
        <w:snapToGrid/>
        <w:spacing w:line="360" w:lineRule="auto"/>
        <w:rPr>
          <w:rFonts w:hint="eastAsia" w:cs="Times New Roman"/>
          <w:lang w:eastAsia="zh-CN"/>
        </w:rPr>
      </w:pPr>
    </w:p>
    <w:tbl>
      <w:tblPr>
        <w:tblStyle w:val="21"/>
        <w:tblW w:w="924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1"/>
        <w:gridCol w:w="4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1" w:type="dxa"/>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cs="Times New Roman"/>
                <w:sz w:val="21"/>
                <w:lang w:val="zh-CN"/>
              </w:rPr>
            </w:pPr>
            <w:r>
              <w:rPr>
                <w:rFonts w:cs="Times New Roman"/>
              </w:rPr>
              <w:pict>
                <v:shape id="_x0000_s1046" o:spid="_x0000_s1046" o:spt="3" type="#_x0000_t3" style="position:absolute;left:0pt;margin-left:64.6pt;margin-top:68.25pt;height:63.6pt;width:108pt;z-index:252406784;mso-width-relative:page;mso-height-relative:page;" filled="f" stroked="t" coordsize="21600,21600" o:gfxdata="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LA4nsHbAAAACgEA&#10;AA8AAAAAAAAAAQAgAAAAIgAAAGRycy9kb3ducmV2LnhtbFBLAQIUABQAAAAIAIdO4kDgtntm3gEA&#10;AKMDAAAOAAAAAAAAAAEAIAAAACoBAABkcnMvZTJvRG9jLnhtbFBLBQYAAAAABgAGAFkBAAB6BQAA&#10;AAA=&#10;">
                  <v:path/>
                  <v:fill on="f" focussize="0,0"/>
                  <v:stroke weight="2.25pt" color="#FF0000" joinstyle="round"/>
                  <v:imagedata o:title=""/>
                  <o:lock v:ext="edit" aspectratio="f"/>
                </v:shape>
              </w:pict>
            </w:r>
            <w:r>
              <w:rPr>
                <w:rFonts w:cs="Times New Roman"/>
              </w:rPr>
              <w:drawing>
                <wp:inline distT="0" distB="0" distL="114300" distR="114300">
                  <wp:extent cx="2780030" cy="2084705"/>
                  <wp:effectExtent l="0" t="0" r="1270" b="10795"/>
                  <wp:docPr id="95" name="图片 95" descr="IMG_20190314_09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0190314_090925"/>
                          <pic:cNvPicPr>
                            <a:picLocks noChangeAspect="1"/>
                          </pic:cNvPicPr>
                        </pic:nvPicPr>
                        <pic:blipFill>
                          <a:blip r:embed="rId75"/>
                          <a:stretch>
                            <a:fillRect/>
                          </a:stretch>
                        </pic:blipFill>
                        <pic:spPr>
                          <a:xfrm>
                            <a:off x="0" y="0"/>
                            <a:ext cx="2780030" cy="2084705"/>
                          </a:xfrm>
                          <a:prstGeom prst="rect">
                            <a:avLst/>
                          </a:prstGeom>
                        </pic:spPr>
                      </pic:pic>
                    </a:graphicData>
                  </a:graphic>
                </wp:inline>
              </w:drawing>
            </w:r>
            <w:r>
              <w:rPr>
                <w:rFonts w:cs="Times New Roman"/>
              </w:rPr>
              <w:pict>
                <v:rect id="矩形 292" o:spid="_x0000_s1047" o:spt="1" style="position:absolute;left:0pt;margin-left:40.1pt;margin-top:48.85pt;height:26.25pt;width:30.75pt;z-index:252119040;v-text-anchor:middle;mso-width-relative:page;mso-height-relative:page;" filled="f" stroked="f" coordsize="21600,21600" o:gfxdata="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aQSPZ1QAAAAkBAAAPAAAAAAAAAAEAIAAAACIA&#10;AABkcnMvZG93bnJldi54bWxQSwECFAAUAAAACACHTuJA3rJU7EUCAABiBAAADgAAAAAAAAABACAA&#10;AAAkAQAAZHJzL2Uyb0RvYy54bWxQSwUGAAAAAAYABgBZAQAA2wUAAAAA&#10;">
                  <v:path/>
                  <v:fill on="f" focussize="0,0"/>
                  <v:stroke on="f" weight="1pt" miterlimit="8" joinstyle="miter"/>
                  <v:imagedata o:title=""/>
                  <o:lock v:ext="edit" aspectratio="f"/>
                  <v:textbox>
                    <w:txbxContent>
                      <w:p>
                        <w:pPr>
                          <w:pStyle w:val="35"/>
                          <w:ind w:firstLine="480"/>
                          <w:rPr>
                            <w:color w:val="FF0000"/>
                            <w:sz w:val="24"/>
                            <w:szCs w:val="24"/>
                          </w:rPr>
                        </w:pPr>
                        <w:r>
                          <w:rPr>
                            <w:rStyle w:val="36"/>
                            <w:rFonts w:hint="eastAsia"/>
                            <w:color w:val="FF0000"/>
                            <w:szCs w:val="24"/>
                          </w:rPr>
                          <w:t>F</w:t>
                        </w:r>
                        <w:r>
                          <w:rPr>
                            <w:color w:val="FF0000"/>
                            <w:sz w:val="24"/>
                            <w:szCs w:val="24"/>
                          </w:rPr>
                          <w:t>1</w:t>
                        </w:r>
                      </w:p>
                    </w:txbxContent>
                  </v:textbox>
                </v:rect>
              </w:pict>
            </w:r>
            <w:r>
              <w:rPr>
                <w:rFonts w:cs="Times New Roman"/>
              </w:rPr>
              <w:pict>
                <v:rect id="矩形 293" o:spid="_x0000_s1048" o:spt="1" style="position:absolute;left:0pt;margin-left:171.35pt;margin-top:40.6pt;height:24pt;width:32.25pt;z-index:252120064;v-text-anchor:middle;mso-width-relative:page;mso-height-relative:page;" filled="f" stroked="f" coordsize="21600,21600" o:gfxdata="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ieBxdgAAAAKAQAADwAAAAAAAAABACAA&#10;AAAiAAAAZHJzL2Rvd25yZXYueG1sUEsBAhQAFAAAAAgAh07iQBeb1y9GAgAAYgQAAA4AAAAAAAAA&#10;AQAgAAAAJwEAAGRycy9lMm9Eb2MueG1sUEsFBgAAAAAGAAYAWQEAAN8FAAAAAA==&#10;">
                  <v:path/>
                  <v:fill on="f" focussize="0,0"/>
                  <v:stroke on="f" weight="1pt" miterlimit="8" joinstyle="miter"/>
                  <v:imagedata o:title=""/>
                  <o:lock v:ext="edit" aspectratio="f"/>
                  <v:textbox>
                    <w:txbxContent>
                      <w:p>
                        <w:pPr>
                          <w:pStyle w:val="35"/>
                          <w:ind w:firstLine="480"/>
                          <w:rPr>
                            <w:color w:val="FF0000"/>
                            <w:sz w:val="24"/>
                            <w:szCs w:val="24"/>
                          </w:rPr>
                        </w:pPr>
                        <w:r>
                          <w:rPr>
                            <w:rFonts w:hint="eastAsia"/>
                            <w:color w:val="FF0000"/>
                            <w:sz w:val="24"/>
                            <w:szCs w:val="24"/>
                          </w:rPr>
                          <w:t>F3</w:t>
                        </w:r>
                      </w:p>
                    </w:txbxContent>
                  </v:textbox>
                </v:rect>
              </w:pict>
            </w:r>
          </w:p>
        </w:tc>
        <w:tc>
          <w:tcPr>
            <w:tcW w:w="4622" w:type="dxa"/>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eastAsiaTheme="minorEastAsia"/>
                <w:sz w:val="21"/>
                <w:lang w:val="zh-CN" w:eastAsia="zh-CN"/>
              </w:rPr>
            </w:pPr>
            <w:r>
              <w:rPr>
                <w:rFonts w:cs="Times New Roman"/>
              </w:rPr>
              <w:pict>
                <v:shape id="椭圆 2" o:spid="_x0000_s1049" o:spt="3" type="#_x0000_t3" style="position:absolute;left:0pt;margin-left:45.85pt;margin-top:31.65pt;height:63.6pt;width:108pt;z-index:252115968;mso-width-relative:page;mso-height-relative:page;" filled="f" stroked="t" coordsize="21600,21600" o:gfxdata="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LA4nsHbAAAACgEA&#10;AA8AAAAAAAAAAQAgAAAAIgAAAGRycy9kb3ducmV2LnhtbFBLAQIUABQAAAAIAIdO4kDgtntm3gEA&#10;AKMDAAAOAAAAAAAAAAEAIAAAACoBAABkcnMvZTJvRG9jLnhtbFBLBQYAAAAABgAGAFkBAAB6BQAA&#10;AAA=&#10;">
                  <v:path/>
                  <v:fill on="f" focussize="0,0"/>
                  <v:stroke weight="2.25pt" color="#FF0000" joinstyle="round"/>
                  <v:imagedata o:title=""/>
                  <o:lock v:ext="edit" aspectratio="f"/>
                </v:shape>
              </w:pict>
            </w:r>
            <w:r>
              <w:rPr>
                <w:rFonts w:hint="eastAsia" w:cs="Times New Roman" w:eastAsiaTheme="minorEastAsia"/>
                <w:sz w:val="21"/>
                <w:lang w:val="zh-CN" w:eastAsia="zh-CN"/>
              </w:rPr>
              <w:drawing>
                <wp:inline distT="0" distB="0" distL="114300" distR="114300">
                  <wp:extent cx="2780030" cy="2084705"/>
                  <wp:effectExtent l="0" t="0" r="1270" b="10795"/>
                  <wp:docPr id="96" name="图片 96" descr="IMG_20190314_09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20190314_091141"/>
                          <pic:cNvPicPr>
                            <a:picLocks noChangeAspect="1"/>
                          </pic:cNvPicPr>
                        </pic:nvPicPr>
                        <pic:blipFill>
                          <a:blip r:embed="rId76"/>
                          <a:stretch>
                            <a:fillRect/>
                          </a:stretch>
                        </pic:blipFill>
                        <pic:spPr>
                          <a:xfrm>
                            <a:off x="0" y="0"/>
                            <a:ext cx="2780030" cy="2084705"/>
                          </a:xfrm>
                          <a:prstGeom prst="rect">
                            <a:avLst/>
                          </a:prstGeom>
                        </pic:spPr>
                      </pic:pic>
                    </a:graphicData>
                  </a:graphic>
                </wp:inline>
              </w:drawing>
            </w:r>
          </w:p>
        </w:tc>
      </w:tr>
    </w:tbl>
    <w:p>
      <w:pPr>
        <w:pStyle w:val="31"/>
        <w:keepNext w:val="0"/>
        <w:keepLines w:val="0"/>
        <w:pageBreakBefore w:val="0"/>
        <w:kinsoku/>
        <w:wordWrap/>
        <w:bidi w:val="0"/>
        <w:snapToGrid/>
        <w:spacing w:line="360" w:lineRule="auto"/>
        <w:rPr>
          <w:rFonts w:hint="eastAsia" w:cs="Times New Roman"/>
          <w:lang w:eastAsia="zh-CN"/>
        </w:rPr>
      </w:pPr>
      <w:r>
        <w:rPr>
          <w:rFonts w:hint="eastAsia" w:cs="Times New Roman"/>
          <w:lang w:eastAsia="zh-CN"/>
        </w:rPr>
        <w:t>图</w:t>
      </w:r>
      <w:r>
        <w:rPr>
          <w:rFonts w:hint="eastAsia" w:cs="Times New Roman"/>
          <w:lang w:val="en-US" w:eastAsia="zh-CN"/>
        </w:rPr>
        <w:t>6.1-1</w:t>
      </w:r>
      <w:r>
        <w:rPr>
          <w:rFonts w:cs="Times New Roman"/>
        </w:rPr>
        <w:t xml:space="preserve">  </w:t>
      </w:r>
      <w:r>
        <w:rPr>
          <w:rFonts w:hint="eastAsia" w:cs="Times New Roman"/>
          <w:lang w:eastAsia="zh-CN"/>
        </w:rPr>
        <w:t>焦化工序增设</w:t>
      </w:r>
      <w:r>
        <w:rPr>
          <w:rFonts w:hint="default" w:ascii="Times New Roman" w:hAnsi="Times New Roman" w:cs="Times New Roman"/>
          <w:szCs w:val="21"/>
          <w:lang w:val="en-US" w:eastAsia="zh-CN"/>
        </w:rPr>
        <w:t>焦炉逸散烟尘收集处理</w:t>
      </w:r>
      <w:r>
        <w:rPr>
          <w:rFonts w:hint="eastAsia" w:cs="Times New Roman"/>
          <w:szCs w:val="21"/>
          <w:lang w:val="en-US" w:eastAsia="zh-CN"/>
        </w:rPr>
        <w:t>装置图</w:t>
      </w:r>
    </w:p>
    <w:p>
      <w:pPr>
        <w:keepNext w:val="0"/>
        <w:keepLines w:val="0"/>
        <w:pageBreakBefore w:val="0"/>
        <w:widowControl w:val="0"/>
        <w:kinsoku/>
        <w:wordWrap/>
        <w:overflowPunct/>
        <w:topLinePunct w:val="0"/>
        <w:autoSpaceDE w:val="0"/>
        <w:autoSpaceDN w:val="0"/>
        <w:bidi w:val="0"/>
        <w:adjustRightInd w:val="0"/>
        <w:snapToGrid/>
        <w:spacing w:line="360" w:lineRule="auto"/>
        <w:ind w:firstLine="0" w:firstLineChars="0"/>
        <w:jc w:val="center"/>
        <w:textAlignment w:val="auto"/>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drawing>
          <wp:inline distT="0" distB="0" distL="114300" distR="114300">
            <wp:extent cx="4312285" cy="3996055"/>
            <wp:effectExtent l="0" t="0" r="12065" b="4445"/>
            <wp:docPr id="100" name="图片 100" descr="厂区各工序卫生防护距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厂区各工序卫生防护距离"/>
                    <pic:cNvPicPr>
                      <a:picLocks noChangeAspect="1"/>
                    </pic:cNvPicPr>
                  </pic:nvPicPr>
                  <pic:blipFill>
                    <a:blip r:embed="rId77"/>
                    <a:stretch>
                      <a:fillRect/>
                    </a:stretch>
                  </pic:blipFill>
                  <pic:spPr>
                    <a:xfrm>
                      <a:off x="0" y="0"/>
                      <a:ext cx="4312285" cy="3996055"/>
                    </a:xfrm>
                    <a:prstGeom prst="rect">
                      <a:avLst/>
                    </a:prstGeom>
                  </pic:spPr>
                </pic:pic>
              </a:graphicData>
            </a:graphic>
          </wp:inline>
        </w:drawing>
      </w:r>
    </w:p>
    <w:p>
      <w:pPr>
        <w:pStyle w:val="31"/>
        <w:keepNext w:val="0"/>
        <w:keepLines w:val="0"/>
        <w:pageBreakBefore w:val="0"/>
        <w:kinsoku/>
        <w:wordWrap/>
        <w:bidi w:val="0"/>
        <w:snapToGrid/>
        <w:spacing w:line="360" w:lineRule="auto"/>
        <w:rPr>
          <w:rFonts w:hint="eastAsia" w:cs="Times New Roman"/>
          <w:lang w:eastAsia="zh-CN"/>
        </w:rPr>
      </w:pPr>
      <w:r>
        <w:rPr>
          <w:rFonts w:hint="eastAsia" w:cs="Times New Roman"/>
          <w:lang w:eastAsia="zh-CN"/>
        </w:rPr>
        <w:t>图</w:t>
      </w:r>
      <w:r>
        <w:rPr>
          <w:rFonts w:hint="eastAsia" w:cs="Times New Roman"/>
          <w:lang w:val="en-US" w:eastAsia="zh-CN"/>
        </w:rPr>
        <w:t>6.1-2</w:t>
      </w:r>
      <w:r>
        <w:rPr>
          <w:rFonts w:cs="Times New Roman"/>
        </w:rPr>
        <w:t xml:space="preserve">  </w:t>
      </w:r>
      <w:r>
        <w:rPr>
          <w:rFonts w:hint="eastAsia" w:cs="Times New Roman"/>
          <w:lang w:eastAsia="zh-CN"/>
        </w:rPr>
        <w:t>厂区各工序卫生防护距离包络线图</w:t>
      </w:r>
    </w:p>
    <w:p>
      <w:pPr>
        <w:keepNext w:val="0"/>
        <w:keepLines w:val="0"/>
        <w:pageBreakBefore w:val="0"/>
        <w:widowControl w:val="0"/>
        <w:kinsoku/>
        <w:wordWrap/>
        <w:overflowPunct/>
        <w:topLinePunct w:val="0"/>
        <w:autoSpaceDE w:val="0"/>
        <w:autoSpaceDN w:val="0"/>
        <w:bidi w:val="0"/>
        <w:adjustRightInd w:val="0"/>
        <w:snapToGrid/>
        <w:spacing w:line="360" w:lineRule="auto"/>
        <w:ind w:firstLine="0" w:firstLineChars="0"/>
        <w:jc w:val="center"/>
        <w:textAlignment w:val="auto"/>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drawing>
          <wp:inline distT="0" distB="0" distL="114300" distR="114300">
            <wp:extent cx="4236720" cy="3960495"/>
            <wp:effectExtent l="0" t="0" r="11430" b="1905"/>
            <wp:docPr id="101" name="图片 101" descr="厂区大气环境防护距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厂区大气环境防护距离"/>
                    <pic:cNvPicPr>
                      <a:picLocks noChangeAspect="1"/>
                    </pic:cNvPicPr>
                  </pic:nvPicPr>
                  <pic:blipFill>
                    <a:blip r:embed="rId78"/>
                    <a:stretch>
                      <a:fillRect/>
                    </a:stretch>
                  </pic:blipFill>
                  <pic:spPr>
                    <a:xfrm>
                      <a:off x="0" y="0"/>
                      <a:ext cx="4236720" cy="3960495"/>
                    </a:xfrm>
                    <a:prstGeom prst="rect">
                      <a:avLst/>
                    </a:prstGeom>
                  </pic:spPr>
                </pic:pic>
              </a:graphicData>
            </a:graphic>
          </wp:inline>
        </w:drawing>
      </w:r>
    </w:p>
    <w:p>
      <w:pPr>
        <w:pStyle w:val="31"/>
        <w:keepNext w:val="0"/>
        <w:keepLines w:val="0"/>
        <w:pageBreakBefore w:val="0"/>
        <w:kinsoku/>
        <w:wordWrap/>
        <w:bidi w:val="0"/>
        <w:snapToGrid/>
        <w:spacing w:line="360" w:lineRule="auto"/>
        <w:rPr>
          <w:rFonts w:hint="eastAsia" w:cs="Times New Roman"/>
          <w:lang w:eastAsia="zh-CN"/>
        </w:rPr>
      </w:pPr>
      <w:r>
        <w:rPr>
          <w:rFonts w:hint="eastAsia" w:cs="Times New Roman"/>
          <w:lang w:eastAsia="zh-CN"/>
        </w:rPr>
        <w:t>图</w:t>
      </w:r>
      <w:r>
        <w:rPr>
          <w:rFonts w:hint="eastAsia" w:cs="Times New Roman"/>
          <w:lang w:val="en-US" w:eastAsia="zh-CN"/>
        </w:rPr>
        <w:t>6.1-3</w:t>
      </w:r>
      <w:r>
        <w:rPr>
          <w:rFonts w:cs="Times New Roman"/>
        </w:rPr>
        <w:t xml:space="preserve">  </w:t>
      </w:r>
      <w:r>
        <w:rPr>
          <w:rFonts w:hint="eastAsia" w:cs="Times New Roman"/>
          <w:lang w:eastAsia="zh-CN"/>
        </w:rPr>
        <w:t>厂区大气环境防护距离包络线图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根据计算结果，</w:t>
      </w:r>
      <w:r>
        <w:rPr>
          <w:rFonts w:hint="eastAsia" w:ascii="Times New Roman" w:hAnsi="Times New Roman" w:eastAsia="宋体" w:cs="Times New Roman"/>
          <w:bCs/>
          <w:sz w:val="24"/>
          <w:szCs w:val="24"/>
          <w:lang w:eastAsia="zh-CN"/>
        </w:rPr>
        <w:t>最终</w:t>
      </w:r>
      <w:r>
        <w:rPr>
          <w:rFonts w:ascii="Times New Roman" w:hAnsi="Times New Roman" w:eastAsia="宋体" w:cs="Times New Roman"/>
          <w:bCs/>
          <w:sz w:val="24"/>
          <w:szCs w:val="24"/>
        </w:rPr>
        <w:t>确定</w:t>
      </w:r>
      <w:r>
        <w:rPr>
          <w:rFonts w:hint="eastAsia" w:ascii="Times New Roman" w:hAnsi="Times New Roman" w:eastAsia="宋体" w:cs="Times New Roman"/>
          <w:bCs/>
          <w:sz w:val="24"/>
          <w:szCs w:val="24"/>
          <w:lang w:eastAsia="zh-CN"/>
        </w:rPr>
        <w:t>厂区目前大气环境</w:t>
      </w:r>
      <w:r>
        <w:rPr>
          <w:rFonts w:ascii="Times New Roman" w:hAnsi="Times New Roman" w:eastAsia="宋体" w:cs="Times New Roman"/>
          <w:bCs/>
          <w:sz w:val="24"/>
          <w:szCs w:val="24"/>
        </w:rPr>
        <w:t>防护距离以焦炉外扩1000m、高炉外扩1200m范围的</w:t>
      </w:r>
      <w:r>
        <w:rPr>
          <w:rFonts w:hint="eastAsia" w:ascii="Times New Roman" w:hAnsi="Times New Roman" w:eastAsia="宋体" w:cs="Times New Roman"/>
          <w:bCs/>
          <w:sz w:val="24"/>
          <w:szCs w:val="24"/>
        </w:rPr>
        <w:t>包络线。根据测绘图，距离最近的华电小区离防护距离为</w:t>
      </w:r>
      <w:r>
        <w:rPr>
          <w:rFonts w:hint="eastAsia" w:ascii="Times New Roman" w:hAnsi="Times New Roman" w:eastAsia="宋体" w:cs="Times New Roman"/>
          <w:bCs/>
          <w:sz w:val="24"/>
          <w:szCs w:val="24"/>
          <w:lang w:val="en-US" w:eastAsia="zh-CN"/>
        </w:rPr>
        <w:t>1020</w:t>
      </w:r>
      <w:r>
        <w:rPr>
          <w:rFonts w:hint="eastAsia" w:ascii="Times New Roman" w:hAnsi="Times New Roman" w:eastAsia="宋体" w:cs="Times New Roman"/>
          <w:bCs/>
          <w:sz w:val="24"/>
          <w:szCs w:val="24"/>
        </w:rPr>
        <w:t>m，因此</w:t>
      </w:r>
      <w:r>
        <w:rPr>
          <w:rFonts w:ascii="Times New Roman" w:hAnsi="Times New Roman" w:eastAsia="宋体" w:cs="Times New Roman"/>
          <w:bCs/>
          <w:sz w:val="24"/>
          <w:szCs w:val="24"/>
        </w:rPr>
        <w:t>防护距离范围内不涉及居民区，满足《环境影响评价技术导则 大气环境》</w:t>
      </w:r>
      <w:r>
        <w:rPr>
          <w:rFonts w:hint="eastAsia" w:ascii="Times New Roman" w:hAnsi="Times New Roman" w:eastAsia="宋体" w:cs="Times New Roman"/>
          <w:bCs/>
          <w:sz w:val="24"/>
          <w:szCs w:val="24"/>
          <w:lang w:val="en-US" w:eastAsia="zh-CN"/>
        </w:rPr>
        <w:t>8.7.5.3</w:t>
      </w:r>
      <w:r>
        <w:rPr>
          <w:rFonts w:ascii="Times New Roman" w:hAnsi="Times New Roman" w:eastAsia="宋体" w:cs="Times New Roman"/>
          <w:bCs/>
          <w:sz w:val="24"/>
          <w:szCs w:val="24"/>
        </w:rPr>
        <w:t>“大气防护距离内不应有长期居住的人群”的管理要求。</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6.2水环境影响分析</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6.2.1搬迁项目（现状评价）地表水环境影响分析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芜湖新兴铸管有限责任公司搬迁技术改造项目现状评价》中环境影响预测过程：搬迁项目生产用水经各生产工序的水处理设施处理后大部分循环使用，少量排水排入全厂综合污水处理中心；各车间生活设施产生的生活污水，经化粪池处理后进入全厂综合污水处理中心，经统一处理后的水全部作为各生产用户的生产补充水使用，无生产废水、生活污水外排。搬迁项目不向环境水体排放废污水，因此没有对周边地表水环境产生污染影响。</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搬迁项目做到废水“零”排放的关键在于：①源头控制，采用无水或少水工艺，从源头减少水量；②全厂各生产工序设有独立的水处理系统和设施，根据水质不同采用清浊分流；③全厂设有综合废水处理站，对生产废水和生活污水采用合理的处理工艺，并设深度除盐系统，出水分质回用于生产系统，提高了水的循环利用率；④对焦化初期雨水、事故排水进行收集处理，避免对周边地表水环境造成影响。</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6.2.2后评价地表水环境影响分析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本后评价阶段，厂区生产废水经处理后回用于各生产单元，均不外排；生活污水经污水处理站处理后，与处理后的生产废水一起回用。</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6.2.2.1现有厂区各废水控制措施分析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各生产单元生产废水治理措施分述如下。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（1）原料场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原料场料堆喷洒用水及各转运站清扫用水，均为间断用水。其中原料场喷洒水经料堆吸收和蒸发、转运站清扫用水经地面渗吸后无废水外排。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原料场周围设有雨水沟，雨水经雨水沟收集、沉淀池沉淀后排放。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（2）石灰窑</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石灰焙烧生产用水主要为设备间接冷却水，经冷却塔冷却后循环使用，不外排。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（3）烧结</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2×265m</w:t>
      </w:r>
      <w:r>
        <w:rPr>
          <w:rFonts w:ascii="Times New Roman" w:hAnsi="Times New Roman" w:eastAsia="宋体" w:cs="Times New Roman"/>
          <w:bCs/>
          <w:sz w:val="24"/>
          <w:szCs w:val="24"/>
          <w:vertAlign w:val="superscript"/>
        </w:rPr>
        <w:t>2</w:t>
      </w:r>
      <w:r>
        <w:rPr>
          <w:rFonts w:ascii="Times New Roman" w:hAnsi="Times New Roman" w:eastAsia="宋体" w:cs="Times New Roman"/>
          <w:bCs/>
          <w:sz w:val="24"/>
          <w:szCs w:val="24"/>
        </w:rPr>
        <w:t>烧结机产生的废水主要为工艺设备间接冷却水的少量排水、地面冲洗水、脱硫废水。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设备的间接冷却水经冷却塔冷却后循环使用，为保证水质稳定，少量排水排入全厂综合污水处理站统一处理；车间少量地面冲洗水，经地面渗吸后损耗，无废水排放；烧结烟气脱硫系统产生的脱硫废水，经沉淀处理后排入全厂综合污水处理中心进行统一处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（4）焦化</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煤气净化采用蒸氨工艺，由此降低最终排出污水中氨的浓度。</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采用煤气横管初冷工艺，减少污水排放量。</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煤气预冷塔浊循环系统排污水、粗苯蒸馏工段各分离器及油槽产生的少量分离水、各生产工段地下放空槽放空液等集中送至机械化氨水分离槽，不外排。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蒸氨塔排出的蒸氨废水、地坪冲洗水等，含有酚、氰等污染物，集中后统一送酚氰废水处理站处理，酚氰废水处理站处理能力为100m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/h。</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酚氰废水处理站处理工艺采用的是“预处理+废水生化处理+混凝沉淀处理”联合处理工艺，并设有污泥处理系统。污水先经调节、除油、浮选、稀释等一系列预处理后，送入生物处理系统(A/A/O)，除去污水中所含COD、酚、氰、氨氮等污染物，最后再经混凝沉淀深度净化处理，进一步去除污水中COD和SS。出水全部送高炉冲渣及烧结配料使用，不排入环境。</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为防止事故溢流造成污染，设有大容积的氨水贮槽及事故贮槽，以适应一般事故的贮存和调节。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厂区已于2018年对焦化酚氰废水处理工艺进行升级提标改造，在现有焦化酚氰废水预处理工序后面新增1套XL-强化预处理系统（AS装置），将现有焦化废水处理的曝气头全部更换为XL-H悬插管式曝气装置；在现有焦化废水处理站最终出水处扩建1套100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/h的焦化废水中水处理系统，年产再生水57.6万t。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当干熄焦系统检修时，采用备用湿熄焦系统。湿法熄焦产生的废水含有大量焦粉，由于熄焦用水对水质要求不高，废水经沉淀后即可循环使用，不外排。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（5）炼铁</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高炉水冲渣产生的冲渣水，经沉淀、冷却后循环使用，该系统为亏水运行，无废水外排。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铸铁机仅在炼钢发生事故时使用，铸铁机冷却水经平流沉淀池沉淀后循环使用，该系统亦为亏水运行，无废水外排。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（6）铸管</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水压试验、水泥砂浆制备和水泥涂衬、设备冲洗水产生的废水，主要污染物为pH和SS。废水经混凝沉淀处理后循环使用，少量废水排入全厂综合污水处理站。</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三乙胺尾气净化喷淋产生的废水排入全厂综合污水处理站。</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（7）炼钢</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转炉煤气冷却器喷水冷却产生的含少量悬浮物废水，经浅层过滤器过滤、冷却塔降温后循环使用。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RH真空处理装置产生的含少量SS废水，经过滤、冷却后循环使用。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连铸坯二次喷淋冷却、冲氧化铁皮等用水，使用后不仅水温升高，而且受到氧化铁皮及油的污染，经一次铁皮沉淀池沉淀，除去大块铁皮后，部分返回冲铁皮，其余部分送化学除油器进一步去除细小铁皮和油，再经高速过滤器过滤、冷却塔冷却后循环使用。过滤器反洗水进入泥浆浓缩池，上清水返回沉淀池。</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（8）轧钢</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highlight w:val="none"/>
          <w:lang w:eastAsia="zh-CN"/>
        </w:rPr>
        <w:t>厂区共</w:t>
      </w:r>
      <w:r>
        <w:rPr>
          <w:rFonts w:hint="eastAsia" w:ascii="Times New Roman" w:hAnsi="Times New Roman" w:eastAsia="宋体" w:cs="Times New Roman"/>
          <w:bCs/>
          <w:sz w:val="24"/>
          <w:szCs w:val="24"/>
          <w:highlight w:val="none"/>
          <w:lang w:val="en-US" w:eastAsia="zh-CN"/>
        </w:rPr>
        <w:t>5套</w:t>
      </w:r>
      <w:r>
        <w:rPr>
          <w:rFonts w:ascii="Times New Roman" w:hAnsi="Times New Roman" w:eastAsia="宋体" w:cs="Times New Roman"/>
          <w:bCs/>
          <w:sz w:val="24"/>
          <w:szCs w:val="24"/>
          <w:highlight w:val="none"/>
        </w:rPr>
        <w:t>热轧棒/线</w:t>
      </w:r>
      <w:r>
        <w:rPr>
          <w:rFonts w:ascii="Times New Roman" w:hAnsi="Times New Roman" w:eastAsia="宋体" w:cs="Times New Roman"/>
          <w:bCs/>
          <w:sz w:val="24"/>
          <w:szCs w:val="24"/>
        </w:rPr>
        <w:t>材生产线</w:t>
      </w:r>
      <w:r>
        <w:rPr>
          <w:rFonts w:hint="eastAsia" w:ascii="Times New Roman" w:hAnsi="Times New Roman" w:eastAsia="宋体" w:cs="Times New Roman"/>
          <w:bCs/>
          <w:sz w:val="24"/>
          <w:szCs w:val="24"/>
          <w:lang w:eastAsia="zh-CN"/>
        </w:rPr>
        <w:t>，</w:t>
      </w:r>
      <w:r>
        <w:rPr>
          <w:rFonts w:hint="eastAsia" w:ascii="Times New Roman" w:hAnsi="Times New Roman" w:eastAsia="宋体" w:cs="Times New Roman"/>
          <w:bCs/>
          <w:sz w:val="24"/>
          <w:szCs w:val="24"/>
          <w:highlight w:val="none"/>
          <w:lang w:eastAsia="zh-CN"/>
        </w:rPr>
        <w:t>根据客户需求，</w:t>
      </w:r>
      <w:r>
        <w:rPr>
          <w:rFonts w:ascii="Times New Roman" w:hAnsi="Times New Roman" w:eastAsia="宋体" w:cs="Times New Roman"/>
          <w:bCs/>
          <w:sz w:val="24"/>
          <w:szCs w:val="24"/>
          <w:highlight w:val="none"/>
        </w:rPr>
        <w:t>现有</w:t>
      </w:r>
      <w:r>
        <w:rPr>
          <w:rFonts w:hint="eastAsia" w:ascii="Times New Roman" w:hAnsi="Times New Roman" w:eastAsia="宋体" w:cs="Times New Roman"/>
          <w:bCs/>
          <w:sz w:val="24"/>
          <w:szCs w:val="24"/>
          <w:highlight w:val="none"/>
          <w:lang w:eastAsia="zh-CN"/>
        </w:rPr>
        <w:t>在线生产的</w:t>
      </w:r>
      <w:r>
        <w:rPr>
          <w:rFonts w:ascii="Times New Roman" w:hAnsi="Times New Roman" w:eastAsia="宋体" w:cs="Times New Roman"/>
          <w:bCs/>
          <w:sz w:val="24"/>
          <w:szCs w:val="24"/>
          <w:highlight w:val="none"/>
        </w:rPr>
        <w:t>4套热轧棒/线</w:t>
      </w:r>
      <w:r>
        <w:rPr>
          <w:rFonts w:ascii="Times New Roman" w:hAnsi="Times New Roman" w:eastAsia="宋体" w:cs="Times New Roman"/>
          <w:bCs/>
          <w:sz w:val="24"/>
          <w:szCs w:val="24"/>
        </w:rPr>
        <w:t>材生产线</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生产废水性质相同，采用相同处理工艺，各生产线分别设有各自废水处理设施，其处理流程如下：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轧辊冷却、高压水除鳞、冲氧化铁皮等用水，使用后含有氧化铁皮和油，该废水经铁皮沟进入废水处理设施，经旋流沉淀池、二次平流沉淀池沉淀，高速过滤器过滤，冷却塔冷却后循环使用。过滤器反洗水进入泥浆浓缩池，浓缩池上清水返回沉淀池。</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（9）矿渣微粉生产线</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高炉水渣在渣场沥干过程中产生的废水汇集沉淀池中，经沉淀处理后送到高炉冲渣水循环系统中作为冲渣水的补充水使用，不外排。立磨减速机、磨轴、除尘器风机等设备间接冷却水，经冷却塔冷却后循环使用。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（10）其他</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全厂煤气管线排水器排出的含有少量酚、氰等有害物质的煤气冷凝水，收集在专用集水坑内，定期抽送至焦化酚氰废水处理站集中处理。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焦炉、高炉煤气柜进出口水封室产生的少量含酚、氰和油的废水，经集水池收集后，定期送至焦化酚氰废水处理站集中处理。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各生产工序排出的生产废水除焦化酚氰废水外，其它全部进入全厂污水综合处理站统一处理后全部回用，不外排。酚氰废水经酚氰废水处理站处理后，全部送至高炉水冲渣和烧结配料，不外排。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软水站、除盐水站制水产生的浓盐水用于原料场喷洒、转炉焖渣和高炉水冲渣。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全厂各生活设施排出的生活污水，主要为生活、淋浴、食堂等排水，送全厂综合污水处理站统一处理后回用于生产系统，不外排。</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6.2.2.2全厂综合污水处理站概述分析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（1）工艺流程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厂区</w:t>
      </w:r>
      <w:r>
        <w:rPr>
          <w:rFonts w:hint="eastAsia" w:ascii="Times New Roman" w:hAnsi="Times New Roman" w:eastAsia="宋体" w:cs="Times New Roman"/>
          <w:bCs/>
          <w:sz w:val="24"/>
          <w:szCs w:val="24"/>
        </w:rPr>
        <w:t>内</w:t>
      </w:r>
      <w:r>
        <w:rPr>
          <w:rFonts w:ascii="Times New Roman" w:hAnsi="Times New Roman" w:eastAsia="宋体" w:cs="Times New Roman"/>
          <w:bCs/>
          <w:sz w:val="24"/>
          <w:szCs w:val="24"/>
        </w:rPr>
        <w:t>建有1座全厂综合污水处理站，包括生产废水综合物化处理系统、深度除盐处理系统，其中生产废水处理能力850m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/h，深度除盐系统处理能力150m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/h。各生产工序排出的生产废水（除焦化区废水外）及生活污水经全厂综合污水处理站处理后全部回用于生产。</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a.生产废水综合物化处理系统</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废水经格栅进入调节池与经</w:t>
      </w:r>
      <w:r>
        <w:rPr>
          <w:rFonts w:hint="eastAsia" w:ascii="Times New Roman" w:hAnsi="Times New Roman" w:eastAsia="宋体" w:cs="Times New Roman"/>
          <w:bCs/>
          <w:sz w:val="24"/>
          <w:szCs w:val="24"/>
          <w:lang w:eastAsia="zh-CN"/>
        </w:rPr>
        <w:t>化粪池</w:t>
      </w:r>
      <w:r>
        <w:rPr>
          <w:rFonts w:ascii="Times New Roman" w:hAnsi="Times New Roman" w:eastAsia="宋体" w:cs="Times New Roman"/>
          <w:bCs/>
          <w:sz w:val="24"/>
          <w:szCs w:val="24"/>
        </w:rPr>
        <w:t>处理后的生活污水混合，由潜污泵提升至混凝池，投加混凝剂、石灰（去除暂硬），再进入絮凝池，投加絮凝剂，采用机械搅拌进行混合反应后，进入高效澄清池，经沉淀分离后的水进入出水槽，投加硫酸调整pH到7~8.5，再进入滤池进行过滤，经消毒剂消毒后，滤池出水进入回用水池，大部分经供水泵加压送至厂区回用水管网，作为原料场抑尘、烧结皮带除尘、地坪冲洗、高炉冲渣、炼钢/轧钢浊环水系统补水、铸管沙浆制备系统补水等；其余部分进入深度除盐处理系统，制备除盐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生产废水综合物化处理系统工艺配备污水调节池1座、混凝池1座、高效澄清池2座、pH调节池1座、滤池4座、反冲洗水池1座。</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高效澄清池底部沉淀泥浆送入污泥处理系统处理，泥浆用泵送至污泥脱水间调节池，通过给料泵，送至压滤机进行脱水。压滤机滤液和冲洗水通过生产排水管自流返回至生产污水调节池进行处理。该套工艺配备污泥调节池2座、压滤机2台。</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生产废水处理系统工艺流程见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_Ref486237178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图6.2-1</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，污泥处理系统见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_Ref486237183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.2-2。</w:t>
      </w:r>
    </w:p>
    <w:p>
      <w:pPr>
        <w:keepNext w:val="0"/>
        <w:keepLines w:val="0"/>
        <w:pageBreakBefore w:val="0"/>
        <w:kinsoku/>
        <w:wordWrap/>
        <w:autoSpaceDE w:val="0"/>
        <w:autoSpaceDN w:val="0"/>
        <w:bidi w:val="0"/>
        <w:adjustRightInd w:val="0"/>
        <w:snapToGrid/>
        <w:spacing w:line="360" w:lineRule="auto"/>
        <w:ind w:left="-420" w:leftChars="-200"/>
        <w:jc w:val="center"/>
        <w:rPr>
          <w:rFonts w:ascii="Times New Roman" w:hAnsi="Times New Roman" w:eastAsia="宋体" w:cs="Times New Roman"/>
          <w:bCs/>
          <w:sz w:val="24"/>
          <w:szCs w:val="24"/>
        </w:rPr>
      </w:pPr>
      <w:r>
        <w:rPr>
          <w:rFonts w:ascii="Times New Roman" w:hAnsi="Times New Roman" w:eastAsia="宋体" w:cs="Times New Roman"/>
          <w:bCs/>
          <w:sz w:val="24"/>
          <w:szCs w:val="24"/>
        </w:rPr>
        <w:object>
          <v:shape id="_x0000_i1044" o:spt="75" type="#_x0000_t75" style="height:232.8pt;width:504.6pt;" o:ole="t" filled="f" o:preferrelative="t" stroked="f" coordsize="21600,21600">
            <v:path/>
            <v:fill on="f" focussize="0,0"/>
            <v:stroke on="f" joinstyle="miter"/>
            <v:imagedata r:id="rId80" o:title=""/>
            <o:lock v:ext="edit" aspectratio="t"/>
            <w10:wrap type="none"/>
            <w10:anchorlock/>
          </v:shape>
          <o:OLEObject Type="Embed" ProgID="RFFlow4" ShapeID="_x0000_i1044" DrawAspect="Content" ObjectID="_1468075744" r:id="rId79">
            <o:LockedField>false</o:LockedField>
          </o:OLEObject>
        </w:object>
      </w:r>
    </w:p>
    <w:p>
      <w:pPr>
        <w:pStyle w:val="31"/>
        <w:keepNext w:val="0"/>
        <w:keepLines w:val="0"/>
        <w:pageBreakBefore w:val="0"/>
        <w:kinsoku/>
        <w:wordWrap/>
        <w:bidi w:val="0"/>
        <w:snapToGrid/>
        <w:spacing w:line="360" w:lineRule="auto"/>
        <w:rPr>
          <w:rFonts w:cs="Times New Roman"/>
        </w:rPr>
      </w:pPr>
      <w:r>
        <w:rPr>
          <w:rFonts w:cs="Times New Roman"/>
        </w:rPr>
        <w:t>图6.2-1  生产废水处理系统工艺流程</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object>
          <v:shape id="_x0000_i1045" o:spt="75" type="#_x0000_t75" style="height:39.6pt;width:334.8pt;" o:ole="t" filled="f" o:preferrelative="t" stroked="f" coordsize="21600,21600">
            <v:path/>
            <v:fill on="f" focussize="0,0"/>
            <v:stroke on="f" joinstyle="miter"/>
            <v:imagedata r:id="rId82" o:title=""/>
            <o:lock v:ext="edit" aspectratio="t"/>
            <w10:wrap type="none"/>
            <w10:anchorlock/>
          </v:shape>
          <o:OLEObject Type="Embed" ProgID="RFFlow4" ShapeID="_x0000_i1045" DrawAspect="Content" ObjectID="_1468075745" r:id="rId81">
            <o:LockedField>false</o:LockedField>
          </o:OLEObject>
        </w:object>
      </w:r>
    </w:p>
    <w:p>
      <w:pPr>
        <w:pStyle w:val="31"/>
        <w:keepNext w:val="0"/>
        <w:keepLines w:val="0"/>
        <w:pageBreakBefore w:val="0"/>
        <w:kinsoku/>
        <w:wordWrap/>
        <w:bidi w:val="0"/>
        <w:snapToGrid/>
        <w:spacing w:line="360" w:lineRule="auto"/>
        <w:rPr>
          <w:rFonts w:cs="Times New Roman"/>
        </w:rPr>
      </w:pPr>
      <w:r>
        <w:rPr>
          <w:rFonts w:cs="Times New Roman"/>
        </w:rPr>
        <w:t>图6.2-2  污泥处理系统工艺流程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b.深度除盐处理系统</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深度除盐处理统采用超滤+反渗透（UF+RO）双膜法工艺，污水经超滤装置预处理后，渗透液进入反渗透装置进一步脱盐、去污，制备成除盐水，同时产生浓盐水经专用管道送至原料场洒水、炼铁浊环系统、转炉炼钢焖渣。深度除盐处理系统工艺及浓水反渗透系统工艺流程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_Ref486237198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.2-3。</w:t>
      </w:r>
    </w:p>
    <w:p>
      <w:pPr>
        <w:keepNext w:val="0"/>
        <w:keepLines w:val="0"/>
        <w:pageBreakBefore w:val="0"/>
        <w:kinsoku/>
        <w:wordWrap/>
        <w:autoSpaceDE w:val="0"/>
        <w:autoSpaceDN w:val="0"/>
        <w:bidi w:val="0"/>
        <w:adjustRightInd w:val="0"/>
        <w:snapToGrid/>
        <w:spacing w:line="360" w:lineRule="auto"/>
        <w:ind w:left="-630" w:leftChars="-300"/>
        <w:jc w:val="center"/>
        <w:rPr>
          <w:rFonts w:ascii="Times New Roman" w:hAnsi="Times New Roman" w:eastAsia="宋体" w:cs="Times New Roman"/>
          <w:bCs/>
          <w:sz w:val="24"/>
          <w:szCs w:val="24"/>
        </w:rPr>
      </w:pPr>
      <w:r>
        <w:rPr>
          <w:rFonts w:ascii="Times New Roman" w:hAnsi="Times New Roman" w:eastAsia="宋体" w:cs="Times New Roman"/>
          <w:bCs/>
          <w:sz w:val="24"/>
          <w:szCs w:val="24"/>
        </w:rPr>
        <w:object>
          <v:shape id="_x0000_i1046" o:spt="75" type="#_x0000_t75" style="height:175.8pt;width:516pt;" o:ole="t" filled="f" o:preferrelative="t" stroked="f" coordsize="21600,21600">
            <v:path/>
            <v:fill on="f" focussize="0,0"/>
            <v:stroke on="f" joinstyle="miter"/>
            <v:imagedata r:id="rId84" o:title=""/>
            <o:lock v:ext="edit" aspectratio="t"/>
            <w10:wrap type="none"/>
            <w10:anchorlock/>
          </v:shape>
          <o:OLEObject Type="Embed" ProgID="RFFlow4" ShapeID="_x0000_i1046" DrawAspect="Content" ObjectID="_1468075746" r:id="rId83">
            <o:LockedField>false</o:LockedField>
          </o:OLEObject>
        </w:object>
      </w:r>
    </w:p>
    <w:p>
      <w:pPr>
        <w:pStyle w:val="31"/>
        <w:keepNext w:val="0"/>
        <w:keepLines w:val="0"/>
        <w:pageBreakBefore w:val="0"/>
        <w:kinsoku/>
        <w:wordWrap/>
        <w:bidi w:val="0"/>
        <w:snapToGrid/>
        <w:spacing w:line="360" w:lineRule="auto"/>
        <w:rPr>
          <w:rFonts w:cs="Times New Roman"/>
        </w:rPr>
      </w:pPr>
      <w:r>
        <w:rPr>
          <w:rFonts w:cs="Times New Roman"/>
        </w:rPr>
        <w:t>图6.2-3  深度除盐处理系统工艺流程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（2）全厂综合污水处理站进出水水质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根据安徽世标检测技术有限公司2019年</w:t>
      </w:r>
      <w:r>
        <w:rPr>
          <w:rFonts w:hint="eastAsia" w:ascii="Times New Roman" w:hAnsi="Times New Roman" w:eastAsia="宋体" w:cs="Times New Roman"/>
          <w:bCs/>
          <w:sz w:val="24"/>
          <w:szCs w:val="24"/>
        </w:rPr>
        <w:t>4</w:t>
      </w:r>
      <w:r>
        <w:rPr>
          <w:rFonts w:ascii="Times New Roman" w:hAnsi="Times New Roman" w:eastAsia="宋体" w:cs="Times New Roman"/>
          <w:bCs/>
          <w:sz w:val="24"/>
          <w:szCs w:val="24"/>
        </w:rPr>
        <w:t>月8日对全厂综合污水处理站出水水质进行了监测，其结果见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_Ref486318760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w:t>
      </w:r>
      <w:r>
        <w:rPr>
          <w:rFonts w:hint="eastAsia" w:ascii="Times New Roman" w:hAnsi="Times New Roman" w:eastAsia="宋体" w:cs="Times New Roman"/>
          <w:bCs/>
          <w:sz w:val="24"/>
          <w:szCs w:val="24"/>
        </w:rPr>
        <w:t>1</w:t>
      </w:r>
      <w:r>
        <w:rPr>
          <w:rFonts w:ascii="Times New Roman" w:hAnsi="Times New Roman" w:eastAsia="宋体" w:cs="Times New Roman"/>
          <w:bCs/>
          <w:sz w:val="24"/>
          <w:szCs w:val="24"/>
        </w:rPr>
        <w:t>。</w:t>
      </w:r>
    </w:p>
    <w:p>
      <w:pPr>
        <w:pStyle w:val="31"/>
        <w:keepNext w:val="0"/>
        <w:keepLines w:val="0"/>
        <w:pageBreakBefore w:val="0"/>
        <w:kinsoku/>
        <w:wordWrap/>
        <w:bidi w:val="0"/>
        <w:snapToGrid/>
        <w:spacing w:line="360" w:lineRule="auto"/>
        <w:rPr>
          <w:rFonts w:cs="Times New Roman"/>
        </w:rPr>
      </w:pPr>
      <w:r>
        <w:rPr>
          <w:rFonts w:cs="Times New Roman"/>
        </w:rPr>
        <w:t xml:space="preserve">表6.2-1  </w:t>
      </w:r>
      <w:r>
        <w:rPr>
          <w:rFonts w:hint="eastAsia" w:cs="Times New Roman"/>
        </w:rPr>
        <w:t>现有厂区</w:t>
      </w:r>
      <w:r>
        <w:rPr>
          <w:rFonts w:cs="Times New Roman"/>
        </w:rPr>
        <w:t>综合污水处理站出水水质</w:t>
      </w:r>
      <w:r>
        <w:rPr>
          <w:rFonts w:hint="eastAsia" w:cs="Times New Roman"/>
        </w:rPr>
        <w:t>监测结果一览表</w:t>
      </w:r>
    </w:p>
    <w:tbl>
      <w:tblPr>
        <w:tblStyle w:val="21"/>
        <w:tblW w:w="9071" w:type="dxa"/>
        <w:jc w:val="center"/>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2"/>
        <w:gridCol w:w="657"/>
        <w:gridCol w:w="987"/>
        <w:gridCol w:w="1177"/>
        <w:gridCol w:w="834"/>
        <w:gridCol w:w="868"/>
        <w:gridCol w:w="1071"/>
        <w:gridCol w:w="867"/>
        <w:gridCol w:w="950"/>
        <w:gridCol w:w="9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672"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b/>
                <w:bCs/>
                <w:szCs w:val="21"/>
              </w:rPr>
              <w:t>监测</w:t>
            </w:r>
          </w:p>
          <w:p>
            <w:pPr>
              <w:pStyle w:val="41"/>
              <w:keepNext w:val="0"/>
              <w:keepLines w:val="0"/>
              <w:pageBreakBefore w:val="0"/>
              <w:kinsoku/>
              <w:wordWrap/>
              <w:bidi w:val="0"/>
              <w:snapToGrid/>
              <w:spacing w:line="240" w:lineRule="auto"/>
              <w:rPr>
                <w:b/>
                <w:bCs/>
                <w:szCs w:val="21"/>
              </w:rPr>
            </w:pPr>
            <w:r>
              <w:rPr>
                <w:b/>
                <w:bCs/>
                <w:szCs w:val="21"/>
              </w:rPr>
              <w:t>位置</w:t>
            </w:r>
          </w:p>
        </w:tc>
        <w:tc>
          <w:tcPr>
            <w:tcW w:w="657"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b/>
                <w:bCs/>
                <w:szCs w:val="21"/>
              </w:rPr>
              <w:t>监测</w:t>
            </w:r>
          </w:p>
          <w:p>
            <w:pPr>
              <w:pStyle w:val="41"/>
              <w:keepNext w:val="0"/>
              <w:keepLines w:val="0"/>
              <w:pageBreakBefore w:val="0"/>
              <w:kinsoku/>
              <w:wordWrap/>
              <w:bidi w:val="0"/>
              <w:snapToGrid/>
              <w:spacing w:line="240" w:lineRule="auto"/>
              <w:rPr>
                <w:b/>
                <w:bCs/>
                <w:szCs w:val="21"/>
              </w:rPr>
            </w:pPr>
            <w:r>
              <w:rPr>
                <w:b/>
                <w:bCs/>
                <w:szCs w:val="21"/>
              </w:rPr>
              <w:t>时间</w:t>
            </w:r>
          </w:p>
        </w:tc>
        <w:tc>
          <w:tcPr>
            <w:tcW w:w="987"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b/>
                <w:bCs/>
                <w:szCs w:val="21"/>
              </w:rPr>
              <w:t>监测</w:t>
            </w:r>
          </w:p>
          <w:p>
            <w:pPr>
              <w:pStyle w:val="41"/>
              <w:keepNext w:val="0"/>
              <w:keepLines w:val="0"/>
              <w:pageBreakBefore w:val="0"/>
              <w:kinsoku/>
              <w:wordWrap/>
              <w:bidi w:val="0"/>
              <w:snapToGrid/>
              <w:spacing w:line="240" w:lineRule="auto"/>
              <w:rPr>
                <w:b/>
                <w:bCs/>
                <w:szCs w:val="21"/>
              </w:rPr>
            </w:pPr>
            <w:r>
              <w:rPr>
                <w:b/>
                <w:bCs/>
                <w:szCs w:val="21"/>
              </w:rPr>
              <w:t>频次</w:t>
            </w:r>
          </w:p>
        </w:tc>
        <w:tc>
          <w:tcPr>
            <w:tcW w:w="6755" w:type="dxa"/>
            <w:gridSpan w:val="7"/>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b/>
                <w:bCs/>
                <w:szCs w:val="21"/>
              </w:rPr>
              <w:t>监测项目(mg/L，pH无量纲)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672"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p>
        </w:tc>
        <w:tc>
          <w:tcPr>
            <w:tcW w:w="657"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p>
        </w:tc>
        <w:tc>
          <w:tcPr>
            <w:tcW w:w="987"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p>
        </w:tc>
        <w:tc>
          <w:tcPr>
            <w:tcW w:w="117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b/>
                <w:bCs/>
                <w:szCs w:val="21"/>
              </w:rPr>
              <w:t>pH</w:t>
            </w:r>
          </w:p>
        </w:tc>
        <w:tc>
          <w:tcPr>
            <w:tcW w:w="83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rFonts w:hint="eastAsia"/>
                <w:b/>
                <w:bCs/>
                <w:szCs w:val="21"/>
              </w:rPr>
              <w:t>COD</w:t>
            </w:r>
          </w:p>
        </w:tc>
        <w:tc>
          <w:tcPr>
            <w:tcW w:w="86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rFonts w:hint="eastAsia"/>
                <w:b/>
                <w:bCs/>
                <w:szCs w:val="21"/>
              </w:rPr>
              <w:t>BOD</w:t>
            </w:r>
            <w:r>
              <w:rPr>
                <w:rFonts w:hint="eastAsia"/>
                <w:b/>
                <w:bCs/>
                <w:szCs w:val="21"/>
                <w:vertAlign w:val="subscript"/>
              </w:rPr>
              <w:t>5</w:t>
            </w:r>
          </w:p>
        </w:tc>
        <w:tc>
          <w:tcPr>
            <w:tcW w:w="107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b/>
                <w:bCs/>
                <w:szCs w:val="21"/>
              </w:rPr>
              <w:t>氨氮</w:t>
            </w:r>
          </w:p>
        </w:tc>
        <w:tc>
          <w:tcPr>
            <w:tcW w:w="86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rFonts w:hint="eastAsia"/>
                <w:b/>
                <w:bCs/>
                <w:szCs w:val="21"/>
              </w:rPr>
              <w:t>SS</w:t>
            </w:r>
          </w:p>
        </w:tc>
        <w:tc>
          <w:tcPr>
            <w:tcW w:w="950"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rFonts w:hint="eastAsia"/>
                <w:b/>
                <w:bCs/>
                <w:szCs w:val="21"/>
              </w:rPr>
              <w:t>石油类</w:t>
            </w:r>
          </w:p>
        </w:tc>
        <w:tc>
          <w:tcPr>
            <w:tcW w:w="98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b/>
                <w:bCs/>
                <w:szCs w:val="21"/>
              </w:rPr>
            </w:pPr>
            <w:r>
              <w:rPr>
                <w:rFonts w:hint="eastAsia"/>
                <w:b/>
                <w:bCs/>
                <w:szCs w:val="21"/>
              </w:rPr>
              <w:t>动植物油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672"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综合废水处理站进口</w:t>
            </w:r>
          </w:p>
        </w:tc>
        <w:tc>
          <w:tcPr>
            <w:tcW w:w="657" w:type="dxa"/>
            <w:vMerge w:val="restart"/>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rFonts w:hint="eastAsia"/>
                <w:szCs w:val="21"/>
              </w:rPr>
              <w:t>4</w:t>
            </w:r>
            <w:r>
              <w:rPr>
                <w:szCs w:val="21"/>
              </w:rPr>
              <w:t>.</w:t>
            </w:r>
            <w:r>
              <w:rPr>
                <w:rFonts w:hint="eastAsia"/>
                <w:szCs w:val="21"/>
              </w:rPr>
              <w:t>08</w:t>
            </w:r>
          </w:p>
        </w:tc>
        <w:tc>
          <w:tcPr>
            <w:tcW w:w="98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1</w:t>
            </w:r>
          </w:p>
        </w:tc>
        <w:tc>
          <w:tcPr>
            <w:tcW w:w="1177"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7.4</w:t>
            </w:r>
          </w:p>
        </w:tc>
        <w:tc>
          <w:tcPr>
            <w:tcW w:w="834"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color w:val="000000"/>
                <w:szCs w:val="21"/>
              </w:rPr>
              <w:t xml:space="preserve">107 </w:t>
            </w:r>
          </w:p>
        </w:tc>
        <w:tc>
          <w:tcPr>
            <w:tcW w:w="868"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15.8</w:t>
            </w:r>
          </w:p>
        </w:tc>
        <w:tc>
          <w:tcPr>
            <w:tcW w:w="1071"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16.5</w:t>
            </w:r>
          </w:p>
        </w:tc>
        <w:tc>
          <w:tcPr>
            <w:tcW w:w="867"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 xml:space="preserve">6 </w:t>
            </w:r>
          </w:p>
        </w:tc>
        <w:tc>
          <w:tcPr>
            <w:tcW w:w="950"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c>
          <w:tcPr>
            <w:tcW w:w="988"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672"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p>
        </w:tc>
        <w:tc>
          <w:tcPr>
            <w:tcW w:w="657"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p>
        </w:tc>
        <w:tc>
          <w:tcPr>
            <w:tcW w:w="98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2</w:t>
            </w:r>
          </w:p>
        </w:tc>
        <w:tc>
          <w:tcPr>
            <w:tcW w:w="1177"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7.3</w:t>
            </w:r>
          </w:p>
        </w:tc>
        <w:tc>
          <w:tcPr>
            <w:tcW w:w="834"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color w:val="000000"/>
                <w:szCs w:val="21"/>
              </w:rPr>
              <w:t xml:space="preserve">104 </w:t>
            </w:r>
          </w:p>
        </w:tc>
        <w:tc>
          <w:tcPr>
            <w:tcW w:w="868"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15.4</w:t>
            </w:r>
          </w:p>
        </w:tc>
        <w:tc>
          <w:tcPr>
            <w:tcW w:w="1071"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17.1</w:t>
            </w:r>
          </w:p>
        </w:tc>
        <w:tc>
          <w:tcPr>
            <w:tcW w:w="867"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 xml:space="preserve">5 </w:t>
            </w:r>
          </w:p>
        </w:tc>
        <w:tc>
          <w:tcPr>
            <w:tcW w:w="950"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c>
          <w:tcPr>
            <w:tcW w:w="988"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672"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p>
        </w:tc>
        <w:tc>
          <w:tcPr>
            <w:tcW w:w="657"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p>
        </w:tc>
        <w:tc>
          <w:tcPr>
            <w:tcW w:w="98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3</w:t>
            </w:r>
          </w:p>
        </w:tc>
        <w:tc>
          <w:tcPr>
            <w:tcW w:w="1177"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7.4</w:t>
            </w:r>
          </w:p>
        </w:tc>
        <w:tc>
          <w:tcPr>
            <w:tcW w:w="834"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108</w:t>
            </w:r>
          </w:p>
        </w:tc>
        <w:tc>
          <w:tcPr>
            <w:tcW w:w="868"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15.8</w:t>
            </w:r>
          </w:p>
        </w:tc>
        <w:tc>
          <w:tcPr>
            <w:tcW w:w="1071"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17.2</w:t>
            </w:r>
          </w:p>
        </w:tc>
        <w:tc>
          <w:tcPr>
            <w:tcW w:w="867"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7</w:t>
            </w:r>
          </w:p>
        </w:tc>
        <w:tc>
          <w:tcPr>
            <w:tcW w:w="950"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c>
          <w:tcPr>
            <w:tcW w:w="988"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672"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p>
        </w:tc>
        <w:tc>
          <w:tcPr>
            <w:tcW w:w="657"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p>
        </w:tc>
        <w:tc>
          <w:tcPr>
            <w:tcW w:w="98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4</w:t>
            </w:r>
          </w:p>
        </w:tc>
        <w:tc>
          <w:tcPr>
            <w:tcW w:w="1177"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7.5</w:t>
            </w:r>
          </w:p>
        </w:tc>
        <w:tc>
          <w:tcPr>
            <w:tcW w:w="834"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102</w:t>
            </w:r>
          </w:p>
        </w:tc>
        <w:tc>
          <w:tcPr>
            <w:tcW w:w="868"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15.2</w:t>
            </w:r>
          </w:p>
        </w:tc>
        <w:tc>
          <w:tcPr>
            <w:tcW w:w="1071"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16.9</w:t>
            </w:r>
          </w:p>
        </w:tc>
        <w:tc>
          <w:tcPr>
            <w:tcW w:w="867"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hint="eastAsia" w:ascii="Times New Roman" w:hAnsi="Times New Roman"/>
                <w:color w:val="000000"/>
                <w:szCs w:val="21"/>
              </w:rPr>
              <w:t>7</w:t>
            </w:r>
          </w:p>
        </w:tc>
        <w:tc>
          <w:tcPr>
            <w:tcW w:w="950"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c>
          <w:tcPr>
            <w:tcW w:w="988"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672"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p>
        </w:tc>
        <w:tc>
          <w:tcPr>
            <w:tcW w:w="657" w:type="dxa"/>
            <w:vMerge w:val="continue"/>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p>
        </w:tc>
        <w:tc>
          <w:tcPr>
            <w:tcW w:w="98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szCs w:val="21"/>
              </w:rPr>
              <w:t>日均值</w:t>
            </w:r>
          </w:p>
          <w:p>
            <w:pPr>
              <w:pStyle w:val="41"/>
              <w:keepNext w:val="0"/>
              <w:keepLines w:val="0"/>
              <w:pageBreakBefore w:val="0"/>
              <w:kinsoku/>
              <w:wordWrap/>
              <w:bidi w:val="0"/>
              <w:snapToGrid/>
              <w:spacing w:line="240" w:lineRule="auto"/>
              <w:rPr>
                <w:szCs w:val="21"/>
              </w:rPr>
            </w:pPr>
            <w:r>
              <w:rPr>
                <w:szCs w:val="21"/>
              </w:rPr>
              <w:t>(范围)</w:t>
            </w:r>
          </w:p>
        </w:tc>
        <w:tc>
          <w:tcPr>
            <w:tcW w:w="117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rFonts w:hint="eastAsia"/>
                <w:szCs w:val="21"/>
              </w:rPr>
              <w:t>7.3-7.5</w:t>
            </w:r>
          </w:p>
        </w:tc>
        <w:tc>
          <w:tcPr>
            <w:tcW w:w="834"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rFonts w:hint="eastAsia"/>
                <w:szCs w:val="21"/>
              </w:rPr>
              <w:t>105.25</w:t>
            </w:r>
          </w:p>
        </w:tc>
        <w:tc>
          <w:tcPr>
            <w:tcW w:w="868"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rFonts w:hint="eastAsia"/>
                <w:szCs w:val="21"/>
              </w:rPr>
              <w:t>15.55</w:t>
            </w:r>
          </w:p>
        </w:tc>
        <w:tc>
          <w:tcPr>
            <w:tcW w:w="1071"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rFonts w:hint="eastAsia"/>
                <w:szCs w:val="21"/>
              </w:rPr>
              <w:t>16.93</w:t>
            </w:r>
          </w:p>
        </w:tc>
        <w:tc>
          <w:tcPr>
            <w:tcW w:w="867" w:type="dxa"/>
            <w:tcBorders>
              <w:tl2br w:val="nil"/>
              <w:tr2bl w:val="nil"/>
            </w:tcBorders>
            <w:tcMar>
              <w:left w:w="0" w:type="dxa"/>
              <w:right w:w="0" w:type="dxa"/>
            </w:tcMar>
            <w:vAlign w:val="center"/>
          </w:tcPr>
          <w:p>
            <w:pPr>
              <w:pStyle w:val="41"/>
              <w:keepNext w:val="0"/>
              <w:keepLines w:val="0"/>
              <w:pageBreakBefore w:val="0"/>
              <w:kinsoku/>
              <w:wordWrap/>
              <w:bidi w:val="0"/>
              <w:snapToGrid/>
              <w:spacing w:line="240" w:lineRule="auto"/>
              <w:rPr>
                <w:szCs w:val="21"/>
              </w:rPr>
            </w:pPr>
            <w:r>
              <w:rPr>
                <w:rFonts w:hint="eastAsia"/>
                <w:szCs w:val="21"/>
              </w:rPr>
              <w:t>6.25</w:t>
            </w:r>
          </w:p>
        </w:tc>
        <w:tc>
          <w:tcPr>
            <w:tcW w:w="950"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c>
          <w:tcPr>
            <w:tcW w:w="988" w:type="dxa"/>
            <w:tcBorders>
              <w:tl2br w:val="nil"/>
              <w:tr2bl w:val="nil"/>
            </w:tcBorders>
            <w:tcMar>
              <w:left w:w="0" w:type="dxa"/>
              <w:right w:w="0" w:type="dxa"/>
            </w:tcMar>
            <w:vAlign w:val="center"/>
          </w:tcPr>
          <w:p>
            <w:pPr>
              <w:keepNext w:val="0"/>
              <w:keepLines w:val="0"/>
              <w:pageBreakBefore w:val="0"/>
              <w:kinsoku/>
              <w:wordWrap/>
              <w:bidi w:val="0"/>
              <w:snapToGrid/>
              <w:jc w:val="center"/>
              <w:rPr>
                <w:rFonts w:ascii="Times New Roman" w:hAnsi="Times New Roman" w:cs="Times New Roman"/>
                <w:kern w:val="0"/>
                <w:szCs w:val="21"/>
              </w:rPr>
            </w:pPr>
            <w:r>
              <w:rPr>
                <w:rFonts w:ascii="Times New Roman" w:hAnsi="Times New Roman"/>
                <w:szCs w:val="21"/>
              </w:rPr>
              <w:t>&lt;0.06</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由上表可知，生产废水和经</w:t>
      </w:r>
      <w:r>
        <w:rPr>
          <w:rFonts w:hint="eastAsia" w:ascii="Times New Roman" w:hAnsi="Times New Roman" w:eastAsia="宋体" w:cs="Times New Roman"/>
          <w:bCs/>
          <w:sz w:val="24"/>
          <w:szCs w:val="24"/>
          <w:lang w:eastAsia="zh-CN"/>
        </w:rPr>
        <w:t>化粪池</w:t>
      </w:r>
      <w:r>
        <w:rPr>
          <w:rFonts w:ascii="Times New Roman" w:hAnsi="Times New Roman" w:eastAsia="宋体" w:cs="Times New Roman"/>
          <w:bCs/>
          <w:sz w:val="24"/>
          <w:szCs w:val="24"/>
        </w:rPr>
        <w:t>处理</w:t>
      </w:r>
      <w:r>
        <w:rPr>
          <w:rFonts w:hint="eastAsia" w:ascii="Times New Roman" w:hAnsi="Times New Roman" w:eastAsia="宋体" w:cs="Times New Roman"/>
          <w:bCs/>
          <w:sz w:val="24"/>
          <w:szCs w:val="24"/>
          <w:lang w:eastAsia="zh-CN"/>
        </w:rPr>
        <w:t>后</w:t>
      </w:r>
      <w:r>
        <w:rPr>
          <w:rFonts w:ascii="Times New Roman" w:hAnsi="Times New Roman" w:eastAsia="宋体" w:cs="Times New Roman"/>
          <w:bCs/>
          <w:sz w:val="24"/>
          <w:szCs w:val="24"/>
        </w:rPr>
        <w:t>的生活污水采用物化方法处理后，SS、COD</w:t>
      </w:r>
      <w:r>
        <w:rPr>
          <w:rFonts w:ascii="Times New Roman" w:hAnsi="Times New Roman" w:eastAsia="宋体" w:cs="Times New Roman"/>
          <w:bCs/>
          <w:sz w:val="24"/>
          <w:szCs w:val="24"/>
          <w:vertAlign w:val="subscript"/>
        </w:rPr>
        <w:t>Cr</w:t>
      </w:r>
      <w:r>
        <w:rPr>
          <w:rFonts w:ascii="Times New Roman" w:hAnsi="Times New Roman" w:eastAsia="宋体" w:cs="Times New Roman"/>
          <w:bCs/>
          <w:sz w:val="24"/>
          <w:szCs w:val="24"/>
        </w:rPr>
        <w:t>、BOD</w:t>
      </w:r>
      <w:r>
        <w:rPr>
          <w:rFonts w:ascii="Times New Roman" w:hAnsi="Times New Roman" w:eastAsia="宋体" w:cs="Times New Roman"/>
          <w:bCs/>
          <w:sz w:val="24"/>
          <w:szCs w:val="24"/>
          <w:vertAlign w:val="subscript"/>
        </w:rPr>
        <w:t>5</w:t>
      </w:r>
      <w:r>
        <w:rPr>
          <w:rFonts w:ascii="Times New Roman" w:hAnsi="Times New Roman" w:eastAsia="宋体" w:cs="Times New Roman"/>
          <w:bCs/>
          <w:sz w:val="24"/>
          <w:szCs w:val="24"/>
        </w:rPr>
        <w:t>、总硬度、暂时硬度等指标显著下降，回用水主要用于对盐分指标要求不高的用户，如原料场抑尘、烧结皮带除尘、地坪冲洗、高炉冲渣、炼钢/轧钢浊环水系统补水、铸管沙浆制备系统补水。剩余水进入深度除盐处理系统进行脱盐处理。经过深度处理后，水电导率、含盐量、浊度等指标能够满足用水水质指标要求。综合废水处理站出水全部回用，不外排。</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另外，煤气管道冷凝水含有酚、氰等有害物质，由于其产生量较少，且属于间断性排放，因此暂存于专用集水坑内，定期送焦化酚氰废水站集中处理，不外排。</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6.2.2.3初期雨水及事故排水收集处理系统分析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（1）初期雨水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焦化</w:t>
      </w:r>
      <w:r>
        <w:rPr>
          <w:rFonts w:hint="eastAsia" w:ascii="Times New Roman" w:hAnsi="Times New Roman" w:eastAsia="宋体" w:cs="Times New Roman"/>
          <w:bCs/>
          <w:sz w:val="24"/>
          <w:szCs w:val="24"/>
        </w:rPr>
        <w:t>工序</w:t>
      </w:r>
      <w:r>
        <w:rPr>
          <w:rFonts w:ascii="Times New Roman" w:hAnsi="Times New Roman" w:eastAsia="宋体" w:cs="Times New Roman"/>
          <w:bCs/>
          <w:sz w:val="24"/>
          <w:szCs w:val="24"/>
        </w:rPr>
        <w:t>内设有雨水收集池，雨水收集池大小根据芜湖市暴雨强度公式及化产区域面积，按10分钟初期雨水量考虑，初期雨水收集池的容积为900m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。雨水收集池设置在</w:t>
      </w:r>
      <w:r>
        <w:rPr>
          <w:rFonts w:hint="eastAsia" w:ascii="Times New Roman" w:hAnsi="Times New Roman" w:eastAsia="宋体" w:cs="Times New Roman"/>
          <w:bCs/>
          <w:sz w:val="24"/>
          <w:szCs w:val="24"/>
          <w:lang w:eastAsia="zh-CN"/>
        </w:rPr>
        <w:t>焦化</w:t>
      </w:r>
      <w:r>
        <w:rPr>
          <w:rFonts w:ascii="Times New Roman" w:hAnsi="Times New Roman" w:eastAsia="宋体" w:cs="Times New Roman"/>
          <w:bCs/>
          <w:sz w:val="24"/>
          <w:szCs w:val="24"/>
        </w:rPr>
        <w:t>化产区域。同时，全厂综合污水处理站、酚氰废水处理站均留有余量，可将初期雨水引入污水处理系统，避免雨水冲刷地面污染物进入地表水体造成污染。</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（2）事故状态废水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为保证焦化酚氰废水处理站安全运行，设有大容积的废水调节池和事故池。目前酚氰废水处理站设有2座调节池，尺寸为10×14.6×7m，有效容积1900m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，储存时间为16小时；1座事故池，尺寸为10×7×6m，有效容积700m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，储存时间为7小时。事故发生时，调节池、事故池均可对废水进行存储，调节容积共2600m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，存储时间约为23小时，待酚氰废水处理站事故处理完毕后，再对废水进行处理。因此在非正常工况下，酚氰废水处理站的安全运行有保证。全厂综合废水处理站事故池尺寸为40×10×10m，有效容积4000m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所有水池都不存在向外环境系统溢流的排水管。待事故维修完毕，水处理系统正常运行后，事故水池中贮存的事故水由各自水处理系统处理，不外排。因此，除发生重大事故及自然破坏条件外，不会发生事故排水对长江地表水环境造成影响。</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（3）焦化贮罐区消防排水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焦化贮罐区设有消防水灭火系统，消防用水量为40L/s，消防灭火时间按3h考虑，经计算确定消防灭火水量为450m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，可全部进入初期雨水收集系统，不会对周边水环境造成较大影响。</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6.2.3后评价地下水环境影响分析</w:t>
      </w:r>
    </w:p>
    <w:p>
      <w:pPr>
        <w:keepNext w:val="0"/>
        <w:keepLines w:val="0"/>
        <w:pageBreakBefore w:val="0"/>
        <w:kinsoku/>
        <w:wordWrap/>
        <w:bidi w:val="0"/>
        <w:snapToGrid/>
        <w:spacing w:line="360" w:lineRule="auto"/>
        <w:outlineLvl w:val="3"/>
        <w:rPr>
          <w:rFonts w:hint="eastAsia" w:ascii="Times New Roman" w:hAnsi="Times New Roman" w:eastAsia="黑体" w:cs="Times New Roman"/>
          <w:color w:val="FF0000"/>
          <w:sz w:val="24"/>
          <w:szCs w:val="24"/>
          <w:lang w:eastAsia="zh-CN"/>
        </w:rPr>
      </w:pPr>
      <w:r>
        <w:rPr>
          <w:rFonts w:ascii="Times New Roman" w:hAnsi="Times New Roman" w:eastAsia="黑体" w:cs="Times New Roman"/>
          <w:color w:val="FF0000"/>
          <w:sz w:val="24"/>
          <w:szCs w:val="24"/>
        </w:rPr>
        <w:t>6.2.3.1</w:t>
      </w:r>
      <w:r>
        <w:rPr>
          <w:rFonts w:hint="eastAsia" w:ascii="Times New Roman" w:hAnsi="Times New Roman" w:eastAsia="黑体" w:cs="Times New Roman"/>
          <w:color w:val="FF0000"/>
          <w:sz w:val="24"/>
          <w:szCs w:val="24"/>
          <w:lang w:eastAsia="zh-CN"/>
        </w:rPr>
        <w:t>厂区地下水环境质量分析</w:t>
      </w:r>
    </w:p>
    <w:p>
      <w:pPr>
        <w:keepNext w:val="0"/>
        <w:keepLines w:val="0"/>
        <w:pageBreakBefore w:val="0"/>
        <w:kinsoku/>
        <w:wordWrap/>
        <w:autoSpaceDE w:val="0"/>
        <w:autoSpaceDN w:val="0"/>
        <w:bidi w:val="0"/>
        <w:adjustRightInd w:val="0"/>
        <w:snapToGrid/>
        <w:spacing w:line="360" w:lineRule="auto"/>
        <w:ind w:firstLine="480" w:firstLineChars="200"/>
        <w:rPr>
          <w:rFonts w:hint="default" w:ascii="Times New Roman" w:hAnsi="Times New Roman" w:eastAsia="宋体" w:cs="Times New Roman"/>
          <w:bCs/>
          <w:color w:val="FF0000"/>
          <w:sz w:val="24"/>
          <w:szCs w:val="24"/>
          <w:lang w:val="en-US" w:eastAsia="zh-CN"/>
        </w:rPr>
      </w:pPr>
      <w:r>
        <w:rPr>
          <w:rFonts w:hint="eastAsia" w:ascii="Times New Roman" w:hAnsi="Times New Roman" w:eastAsia="宋体" w:cs="Times New Roman"/>
          <w:bCs/>
          <w:color w:val="FF0000"/>
          <w:sz w:val="24"/>
          <w:szCs w:val="24"/>
          <w:lang w:eastAsia="zh-CN"/>
        </w:rPr>
        <w:t>根据表</w:t>
      </w:r>
      <w:r>
        <w:rPr>
          <w:rFonts w:hint="eastAsia" w:ascii="Times New Roman" w:hAnsi="Times New Roman" w:eastAsia="宋体" w:cs="Times New Roman"/>
          <w:bCs/>
          <w:color w:val="FF0000"/>
          <w:sz w:val="24"/>
          <w:szCs w:val="24"/>
          <w:lang w:val="en-US" w:eastAsia="zh-CN"/>
        </w:rPr>
        <w:t>5.3-20中对厂区1#至6#监测井数据可知，厂区地下水监测数据均可满足</w:t>
      </w:r>
      <w:r>
        <w:rPr>
          <w:rFonts w:ascii="Times New Roman" w:hAnsi="Times New Roman" w:eastAsia="宋体" w:cs="Times New Roman"/>
          <w:color w:val="FF0000"/>
          <w:sz w:val="24"/>
        </w:rPr>
        <w:t>《地下水质量标准》（GB/T14848-2017）中III类标准</w:t>
      </w:r>
      <w:r>
        <w:rPr>
          <w:rFonts w:hint="eastAsia" w:ascii="Times New Roman" w:hAnsi="Times New Roman" w:eastAsia="宋体" w:cs="Times New Roman"/>
          <w:color w:val="FF0000"/>
          <w:sz w:val="24"/>
          <w:lang w:eastAsia="zh-CN"/>
        </w:rPr>
        <w:t>要求，说明厂区目前采取的防渗措施切实可行。</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6.2.3.</w:t>
      </w:r>
      <w:r>
        <w:rPr>
          <w:rFonts w:hint="eastAsia" w:ascii="Times New Roman" w:hAnsi="Times New Roman" w:eastAsia="黑体" w:cs="Times New Roman"/>
          <w:sz w:val="24"/>
          <w:szCs w:val="24"/>
          <w:lang w:val="en-US" w:eastAsia="zh-CN"/>
        </w:rPr>
        <w:t>2</w:t>
      </w:r>
      <w:r>
        <w:rPr>
          <w:rFonts w:ascii="Times New Roman" w:hAnsi="Times New Roman" w:eastAsia="黑体" w:cs="Times New Roman"/>
          <w:sz w:val="24"/>
          <w:szCs w:val="24"/>
        </w:rPr>
        <w:t>全厂采取的分区防渗措施分析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根据厂区各生产功能单元可能泄漏的污染物性质和生产单元的构筑方式，厂区划分为重点防渗区、一般防渗区和简单防渗区。其中：</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（1）重点防渗区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主要包括焦化酚氰废水处理站水池、化产单元储罐区（含脱硫单元、焦油氨水分离单元），危险废物暂存库，全厂综合污水处理站，各车间浊环水处理设施，钢渣暂存场，烧结脱硫渣暂存场、雨水收集池和事故水池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（2）一般防渗区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主要包括原料场、贮煤仓、矿渣微粉生产线、厂区道路等。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（3）简单防渗区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主要包括生产车间、厂内绿化带、人行道路等。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后评价阶段厂区污染防渗分区见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_Ref465238095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.2-4。</w:t>
      </w:r>
    </w:p>
    <w:p>
      <w:pPr>
        <w:pStyle w:val="2"/>
        <w:keepNext w:val="0"/>
        <w:keepLines w:val="0"/>
        <w:pageBreakBefore w:val="0"/>
        <w:kinsoku/>
        <w:wordWrap/>
        <w:bidi w:val="0"/>
        <w:snapToGrid/>
        <w:rPr>
          <w:rFonts w:ascii="Times New Roman" w:hAnsi="Times New Roman" w:eastAsia="宋体" w:cs="Times New Roman"/>
          <w:bCs/>
          <w:sz w:val="24"/>
          <w:szCs w:val="24"/>
        </w:rPr>
      </w:pPr>
    </w:p>
    <w:p>
      <w:pPr>
        <w:pStyle w:val="2"/>
        <w:keepNext w:val="0"/>
        <w:keepLines w:val="0"/>
        <w:pageBreakBefore w:val="0"/>
        <w:kinsoku/>
        <w:wordWrap/>
        <w:bidi w:val="0"/>
        <w:snapToGrid/>
        <w:rPr>
          <w:rFonts w:ascii="Times New Roman" w:hAnsi="Times New Roman" w:eastAsia="宋体" w:cs="Times New Roman"/>
          <w:bCs/>
          <w:sz w:val="24"/>
          <w:szCs w:val="24"/>
        </w:rPr>
      </w:pPr>
    </w:p>
    <w:p>
      <w:pPr>
        <w:pStyle w:val="2"/>
        <w:keepNext w:val="0"/>
        <w:keepLines w:val="0"/>
        <w:pageBreakBefore w:val="0"/>
        <w:kinsoku/>
        <w:wordWrap/>
        <w:bidi w:val="0"/>
        <w:snapToGrid/>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kinsoku/>
        <w:wordWrap/>
        <w:bidi w:val="0"/>
        <w:snapToGrid/>
        <w:rPr>
          <w:rFonts w:ascii="Times New Roman" w:hAnsi="Times New Roman" w:cs="Times New Roman"/>
        </w:rPr>
      </w:pPr>
      <w:r>
        <w:rPr>
          <w:rFonts w:ascii="Times New Roman" w:hAnsi="Times New Roman" w:cs="Times New Roman"/>
        </w:rPr>
        <w:pict>
          <v:shape id="_x0000_s1028" o:spid="_x0000_s1028" o:spt="202" type="#_x0000_t202" style="position:absolute;left:0pt;margin-left:226.75pt;margin-top:410.95pt;height:31.5pt;width:227.2pt;z-index:251675648;mso-width-relative:page;mso-height-relative:page;" stroked="f" coordsize="21600,21600">
            <v:path/>
            <v:fill focussize="0,0"/>
            <v:stroke on="f" joinstyle="miter"/>
            <v:imagedata o:title=""/>
            <o:lock v:ext="edit"/>
            <v:textbox>
              <w:txbxContent>
                <w:p>
                  <w:pPr>
                    <w:pStyle w:val="31"/>
                    <w:snapToGrid/>
                    <w:spacing w:line="360" w:lineRule="auto"/>
                  </w:pPr>
                  <w:r>
                    <w:rPr>
                      <w:rFonts w:hint="eastAsia" w:cs="Times New Roman"/>
                    </w:rPr>
                    <w:t>图6.2-4</w:t>
                  </w:r>
                  <w:r>
                    <w:rPr>
                      <w:rFonts w:cs="Times New Roman"/>
                    </w:rPr>
                    <w:t xml:space="preserve">  </w:t>
                  </w:r>
                  <w:r>
                    <w:rPr>
                      <w:rFonts w:hint="eastAsia" w:cs="Times New Roman"/>
                    </w:rPr>
                    <w:t>厂区</w:t>
                  </w:r>
                  <w:r>
                    <w:rPr>
                      <w:rFonts w:cs="Times New Roman"/>
                    </w:rPr>
                    <w:t>污染防渗区划图</w:t>
                  </w:r>
                </w:p>
              </w:txbxContent>
            </v:textbox>
          </v:shape>
        </w:pict>
      </w:r>
      <w:r>
        <w:rPr>
          <w:rFonts w:ascii="Times New Roman" w:hAnsi="Times New Roman" w:cs="Times New Roman"/>
        </w:rPr>
        <w:drawing>
          <wp:inline distT="0" distB="0" distL="114300" distR="114300">
            <wp:extent cx="8657590" cy="5260340"/>
            <wp:effectExtent l="0" t="0" r="10160" b="16510"/>
            <wp:docPr id="24" name="图片 24" descr="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28"/>
                    <pic:cNvPicPr>
                      <a:picLocks noChangeAspect="1"/>
                    </pic:cNvPicPr>
                  </pic:nvPicPr>
                  <pic:blipFill>
                    <a:blip r:embed="rId85"/>
                    <a:stretch>
                      <a:fillRect/>
                    </a:stretch>
                  </pic:blipFill>
                  <pic:spPr>
                    <a:xfrm>
                      <a:off x="0" y="0"/>
                      <a:ext cx="8657590" cy="5260340"/>
                    </a:xfrm>
                    <a:prstGeom prst="rect">
                      <a:avLst/>
                    </a:prstGeom>
                  </pic:spPr>
                </pic:pic>
              </a:graphicData>
            </a:graphic>
          </wp:inline>
        </w:drawing>
      </w:r>
    </w:p>
    <w:p>
      <w:pPr>
        <w:pStyle w:val="2"/>
        <w:keepNext w:val="0"/>
        <w:keepLines w:val="0"/>
        <w:pageBreakBefore w:val="0"/>
        <w:kinsoku/>
        <w:wordWrap/>
        <w:bidi w:val="0"/>
        <w:snapToGrid/>
        <w:rPr>
          <w:rFonts w:ascii="Times New Roman" w:hAnsi="Times New Roman" w:cs="Times New Roma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6.2.3.</w:t>
      </w:r>
      <w:r>
        <w:rPr>
          <w:rFonts w:hint="eastAsia" w:ascii="Times New Roman" w:hAnsi="Times New Roman" w:eastAsia="黑体" w:cs="Times New Roman"/>
          <w:sz w:val="24"/>
          <w:szCs w:val="24"/>
          <w:lang w:val="en-US" w:eastAsia="zh-CN"/>
        </w:rPr>
        <w:t>3</w:t>
      </w:r>
      <w:r>
        <w:rPr>
          <w:rFonts w:ascii="Times New Roman" w:hAnsi="Times New Roman" w:eastAsia="黑体" w:cs="Times New Roman"/>
          <w:sz w:val="24"/>
          <w:szCs w:val="24"/>
        </w:rPr>
        <w:t>分区防渗措施的建设情况</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厂区现有各生产单元严格按照相关要求，分别对焦化酚氰废水处理站水池、化产单元储罐区</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危险废物暂存库</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全厂综合污水处理站</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各生产车间浊环水处理池设施</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雨水收集池和事故污水池等可能存在渗漏危险的区域均采取了防渗措施。后评价阶段通过对现有厂区进行调查，厂区各生产单元采取的主要防渗措施如下：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（1）重点防渗区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1）焦化酚氰废水处理站水池</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焦化酚氰废水处理站水池采用C25防水混凝土，设计抗渗等级为P6，水池内表面抹水泥基渗透结晶防渗涂层。并在砼中掺膨胀型防水剂防止渗漏。水池主要防渗结构见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_Ref465184520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.2-5。</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4810125" cy="3467100"/>
            <wp:effectExtent l="0" t="0" r="9525" b="0"/>
            <wp:docPr id="25" name="图片 25" descr="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4.28-1"/>
                    <pic:cNvPicPr>
                      <a:picLocks noChangeAspect="1"/>
                    </pic:cNvPicPr>
                  </pic:nvPicPr>
                  <pic:blipFill>
                    <a:blip r:embed="rId86"/>
                    <a:stretch>
                      <a:fillRect/>
                    </a:stretch>
                  </pic:blipFill>
                  <pic:spPr>
                    <a:xfrm>
                      <a:off x="0" y="0"/>
                      <a:ext cx="4810125" cy="3467100"/>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图6.2-5  焦化酚氰废水处理站水池防渗结构示意图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2）化产单元各储罐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苯罐、焦油罐等钢筋混凝土承台及承台以上的环墙的防渗结构如下：采用C30钢筋混凝土，抗渗等级为P6。土工膜厚度为1.5mm。迎水面钢筋的混凝土保护层厚度为1000mm。苯罐、焦油罐基础防渗结构见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_Ref465184554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.2-6。</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3886200" cy="2952750"/>
            <wp:effectExtent l="0" t="0" r="0" b="0"/>
            <wp:docPr id="26" name="图片 26" descr="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28-2"/>
                    <pic:cNvPicPr>
                      <a:picLocks noChangeAspect="1"/>
                    </pic:cNvPicPr>
                  </pic:nvPicPr>
                  <pic:blipFill>
                    <a:blip r:embed="rId87"/>
                    <a:stretch>
                      <a:fillRect/>
                    </a:stretch>
                  </pic:blipFill>
                  <pic:spPr>
                    <a:xfrm>
                      <a:off x="0" y="0"/>
                      <a:ext cx="3886200" cy="2952750"/>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图6.2-6  苯罐、焦油罐基础防渗结构示意图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3）危废暂存库</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生产过程中产生的废油等，经统一收集，分类装罐后，临时存放在公司危险废物暂存库内。危险废物暂存库地坪采用采用钢筋混凝土地面，防渗系数为≤10</w:t>
      </w:r>
      <w:r>
        <w:rPr>
          <w:rFonts w:ascii="Times New Roman" w:hAnsi="Times New Roman" w:eastAsia="宋体" w:cs="Times New Roman"/>
          <w:bCs/>
          <w:sz w:val="24"/>
          <w:szCs w:val="24"/>
          <w:vertAlign w:val="superscript"/>
        </w:rPr>
        <w:t>-12</w:t>
      </w:r>
      <w:r>
        <w:rPr>
          <w:rFonts w:ascii="Times New Roman" w:hAnsi="Times New Roman" w:eastAsia="宋体" w:cs="Times New Roman"/>
          <w:bCs/>
          <w:sz w:val="24"/>
          <w:szCs w:val="24"/>
        </w:rPr>
        <w:t>cm/s，暂存场地坪四周设置集油槽，泄漏的残油可通过集油槽导流到收集井内。危险废物暂存库地坪防渗结构图见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_Ref484682493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.2-7。</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5271135" cy="2737485"/>
            <wp:effectExtent l="0" t="0" r="5715" b="5715"/>
            <wp:docPr id="27" name="图片 27" descr="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4.28-3"/>
                    <pic:cNvPicPr>
                      <a:picLocks noChangeAspect="1"/>
                    </pic:cNvPicPr>
                  </pic:nvPicPr>
                  <pic:blipFill>
                    <a:blip r:embed="rId88"/>
                    <a:stretch>
                      <a:fillRect/>
                    </a:stretch>
                  </pic:blipFill>
                  <pic:spPr>
                    <a:xfrm>
                      <a:off x="0" y="0"/>
                      <a:ext cx="5271135" cy="2737485"/>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图6.2-7  危险废物暂存场地坪防渗结构示意图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4）全厂综合污水处理站</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全厂综合污水处理站沉淀池基础座于复合地基碎石褥垫层上，采用钢筋混凝土防渗。混凝土等级：垫层强度为C15，水池主体、梁、板、柱为C30抗渗混凝土，抗渗等级为S6。混凝土保护层设置：水池底板40mm，池壁、梁、柱35mm，板20mm。水池底面、池壁内外面、梁、板表面抹1:3水泥砂浆（加3%防水剂），抹水泥砂浆（含防水剂）五层，每层5mm厚，每层砂浆在前一层砂浆凝固后铺抹，最后一层抹完后，凝固前反复抹压密实。池体内表面刷涂的防渗涂料渗透系数不大于1.0×10</w:t>
      </w:r>
      <w:r>
        <w:rPr>
          <w:rFonts w:ascii="Times New Roman" w:hAnsi="Times New Roman" w:eastAsia="宋体" w:cs="Times New Roman"/>
          <w:bCs/>
          <w:sz w:val="24"/>
          <w:szCs w:val="24"/>
          <w:vertAlign w:val="superscript"/>
        </w:rPr>
        <w:t>-12</w:t>
      </w:r>
      <w:r>
        <w:rPr>
          <w:rFonts w:ascii="Times New Roman" w:hAnsi="Times New Roman" w:eastAsia="宋体" w:cs="Times New Roman"/>
          <w:bCs/>
          <w:sz w:val="24"/>
          <w:szCs w:val="24"/>
        </w:rPr>
        <w:t>cm/s。全厂综合污水处理站污水池防渗结构见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_Ref465184509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.2-8。</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5019675" cy="3810000"/>
            <wp:effectExtent l="0" t="0" r="9525" b="0"/>
            <wp:docPr id="28" name="图片 28" descr="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4.28-4"/>
                    <pic:cNvPicPr>
                      <a:picLocks noChangeAspect="1"/>
                    </pic:cNvPicPr>
                  </pic:nvPicPr>
                  <pic:blipFill>
                    <a:blip r:embed="rId89"/>
                    <a:stretch>
                      <a:fillRect/>
                    </a:stretch>
                  </pic:blipFill>
                  <pic:spPr>
                    <a:xfrm>
                      <a:off x="0" y="0"/>
                      <a:ext cx="5019675" cy="3810000"/>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图6.2-8  全厂综合污水处理站污水池防渗结构示意图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5）浊环水处理设施</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各生产单元浊环水处理系统水池采用C30级防水混凝土，抗渗等级P6。管沟采用C25级防水混凝土，抗渗等级S4，排水沟、泵基础、加药装置及过滤其基础均采用C25级混凝土，二次浇灌层采用C30级细石混凝土，垫层采用C15级混凝土。水池内表面抹1mm水泥基渗透结晶防渗涂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以炼钢连铸浊环水处理系统为例，其水池防渗结构见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_Ref465184531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.2-9。</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5270500" cy="2308225"/>
            <wp:effectExtent l="0" t="0" r="6350" b="15875"/>
            <wp:docPr id="29" name="图片 29" descr="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4.28-5"/>
                    <pic:cNvPicPr>
                      <a:picLocks noChangeAspect="1"/>
                    </pic:cNvPicPr>
                  </pic:nvPicPr>
                  <pic:blipFill>
                    <a:blip r:embed="rId90"/>
                    <a:stretch>
                      <a:fillRect/>
                    </a:stretch>
                  </pic:blipFill>
                  <pic:spPr>
                    <a:xfrm>
                      <a:off x="0" y="0"/>
                      <a:ext cx="5270500" cy="2308225"/>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图6.2-9  炼钢连铸浊环水处理系统水池防渗结构示意图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6）钢渣暂存场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钢渣暂存场位于炼钢车间旁边，采用钢筋混凝土承重地坪，基础防渗采用1mm厚水泥基渗透结晶防渗涂层，并用两面钢筋混凝土挡渣墙和堆场建筑物三面围住（挡渣墙2.5m高，墙厚250mm），另一面设排水明沟（200mm宽100mm深）和排水沟（600mm宽最深处约1m）。</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钢渣暂存场地坪防渗结构见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_Ref484683237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6.2-10。</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5105400" cy="2362200"/>
            <wp:effectExtent l="0" t="0" r="0" b="0"/>
            <wp:docPr id="30" name="图片 30" descr="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4.28-6"/>
                    <pic:cNvPicPr>
                      <a:picLocks noChangeAspect="1"/>
                    </pic:cNvPicPr>
                  </pic:nvPicPr>
                  <pic:blipFill>
                    <a:blip r:embed="rId91"/>
                    <a:stretch>
                      <a:fillRect/>
                    </a:stretch>
                  </pic:blipFill>
                  <pic:spPr>
                    <a:xfrm>
                      <a:off x="0" y="0"/>
                      <a:ext cx="5105400" cy="2362200"/>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图6.2-10  钢渣暂存场地坪防渗施工图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lang w:val="en-US" w:eastAsia="zh-CN"/>
        </w:rPr>
        <w:t>7</w:t>
      </w:r>
      <w:r>
        <w:rPr>
          <w:rFonts w:ascii="Times New Roman" w:hAnsi="Times New Roman" w:eastAsia="宋体" w:cs="Times New Roman"/>
          <w:bCs/>
          <w:sz w:val="24"/>
          <w:szCs w:val="24"/>
        </w:rPr>
        <w:t>）事故水池及雨水收集池</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事故水池及焦化雨水收集池基础座于复合地基碎石褥垫层上，采用钢筋混凝土防渗，混凝土等级：垫层强度为C15，水池主体、梁、板、柱为C30抗渗混凝土，抗渗等级为P6。混凝土保护层设置：水池底板40mm，池壁、梁、柱35mm，板20mm，水池底面，池壁内外面、梁、板表面抹1:3水泥砂浆（加3%防水剂），抹水泥砂浆（含防水剂）五层，每层5mm厚，每层砂浆在前一层砂浆凝固后铺抹，最后一层抹完后，凝固前反复压密实。池体内表面刷涂的防渗涂料渗透系数不大于1.0×10</w:t>
      </w:r>
      <w:r>
        <w:rPr>
          <w:rFonts w:ascii="Times New Roman" w:hAnsi="Times New Roman" w:eastAsia="宋体" w:cs="Times New Roman"/>
          <w:bCs/>
          <w:sz w:val="24"/>
          <w:szCs w:val="24"/>
          <w:vertAlign w:val="superscript"/>
        </w:rPr>
        <w:t>-12</w:t>
      </w:r>
      <w:r>
        <w:rPr>
          <w:rFonts w:ascii="Times New Roman" w:hAnsi="Times New Roman" w:eastAsia="宋体" w:cs="Times New Roman"/>
          <w:bCs/>
          <w:sz w:val="24"/>
          <w:szCs w:val="24"/>
        </w:rPr>
        <w:t>cm/s。水池防渗结构见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_Ref484783348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.2-11。</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3609975" cy="2028825"/>
            <wp:effectExtent l="0" t="0" r="9525" b="9525"/>
            <wp:docPr id="31" name="图片 31" descr="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4.28-7"/>
                    <pic:cNvPicPr>
                      <a:picLocks noChangeAspect="1"/>
                    </pic:cNvPicPr>
                  </pic:nvPicPr>
                  <pic:blipFill>
                    <a:blip r:embed="rId92"/>
                    <a:stretch>
                      <a:fillRect/>
                    </a:stretch>
                  </pic:blipFill>
                  <pic:spPr>
                    <a:xfrm>
                      <a:off x="0" y="0"/>
                      <a:ext cx="3609975" cy="2028825"/>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图6.2-11  事故水池防渗结构图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（2）一般防渗区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1）原料场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原料场进行地面硬化，在抗渗钢纤维混凝土面层中掺水泥基渗透结晶型防水剂，其下铺砌砂石基层，原土夯实，以达到防渗的目的。原料场地面防渗结构如</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_Ref484783363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.2-12所示。</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4238625" cy="1819275"/>
            <wp:effectExtent l="0" t="0" r="9525" b="9525"/>
            <wp:docPr id="32" name="图片 32" descr="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28-8"/>
                    <pic:cNvPicPr>
                      <a:picLocks noChangeAspect="1"/>
                    </pic:cNvPicPr>
                  </pic:nvPicPr>
                  <pic:blipFill>
                    <a:blip r:embed="rId93"/>
                    <a:stretch>
                      <a:fillRect/>
                    </a:stretch>
                  </pic:blipFill>
                  <pic:spPr>
                    <a:xfrm>
                      <a:off x="0" y="0"/>
                      <a:ext cx="4238625" cy="1819275"/>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图6.2-12  原料场地面防渗结构示意图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2）矿渣微粉生产线</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矿渣微粉生产线采用钢筋混凝土地面，地面防渗结构同上述原料场。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综上所述，根据现状调查上述各区域采取了相应的防渗措施，满足环评及批复要求。结合现状监测数据，后评价阶段厂区生产过程对周边地下水环境质量的影响在可接受范围内。</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6.3声环境影响分析</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6.3.1搬迁项目（现状评价）声环境影响分析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搬迁项目（现状评价）声环境影响分析结论：经监测，噪声源距厂界1m范围内，项目厂界各监测点昼间噪声值在58.9~64.1dB(A)之间，夜间噪声值在49~53.7dB(A)之间，符合</w:t>
      </w:r>
      <w:r>
        <w:rPr>
          <w:rFonts w:ascii="Times New Roman" w:hAnsi="Times New Roman" w:eastAsia="宋体" w:cs="Times New Roman"/>
          <w:sz w:val="24"/>
        </w:rPr>
        <w:t>《工业企业厂界环境噪声排放标准》（GB12348-2008）3类标准</w:t>
      </w:r>
      <w:r>
        <w:rPr>
          <w:rFonts w:ascii="Times New Roman" w:hAnsi="Times New Roman" w:eastAsia="宋体" w:cs="Times New Roman"/>
          <w:bCs/>
          <w:sz w:val="24"/>
          <w:szCs w:val="24"/>
        </w:rPr>
        <w:t>要求。因此，厂区噪声经隔声减震措施、墙体、空间距离的自然衰减后对其周围的影响较小。</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6.3.2后评价声环境影响分析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厂区现状噪声主要来自煤粉碎机、振动筛、破碎机、鼓风机等设备运行时产生的</w:t>
      </w:r>
      <w:r>
        <w:rPr>
          <w:rFonts w:ascii="Times New Roman" w:hAnsi="Times New Roman" w:eastAsia="宋体" w:cs="Times New Roman"/>
          <w:bCs/>
          <w:sz w:val="24"/>
          <w:szCs w:val="24"/>
          <w:highlight w:val="none"/>
        </w:rPr>
        <w:t>噪声，源强7</w:t>
      </w:r>
      <w:r>
        <w:rPr>
          <w:rFonts w:hint="eastAsia" w:ascii="Times New Roman" w:hAnsi="Times New Roman" w:eastAsia="宋体" w:cs="Times New Roman"/>
          <w:bCs/>
          <w:sz w:val="24"/>
          <w:szCs w:val="24"/>
          <w:highlight w:val="none"/>
          <w:lang w:val="en-US" w:eastAsia="zh-CN"/>
        </w:rPr>
        <w:t>5</w:t>
      </w:r>
      <w:r>
        <w:rPr>
          <w:rFonts w:ascii="Times New Roman" w:hAnsi="Times New Roman" w:eastAsia="宋体" w:cs="Times New Roman"/>
          <w:bCs/>
          <w:sz w:val="24"/>
          <w:szCs w:val="24"/>
          <w:highlight w:val="none"/>
        </w:rPr>
        <w:t>-</w:t>
      </w:r>
      <w:r>
        <w:rPr>
          <w:rFonts w:hint="eastAsia" w:ascii="Times New Roman" w:hAnsi="Times New Roman" w:eastAsia="宋体" w:cs="Times New Roman"/>
          <w:bCs/>
          <w:sz w:val="24"/>
          <w:szCs w:val="24"/>
          <w:highlight w:val="none"/>
          <w:lang w:val="en-US" w:eastAsia="zh-CN"/>
        </w:rPr>
        <w:t>12</w:t>
      </w:r>
      <w:r>
        <w:rPr>
          <w:rFonts w:ascii="Times New Roman" w:hAnsi="Times New Roman" w:eastAsia="宋体" w:cs="Times New Roman"/>
          <w:bCs/>
          <w:sz w:val="24"/>
          <w:szCs w:val="24"/>
          <w:highlight w:val="none"/>
        </w:rPr>
        <w:t>0dB(A)。</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根据后评价阶段，安徽世标检测技术有限公司于2019年1月1日至1月2日，对厂界噪声的监测数据结果可知，项目厂区昼间噪声值在</w:t>
      </w:r>
      <w:r>
        <w:rPr>
          <w:rFonts w:hint="eastAsia" w:ascii="Times New Roman" w:hAnsi="Times New Roman" w:eastAsia="宋体" w:cs="Times New Roman"/>
          <w:bCs/>
          <w:sz w:val="24"/>
          <w:szCs w:val="24"/>
        </w:rPr>
        <w:t>54.2</w:t>
      </w:r>
      <w:r>
        <w:rPr>
          <w:rFonts w:ascii="Times New Roman" w:hAnsi="Times New Roman" w:eastAsia="宋体" w:cs="Times New Roman"/>
          <w:bCs/>
          <w:sz w:val="24"/>
          <w:szCs w:val="24"/>
        </w:rPr>
        <w:t>~</w:t>
      </w:r>
      <w:r>
        <w:rPr>
          <w:rFonts w:hint="eastAsia" w:ascii="Times New Roman" w:hAnsi="Times New Roman" w:eastAsia="宋体" w:cs="Times New Roman"/>
          <w:bCs/>
          <w:sz w:val="24"/>
          <w:szCs w:val="24"/>
        </w:rPr>
        <w:t>64.4</w:t>
      </w:r>
      <w:r>
        <w:rPr>
          <w:rFonts w:ascii="Times New Roman" w:hAnsi="Times New Roman" w:eastAsia="宋体" w:cs="Times New Roman"/>
          <w:bCs/>
          <w:sz w:val="24"/>
          <w:szCs w:val="24"/>
        </w:rPr>
        <w:t>dB(A)之间、夜间噪声值在4</w:t>
      </w:r>
      <w:r>
        <w:rPr>
          <w:rFonts w:hint="eastAsia" w:ascii="Times New Roman" w:hAnsi="Times New Roman" w:eastAsia="宋体" w:cs="Times New Roman"/>
          <w:bCs/>
          <w:sz w:val="24"/>
          <w:szCs w:val="24"/>
        </w:rPr>
        <w:t>8.5</w:t>
      </w:r>
      <w:r>
        <w:rPr>
          <w:rFonts w:ascii="Times New Roman" w:hAnsi="Times New Roman" w:eastAsia="宋体" w:cs="Times New Roman"/>
          <w:bCs/>
          <w:sz w:val="24"/>
          <w:szCs w:val="24"/>
        </w:rPr>
        <w:t>~5</w:t>
      </w:r>
      <w:r>
        <w:rPr>
          <w:rFonts w:hint="eastAsia" w:ascii="Times New Roman" w:hAnsi="Times New Roman" w:eastAsia="宋体" w:cs="Times New Roman"/>
          <w:bCs/>
          <w:sz w:val="24"/>
          <w:szCs w:val="24"/>
        </w:rPr>
        <w:t>4.3</w:t>
      </w:r>
      <w:r>
        <w:rPr>
          <w:rFonts w:ascii="Times New Roman" w:hAnsi="Times New Roman" w:eastAsia="宋体" w:cs="Times New Roman"/>
          <w:bCs/>
          <w:sz w:val="24"/>
          <w:szCs w:val="24"/>
        </w:rPr>
        <w:t>dB(A)之间，满足</w:t>
      </w:r>
      <w:r>
        <w:rPr>
          <w:rFonts w:ascii="Times New Roman" w:hAnsi="Times New Roman" w:eastAsia="宋体" w:cs="Times New Roman"/>
          <w:sz w:val="24"/>
        </w:rPr>
        <w:t>《工业企业厂界环境噪声排放标准》（GB12348-2008）3类标准</w:t>
      </w:r>
      <w:r>
        <w:rPr>
          <w:rFonts w:ascii="Times New Roman" w:hAnsi="Times New Roman" w:eastAsia="宋体" w:cs="Times New Roman"/>
          <w:bCs/>
          <w:sz w:val="24"/>
          <w:szCs w:val="24"/>
        </w:rPr>
        <w:t>要求，与现状评价报告一致。</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6.4固体废物影响分析</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6.4.1搬迁项目（现状评价）固体废物影响分析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搬迁项目现状评价期间固体废物产生量约107.34万t/a，其中可综合利用的部分尽可能做到了综合利用，无法综合作用的部分全部外委有资质的单位进行安全处置，搬迁项目固体废物的综合利用、安全处置率达到100%。</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6.4.2后评价固体废物影响分析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后评价</w:t>
      </w:r>
      <w:r>
        <w:rPr>
          <w:rFonts w:ascii="Times New Roman" w:hAnsi="Times New Roman" w:eastAsia="宋体" w:cs="Times New Roman"/>
          <w:bCs/>
          <w:sz w:val="24"/>
          <w:szCs w:val="24"/>
          <w:highlight w:val="none"/>
        </w:rPr>
        <w:t>阶段，固体废物产生量约</w:t>
      </w:r>
      <w:r>
        <w:rPr>
          <w:rFonts w:hint="eastAsia" w:ascii="Times New Roman" w:hAnsi="Times New Roman" w:eastAsia="宋体" w:cs="Times New Roman"/>
          <w:bCs/>
          <w:sz w:val="24"/>
          <w:szCs w:val="24"/>
          <w:highlight w:val="none"/>
          <w:lang w:val="en-US" w:eastAsia="zh-CN"/>
        </w:rPr>
        <w:t>113.17万</w:t>
      </w:r>
      <w:r>
        <w:rPr>
          <w:rFonts w:ascii="Times New Roman" w:hAnsi="Times New Roman" w:eastAsia="宋体" w:cs="Times New Roman"/>
          <w:bCs/>
          <w:sz w:val="24"/>
          <w:szCs w:val="24"/>
          <w:highlight w:val="none"/>
        </w:rPr>
        <w:t>t/a，其中危险废物</w:t>
      </w:r>
      <w:r>
        <w:rPr>
          <w:rFonts w:hint="eastAsia" w:ascii="Times New Roman" w:hAnsi="Times New Roman" w:eastAsia="宋体" w:cs="Times New Roman"/>
          <w:bCs/>
          <w:sz w:val="24"/>
          <w:szCs w:val="24"/>
          <w:highlight w:val="none"/>
          <w:lang w:val="en-US" w:eastAsia="zh-CN"/>
        </w:rPr>
        <w:t>0.11</w:t>
      </w:r>
      <w:r>
        <w:rPr>
          <w:rFonts w:ascii="Times New Roman" w:hAnsi="Times New Roman" w:eastAsia="宋体" w:cs="Times New Roman"/>
          <w:bCs/>
          <w:sz w:val="24"/>
          <w:szCs w:val="24"/>
          <w:highlight w:val="none"/>
        </w:rPr>
        <w:t>t/a、一般固废</w:t>
      </w:r>
      <w:r>
        <w:rPr>
          <w:rFonts w:hint="eastAsia" w:ascii="Times New Roman" w:hAnsi="Times New Roman" w:eastAsia="宋体" w:cs="Times New Roman"/>
          <w:bCs/>
          <w:sz w:val="24"/>
          <w:szCs w:val="24"/>
          <w:highlight w:val="none"/>
          <w:lang w:val="en-US" w:eastAsia="zh-CN"/>
        </w:rPr>
        <w:t>103.06万t</w:t>
      </w:r>
      <w:r>
        <w:rPr>
          <w:rFonts w:ascii="Times New Roman" w:hAnsi="Times New Roman" w:eastAsia="宋体" w:cs="Times New Roman"/>
          <w:bCs/>
          <w:sz w:val="24"/>
          <w:szCs w:val="24"/>
          <w:highlight w:val="none"/>
        </w:rPr>
        <w:t>/a。</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6.2.4.1后评价阶段固废产生及利用情况</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根据现状实际调查，厂区现有固体废物种类包括：废钢（切头尾及轧废）、高炉渣、钢渣、除尘灰、氧化铁皮、水处理污泥、废耐火材料、废油、烧结脱硫渣等。全厂固体废物发生量及利用情况详见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_Ref427257233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.4-1。</w:t>
      </w:r>
    </w:p>
    <w:p>
      <w:pPr>
        <w:pStyle w:val="31"/>
        <w:keepNext w:val="0"/>
        <w:keepLines w:val="0"/>
        <w:pageBreakBefore w:val="0"/>
        <w:kinsoku/>
        <w:wordWrap/>
        <w:bidi w:val="0"/>
        <w:snapToGrid/>
        <w:spacing w:line="360" w:lineRule="auto"/>
        <w:rPr>
          <w:rFonts w:cs="Times New Roman"/>
        </w:rPr>
      </w:pPr>
      <w:r>
        <w:rPr>
          <w:rFonts w:cs="Times New Roman"/>
        </w:rPr>
        <w:t>表6.4-1  固体废物发生量及利用情况表</w:t>
      </w:r>
    </w:p>
    <w:tbl>
      <w:tblPr>
        <w:tblStyle w:val="21"/>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1611"/>
        <w:gridCol w:w="1021"/>
        <w:gridCol w:w="870"/>
        <w:gridCol w:w="1681"/>
        <w:gridCol w:w="30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分类</w:t>
            </w:r>
          </w:p>
        </w:tc>
        <w:tc>
          <w:tcPr>
            <w:tcW w:w="1611"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名称</w:t>
            </w:r>
          </w:p>
        </w:tc>
        <w:tc>
          <w:tcPr>
            <w:tcW w:w="1021"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产生量</w:t>
            </w:r>
          </w:p>
        </w:tc>
        <w:tc>
          <w:tcPr>
            <w:tcW w:w="870"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利用量</w:t>
            </w:r>
          </w:p>
        </w:tc>
        <w:tc>
          <w:tcPr>
            <w:tcW w:w="1681"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处置利用率(%)</w:t>
            </w:r>
          </w:p>
        </w:tc>
        <w:tc>
          <w:tcPr>
            <w:tcW w:w="3019" w:type="dxa"/>
            <w:shd w:val="clear" w:color="auto" w:fill="auto"/>
            <w:vAlign w:val="center"/>
          </w:tcPr>
          <w:p>
            <w:pPr>
              <w:pStyle w:val="87"/>
              <w:keepNext w:val="0"/>
              <w:keepLines w:val="0"/>
              <w:pageBreakBefore w:val="0"/>
              <w:kinsoku/>
              <w:wordWrap/>
              <w:overflowPunct/>
              <w:topLinePunct w:val="0"/>
              <w:autoSpaceDE/>
              <w:autoSpaceDN/>
              <w:bidi w:val="0"/>
              <w:adjustRightInd/>
              <w:snapToGrid/>
              <w:spacing w:line="240" w:lineRule="auto"/>
              <w:textAlignment w:val="auto"/>
              <w:rPr>
                <w:rFonts w:cs="Times New Roman"/>
                <w:color w:val="auto"/>
              </w:rPr>
            </w:pPr>
            <w:r>
              <w:rPr>
                <w:rFonts w:cs="Times New Roman"/>
                <w:color w:val="auto"/>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restart"/>
            <w:shd w:val="clear" w:color="auto" w:fill="auto"/>
            <w:vAlign w:val="center"/>
          </w:tcPr>
          <w:p>
            <w:pPr>
              <w:pStyle w:val="88"/>
              <w:keepNext w:val="0"/>
              <w:keepLines w:val="0"/>
              <w:pageBreakBefore w:val="0"/>
              <w:widowControl w:val="0"/>
              <w:kinsoku/>
              <w:wordWrap/>
              <w:overflowPunct/>
              <w:topLinePunct w:val="0"/>
              <w:autoSpaceDE/>
              <w:autoSpaceDN/>
              <w:bidi w:val="0"/>
              <w:adjustRightInd/>
              <w:snapToGrid/>
              <w:textAlignment w:val="auto"/>
              <w:rPr>
                <w:rFonts w:cs="Times New Roman"/>
                <w:color w:val="auto"/>
              </w:rPr>
            </w:pPr>
            <w:r>
              <w:rPr>
                <w:rFonts w:cs="Times New Roman"/>
                <w:color w:val="auto"/>
              </w:rPr>
              <w:t>一般工业固体废物</w:t>
            </w:r>
          </w:p>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(I类)</w:t>
            </w: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高炉渣(水渣)</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66.37</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66.37</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送矿渣微粉生产线加工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除尘灰、瓦斯灰</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8.74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8.74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氧化铁皮</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4.25</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4.25</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水处理污泥</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切头尾等轧废</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3.77</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3.77</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返炼钢冶炼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球化渣</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0.11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0.11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返工频炉重熔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废轧辊</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外售铜陵市大成轧辊有限责任公司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水泥砂浆</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3.6</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3.6</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外售作为建筑用砂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溜槽铁</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返工频炉重熔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rPr>
              <w:t>不含树脂废砂芯</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lang w:val="en-US" w:eastAsia="zh-CN"/>
              </w:rPr>
              <w:t>3.4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lang w:val="en-US" w:eastAsia="zh-CN"/>
              </w:rPr>
              <w:t>3.4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lang w:val="en-US" w:eastAsia="zh-CN"/>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hint="eastAsia" w:eastAsia="宋体" w:cs="Times New Roman"/>
                <w:color w:val="auto"/>
                <w:lang w:eastAsia="zh-CN"/>
              </w:rPr>
            </w:pPr>
            <w:r>
              <w:rPr>
                <w:rFonts w:hint="eastAsia"/>
                <w:lang w:eastAsia="zh-CN"/>
              </w:rPr>
              <w:t>做建筑材料外售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焦粉和煤尘</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2.5</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2.5</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煤尘送备煤系统回用，焦粉收集后送烧结作配料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废耐火材料等工业垃圾</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回收可利用部分，其余送耐火材料厂作为骨料或用于填坑铺路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restart"/>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一般工业固体废物(</w:t>
            </w:r>
            <w:r>
              <w:rPr>
                <w:rFonts w:hint="eastAsia" w:ascii="宋体" w:hAnsi="宋体" w:cs="宋体"/>
                <w:color w:val="auto"/>
              </w:rPr>
              <w:t>Ⅱ</w:t>
            </w:r>
            <w:r>
              <w:rPr>
                <w:rFonts w:cs="Times New Roman"/>
                <w:color w:val="auto"/>
              </w:rPr>
              <w:t>类)</w:t>
            </w: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钢渣</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15.82</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15.82</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经破碎，筛分、磁选处理后废钢返生产系统，尾渣作为建筑材料外销润江新型环保建材有限公司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烧结脱硫渣</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3.36</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3.36</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作为水泥原料外销芜湖市晟世成商贸有限公司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restart"/>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危险废物</w:t>
            </w:r>
          </w:p>
        </w:tc>
        <w:tc>
          <w:tcPr>
            <w:tcW w:w="1611" w:type="dxa"/>
            <w:shd w:val="clear" w:color="auto" w:fill="auto"/>
            <w:vAlign w:val="center"/>
          </w:tcPr>
          <w:p>
            <w:pPr>
              <w:pStyle w:val="88"/>
              <w:rPr>
                <w:rFonts w:cs="Times New Roman"/>
                <w:color w:val="FF0000"/>
              </w:rPr>
            </w:pPr>
            <w:r>
              <w:rPr>
                <w:rFonts w:cs="Times New Roman"/>
                <w:color w:val="FF0000"/>
              </w:rPr>
              <w:t>焦油渣</w:t>
            </w:r>
          </w:p>
          <w:p>
            <w:pPr>
              <w:pStyle w:val="88"/>
              <w:rPr>
                <w:rFonts w:cs="Times New Roman"/>
                <w:color w:val="FF0000"/>
              </w:rPr>
            </w:pPr>
            <w:r>
              <w:rPr>
                <w:rFonts w:cs="Times New Roman"/>
                <w:color w:val="FF0000"/>
              </w:rPr>
              <w:t>(HW11</w:t>
            </w:r>
          </w:p>
          <w:p>
            <w:pPr>
              <w:pStyle w:val="88"/>
              <w:rPr>
                <w:rFonts w:cs="Times New Roman"/>
                <w:color w:val="auto"/>
              </w:rPr>
            </w:pPr>
            <w:r>
              <w:rPr>
                <w:rFonts w:cs="Times New Roman"/>
                <w:color w:val="FF0000"/>
                <w:kern w:val="0"/>
                <w:szCs w:val="18"/>
              </w:rPr>
              <w:t>252-001-11</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返回炼焦备煤系统，掺入炼焦煤炼焦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再生器残渣(HW11</w:t>
            </w:r>
          </w:p>
          <w:p>
            <w:pPr>
              <w:pStyle w:val="88"/>
              <w:rPr>
                <w:rFonts w:cs="Times New Roman"/>
                <w:color w:val="auto"/>
              </w:rPr>
            </w:pPr>
            <w:r>
              <w:rPr>
                <w:rFonts w:cs="Times New Roman"/>
                <w:color w:val="FF0000"/>
                <w:kern w:val="0"/>
                <w:szCs w:val="18"/>
              </w:rPr>
              <w:t>252-003-11</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0.02</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0.02</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送油库焦油槽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沥青渣</w:t>
            </w:r>
          </w:p>
          <w:p>
            <w:pPr>
              <w:pStyle w:val="88"/>
              <w:rPr>
                <w:rFonts w:cs="Times New Roman"/>
                <w:color w:val="FF0000"/>
              </w:rPr>
            </w:pPr>
            <w:r>
              <w:rPr>
                <w:rFonts w:cs="Times New Roman"/>
                <w:color w:val="FF0000"/>
              </w:rPr>
              <w:t>(HW11</w:t>
            </w:r>
          </w:p>
          <w:p>
            <w:pPr>
              <w:pStyle w:val="88"/>
              <w:rPr>
                <w:rFonts w:cs="Times New Roman"/>
                <w:color w:val="auto"/>
              </w:rPr>
            </w:pPr>
            <w:r>
              <w:rPr>
                <w:rFonts w:cs="Times New Roman"/>
                <w:color w:val="FF0000"/>
                <w:kern w:val="0"/>
                <w:szCs w:val="18"/>
              </w:rPr>
              <w:t>252-001-11</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0.00005</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0.00005</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返回炼焦备煤系统，掺入炼焦煤炼焦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生化污泥(HW38</w:t>
            </w:r>
          </w:p>
          <w:p>
            <w:pPr>
              <w:pStyle w:val="88"/>
              <w:rPr>
                <w:rFonts w:cs="Times New Roman"/>
                <w:color w:val="auto"/>
              </w:rPr>
            </w:pPr>
            <w:r>
              <w:rPr>
                <w:rFonts w:cs="Times New Roman"/>
                <w:color w:val="FF0000"/>
                <w:kern w:val="0"/>
                <w:szCs w:val="18"/>
              </w:rPr>
              <w:t>261-069-38</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0.0072</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0.0072</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脱水后掺入炼焦煤炼焦，掺入炼焦煤炼焦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废油</w:t>
            </w:r>
          </w:p>
          <w:p>
            <w:pPr>
              <w:pStyle w:val="88"/>
              <w:rPr>
                <w:rFonts w:cs="Times New Roman"/>
                <w:color w:val="FF0000"/>
              </w:rPr>
            </w:pPr>
            <w:r>
              <w:rPr>
                <w:rFonts w:cs="Times New Roman"/>
                <w:color w:val="FF0000"/>
              </w:rPr>
              <w:t>(HW08</w:t>
            </w:r>
          </w:p>
          <w:p>
            <w:pPr>
              <w:pStyle w:val="88"/>
              <w:rPr>
                <w:rFonts w:cs="Times New Roman"/>
                <w:color w:val="auto"/>
              </w:rPr>
            </w:pPr>
            <w:r>
              <w:rPr>
                <w:rFonts w:cs="Times New Roman"/>
                <w:color w:val="FF0000"/>
                <w:kern w:val="0"/>
                <w:szCs w:val="18"/>
              </w:rPr>
              <w:t>900-201-08</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0.01</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0.01</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color w:val="auto"/>
              </w:rPr>
            </w:pPr>
            <w:r>
              <w:rPr>
                <w:rFonts w:hint="eastAsia"/>
                <w:color w:val="auto"/>
              </w:rPr>
              <w:t>交马鞍山市关东润滑油有限责任公司处置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废活性炭(HW49</w:t>
            </w:r>
          </w:p>
          <w:p>
            <w:pPr>
              <w:pStyle w:val="88"/>
              <w:rPr>
                <w:rFonts w:cs="Times New Roman"/>
                <w:color w:val="auto"/>
              </w:rPr>
            </w:pPr>
            <w:r>
              <w:rPr>
                <w:rFonts w:cs="Times New Roman"/>
                <w:color w:val="FF0000"/>
                <w:kern w:val="0"/>
                <w:szCs w:val="18"/>
              </w:rPr>
              <w:t>900-041-49</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0.007</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0.007</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返回炼焦备煤系统，掺入炼焦煤中炼焦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废催化剂(HW50</w:t>
            </w:r>
          </w:p>
          <w:p>
            <w:pPr>
              <w:pStyle w:val="88"/>
              <w:rPr>
                <w:rFonts w:cs="Times New Roman"/>
                <w:color w:val="auto"/>
              </w:rPr>
            </w:pPr>
            <w:r>
              <w:rPr>
                <w:rFonts w:cs="Times New Roman"/>
                <w:color w:val="FF0000"/>
                <w:kern w:val="0"/>
                <w:szCs w:val="18"/>
              </w:rPr>
              <w:t>772-007-50</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0.0044</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0.0044</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由厂家回收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锌粉/泥</w:t>
            </w:r>
          </w:p>
          <w:p>
            <w:pPr>
              <w:pStyle w:val="88"/>
              <w:rPr>
                <w:rFonts w:cs="Times New Roman"/>
                <w:color w:val="FF0000"/>
              </w:rPr>
            </w:pPr>
            <w:r>
              <w:rPr>
                <w:rFonts w:cs="Times New Roman"/>
                <w:color w:val="FF0000"/>
              </w:rPr>
              <w:t>(HW23</w:t>
            </w:r>
          </w:p>
          <w:p>
            <w:pPr>
              <w:pStyle w:val="88"/>
              <w:rPr>
                <w:rFonts w:cs="Times New Roman"/>
                <w:color w:val="auto"/>
              </w:rPr>
            </w:pPr>
            <w:r>
              <w:rPr>
                <w:rFonts w:cs="Times New Roman"/>
                <w:color w:val="FF0000"/>
                <w:kern w:val="0"/>
                <w:szCs w:val="18"/>
              </w:rPr>
              <w:t>336-103-23</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0.019</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0.019</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olor w:val="auto"/>
              </w:rPr>
              <w:t>送芜湖市易晖金属有限公司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0" w:type="dxa"/>
            <w:vMerge w:val="continue"/>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p>
        </w:tc>
        <w:tc>
          <w:tcPr>
            <w:tcW w:w="1611" w:type="dxa"/>
            <w:shd w:val="clear" w:color="auto" w:fill="auto"/>
            <w:vAlign w:val="center"/>
          </w:tcPr>
          <w:p>
            <w:pPr>
              <w:pStyle w:val="88"/>
              <w:rPr>
                <w:rFonts w:cs="Times New Roman"/>
                <w:color w:val="FF0000"/>
              </w:rPr>
            </w:pPr>
            <w:r>
              <w:rPr>
                <w:rFonts w:cs="Times New Roman"/>
                <w:color w:val="FF0000"/>
              </w:rPr>
              <w:t>含树脂废砂芯(HW13</w:t>
            </w:r>
          </w:p>
          <w:p>
            <w:pPr>
              <w:pStyle w:val="88"/>
              <w:rPr>
                <w:rFonts w:cs="Times New Roman"/>
                <w:color w:val="auto"/>
              </w:rPr>
            </w:pPr>
            <w:r>
              <w:rPr>
                <w:rFonts w:cs="Times New Roman"/>
                <w:color w:val="FF0000"/>
                <w:kern w:val="0"/>
                <w:szCs w:val="18"/>
              </w:rPr>
              <w:t>900-015-13</w:t>
            </w:r>
            <w:r>
              <w:rPr>
                <w:rFonts w:cs="Times New Roman"/>
                <w:color w:val="FF0000"/>
              </w:rPr>
              <w:t>)</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0.003</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0.003</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100</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olor w:val="auto"/>
              </w:rPr>
              <w:t>送芜湖海创环保科技有限责任公司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81" w:type="dxa"/>
            <w:gridSpan w:val="2"/>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合计</w:t>
            </w:r>
          </w:p>
        </w:tc>
        <w:tc>
          <w:tcPr>
            <w:tcW w:w="102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hint="default" w:eastAsia="宋体" w:cs="Times New Roman"/>
                <w:color w:val="auto"/>
                <w:lang w:val="en-US" w:eastAsia="zh-CN"/>
              </w:rPr>
            </w:pPr>
            <w:r>
              <w:rPr>
                <w:rFonts w:hint="eastAsia" w:cs="Times New Roman"/>
                <w:color w:val="auto"/>
                <w:lang w:val="en-US" w:eastAsia="zh-CN"/>
              </w:rPr>
              <w:t>113.17</w:t>
            </w:r>
          </w:p>
        </w:tc>
        <w:tc>
          <w:tcPr>
            <w:tcW w:w="870"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hint="eastAsia" w:cs="Times New Roman"/>
                <w:color w:val="auto"/>
                <w:lang w:val="en-US" w:eastAsia="zh-CN"/>
              </w:rPr>
              <w:t>113.17</w:t>
            </w:r>
          </w:p>
        </w:tc>
        <w:tc>
          <w:tcPr>
            <w:tcW w:w="1681"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w:t>
            </w:r>
          </w:p>
        </w:tc>
        <w:tc>
          <w:tcPr>
            <w:tcW w:w="3019" w:type="dxa"/>
            <w:shd w:val="clear" w:color="auto" w:fill="auto"/>
            <w:vAlign w:val="center"/>
          </w:tcPr>
          <w:p>
            <w:pPr>
              <w:pStyle w:val="88"/>
              <w:keepNext w:val="0"/>
              <w:keepLines w:val="0"/>
              <w:pageBreakBefore w:val="0"/>
              <w:kinsoku/>
              <w:wordWrap/>
              <w:overflowPunct/>
              <w:topLinePunct w:val="0"/>
              <w:autoSpaceDE/>
              <w:autoSpaceDN/>
              <w:bidi w:val="0"/>
              <w:adjustRightInd/>
              <w:snapToGrid/>
              <w:textAlignment w:val="auto"/>
              <w:rPr>
                <w:rFonts w:cs="Times New Roman"/>
                <w:color w:val="auto"/>
              </w:rPr>
            </w:pPr>
            <w:r>
              <w:rPr>
                <w:rFonts w:cs="Times New Roman"/>
                <w:color w:val="auto"/>
              </w:rPr>
              <w:t>-</w:t>
            </w:r>
          </w:p>
        </w:tc>
      </w:tr>
    </w:tbl>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6.2.4.2主要固体废物的物化性质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（1）除尘灰、含铁污泥及氧化铁皮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原料场、烧结、炼铁、炼钢、轧钢等工序产生的除尘灰和含铁污泥，铸管、连铸、轧钢等生产过程中产生的氧化铁皮等，均是钢铁企业可回收利用的资源，各种除尘灰及氧化铁皮的一般化学成分见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_Ref475345643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.4-2～</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_Ref484418232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w:t>
      </w:r>
      <w:r>
        <w:rPr>
          <w:rFonts w:hint="eastAsia" w:ascii="Times New Roman" w:hAnsi="Times New Roman" w:eastAsia="宋体" w:cs="Times New Roman"/>
          <w:bCs/>
          <w:sz w:val="24"/>
          <w:szCs w:val="24"/>
        </w:rPr>
        <w:t>6</w:t>
      </w:r>
      <w:r>
        <w:rPr>
          <w:rFonts w:ascii="Times New Roman" w:hAnsi="Times New Roman" w:eastAsia="宋体" w:cs="Times New Roman"/>
          <w:bCs/>
          <w:sz w:val="24"/>
          <w:szCs w:val="24"/>
        </w:rPr>
        <w:t>。</w:t>
      </w:r>
    </w:p>
    <w:p>
      <w:pPr>
        <w:pStyle w:val="31"/>
        <w:keepNext w:val="0"/>
        <w:keepLines w:val="0"/>
        <w:pageBreakBefore w:val="0"/>
        <w:kinsoku/>
        <w:wordWrap/>
        <w:bidi w:val="0"/>
        <w:snapToGrid/>
        <w:spacing w:line="360" w:lineRule="auto"/>
        <w:rPr>
          <w:rFonts w:cs="Times New Roman"/>
        </w:rPr>
      </w:pPr>
      <w:bookmarkStart w:id="10" w:name="_Ref475345643"/>
      <w:bookmarkStart w:id="11" w:name="_Ref426743580"/>
      <w:r>
        <w:rPr>
          <w:rFonts w:cs="Times New Roman"/>
        </w:rPr>
        <w:t>表</w:t>
      </w:r>
      <w:bookmarkEnd w:id="10"/>
      <w:bookmarkEnd w:id="11"/>
      <w:r>
        <w:rPr>
          <w:rFonts w:cs="Times New Roman"/>
        </w:rPr>
        <w:t>6.4-2  烧结除尘灰的主要化学成分</w:t>
      </w:r>
      <w:r>
        <w:rPr>
          <w:rFonts w:hint="eastAsia" w:cs="Times New Roman"/>
        </w:rPr>
        <w:t>（单位：</w:t>
      </w:r>
      <w:r>
        <w:rPr>
          <w:rFonts w:cs="Times New Roman"/>
        </w:rPr>
        <w:t>%</w:t>
      </w:r>
      <w:r>
        <w:rPr>
          <w:rFonts w:hint="eastAsia" w:cs="Times New Roman"/>
        </w:rPr>
        <w:t>）</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225"/>
        <w:gridCol w:w="1127"/>
        <w:gridCol w:w="1128"/>
        <w:gridCol w:w="1126"/>
        <w:gridCol w:w="1127"/>
        <w:gridCol w:w="1126"/>
        <w:gridCol w:w="11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084" w:type="dxa"/>
            <w:tcBorders>
              <w:top w:val="single" w:color="auto" w:sz="12" w:space="0"/>
              <w:left w:val="nil"/>
            </w:tcBorders>
            <w:vAlign w:val="center"/>
          </w:tcPr>
          <w:p>
            <w:pPr>
              <w:keepNext w:val="0"/>
              <w:keepLines w:val="0"/>
              <w:pageBreakBefore w:val="0"/>
              <w:kinsoku/>
              <w:wordWrap/>
              <w:bidi w:val="0"/>
              <w:snapToGrid/>
              <w:jc w:val="center"/>
            </w:pPr>
            <w:r>
              <w:rPr>
                <w:rFonts w:ascii="Times New Roman" w:hAnsi="Times New Roman" w:eastAsia="宋体" w:cs="Times New Roman"/>
                <w:b/>
                <w:bCs/>
                <w:szCs w:val="21"/>
              </w:rPr>
              <w:t>成份</w:t>
            </w:r>
          </w:p>
        </w:tc>
        <w:tc>
          <w:tcPr>
            <w:tcW w:w="1225"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FeO</w:t>
            </w:r>
          </w:p>
        </w:tc>
        <w:tc>
          <w:tcPr>
            <w:tcW w:w="1127"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Fe</w:t>
            </w:r>
            <w:r>
              <w:rPr>
                <w:rFonts w:ascii="Times New Roman" w:hAnsi="Times New Roman" w:cs="Times New Roman"/>
                <w:b/>
                <w:bCs/>
                <w:szCs w:val="21"/>
                <w:vertAlign w:val="subscript"/>
              </w:rPr>
              <w:t>2</w:t>
            </w:r>
            <w:r>
              <w:rPr>
                <w:rFonts w:ascii="Times New Roman" w:hAnsi="Times New Roman" w:cs="Times New Roman"/>
                <w:b/>
                <w:bCs/>
                <w:szCs w:val="21"/>
              </w:rPr>
              <w:t>O</w:t>
            </w:r>
            <w:r>
              <w:rPr>
                <w:rFonts w:ascii="Times New Roman" w:hAnsi="Times New Roman" w:cs="Times New Roman"/>
                <w:b/>
                <w:bCs/>
                <w:szCs w:val="21"/>
                <w:vertAlign w:val="subscript"/>
              </w:rPr>
              <w:t>3</w:t>
            </w:r>
          </w:p>
        </w:tc>
        <w:tc>
          <w:tcPr>
            <w:tcW w:w="112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CaO</w:t>
            </w:r>
          </w:p>
        </w:tc>
        <w:tc>
          <w:tcPr>
            <w:tcW w:w="1126"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SiO</w:t>
            </w:r>
            <w:r>
              <w:rPr>
                <w:rFonts w:ascii="Times New Roman" w:hAnsi="Times New Roman" w:cs="Times New Roman"/>
                <w:b/>
                <w:bCs/>
                <w:szCs w:val="21"/>
                <w:vertAlign w:val="subscript"/>
              </w:rPr>
              <w:t>2</w:t>
            </w:r>
          </w:p>
        </w:tc>
        <w:tc>
          <w:tcPr>
            <w:tcW w:w="1127"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Al</w:t>
            </w:r>
            <w:r>
              <w:rPr>
                <w:rFonts w:ascii="Times New Roman" w:hAnsi="Times New Roman" w:cs="Times New Roman"/>
                <w:b/>
                <w:bCs/>
                <w:szCs w:val="21"/>
                <w:vertAlign w:val="subscript"/>
              </w:rPr>
              <w:t>2</w:t>
            </w:r>
            <w:r>
              <w:rPr>
                <w:rFonts w:ascii="Times New Roman" w:hAnsi="Times New Roman" w:cs="Times New Roman"/>
                <w:b/>
                <w:bCs/>
                <w:szCs w:val="21"/>
              </w:rPr>
              <w:t>O</w:t>
            </w:r>
            <w:r>
              <w:rPr>
                <w:rFonts w:ascii="Times New Roman" w:hAnsi="Times New Roman" w:cs="Times New Roman"/>
                <w:b/>
                <w:bCs/>
                <w:szCs w:val="21"/>
                <w:vertAlign w:val="subscript"/>
              </w:rPr>
              <w:t>3</w:t>
            </w:r>
          </w:p>
        </w:tc>
        <w:tc>
          <w:tcPr>
            <w:tcW w:w="1126"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MgO</w:t>
            </w:r>
          </w:p>
        </w:tc>
        <w:tc>
          <w:tcPr>
            <w:tcW w:w="112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MnO</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084" w:type="dxa"/>
            <w:tcBorders>
              <w:left w:val="nil"/>
              <w:bottom w:val="single" w:color="auto" w:sz="12" w:space="0"/>
            </w:tcBorders>
            <w:vAlign w:val="center"/>
          </w:tcPr>
          <w:p>
            <w:pPr>
              <w:keepNext w:val="0"/>
              <w:keepLines w:val="0"/>
              <w:pageBreakBefore w:val="0"/>
              <w:kinsoku/>
              <w:wordWrap/>
              <w:bidi w:val="0"/>
              <w:snapToGrid/>
              <w:jc w:val="center"/>
            </w:pPr>
            <w:r>
              <w:rPr>
                <w:rFonts w:ascii="Times New Roman" w:hAnsi="Times New Roman" w:eastAsia="宋体" w:cs="Times New Roman"/>
                <w:szCs w:val="21"/>
              </w:rPr>
              <w:t>百分比</w:t>
            </w:r>
          </w:p>
        </w:tc>
        <w:tc>
          <w:tcPr>
            <w:tcW w:w="1225"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~10</w:t>
            </w:r>
          </w:p>
        </w:tc>
        <w:tc>
          <w:tcPr>
            <w:tcW w:w="1127"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~50</w:t>
            </w:r>
          </w:p>
        </w:tc>
        <w:tc>
          <w:tcPr>
            <w:tcW w:w="112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10</w:t>
            </w:r>
          </w:p>
        </w:tc>
        <w:tc>
          <w:tcPr>
            <w:tcW w:w="1126"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7</w:t>
            </w:r>
          </w:p>
        </w:tc>
        <w:tc>
          <w:tcPr>
            <w:tcW w:w="1127"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1.85</w:t>
            </w:r>
          </w:p>
        </w:tc>
        <w:tc>
          <w:tcPr>
            <w:tcW w:w="1126"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3.4</w:t>
            </w:r>
          </w:p>
        </w:tc>
        <w:tc>
          <w:tcPr>
            <w:tcW w:w="112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0.12</w:t>
            </w:r>
          </w:p>
        </w:tc>
      </w:tr>
    </w:tbl>
    <w:p>
      <w:pPr>
        <w:pStyle w:val="31"/>
        <w:keepNext w:val="0"/>
        <w:keepLines w:val="0"/>
        <w:pageBreakBefore w:val="0"/>
        <w:kinsoku/>
        <w:wordWrap/>
        <w:bidi w:val="0"/>
        <w:snapToGrid/>
        <w:spacing w:line="360" w:lineRule="auto"/>
        <w:rPr>
          <w:rFonts w:cs="Times New Roman"/>
        </w:rPr>
      </w:pPr>
      <w:r>
        <w:rPr>
          <w:rFonts w:cs="Times New Roman"/>
        </w:rPr>
        <w:t>表6.4-3  高炉瓦斯灰的主要化学成分</w:t>
      </w:r>
      <w:r>
        <w:rPr>
          <w:rFonts w:hint="eastAsia" w:cs="Times New Roman"/>
        </w:rPr>
        <w:t>（单位：</w:t>
      </w:r>
      <w:r>
        <w:rPr>
          <w:rFonts w:cs="Times New Roman"/>
        </w:rPr>
        <w:t>%</w:t>
      </w:r>
      <w:r>
        <w:rPr>
          <w:rFonts w:hint="eastAsia" w:cs="Times New Roman"/>
        </w:rPr>
        <w:t>）</w:t>
      </w:r>
    </w:p>
    <w:tbl>
      <w:tblPr>
        <w:tblStyle w:val="21"/>
        <w:tblW w:w="907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1008"/>
        <w:gridCol w:w="1008"/>
        <w:gridCol w:w="1008"/>
        <w:gridCol w:w="1008"/>
        <w:gridCol w:w="1008"/>
        <w:gridCol w:w="1007"/>
        <w:gridCol w:w="1008"/>
        <w:gridCol w:w="1008"/>
        <w:gridCol w:w="10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cantSplit/>
          <w:trHeight w:val="20" w:hRule="atLeast"/>
          <w:jc w:val="center"/>
        </w:trPr>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成份</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FeO</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Fe</w:t>
            </w:r>
            <w:r>
              <w:rPr>
                <w:rFonts w:ascii="Times New Roman" w:hAnsi="Times New Roman" w:eastAsia="宋体" w:cs="Times New Roman"/>
                <w:b/>
                <w:bCs/>
                <w:szCs w:val="21"/>
                <w:vertAlign w:val="subscript"/>
              </w:rPr>
              <w:t>2</w:t>
            </w:r>
            <w:r>
              <w:rPr>
                <w:rFonts w:ascii="Times New Roman" w:hAnsi="Times New Roman" w:eastAsia="宋体" w:cs="Times New Roman"/>
                <w:b/>
                <w:bCs/>
                <w:szCs w:val="21"/>
              </w:rPr>
              <w:t>O</w:t>
            </w:r>
            <w:r>
              <w:rPr>
                <w:rFonts w:ascii="Times New Roman" w:hAnsi="Times New Roman" w:eastAsia="宋体" w:cs="Times New Roman"/>
                <w:b/>
                <w:bCs/>
                <w:szCs w:val="21"/>
                <w:vertAlign w:val="subscript"/>
              </w:rPr>
              <w:t>3</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CaO</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SiO</w:t>
            </w:r>
            <w:r>
              <w:rPr>
                <w:rFonts w:ascii="Times New Roman" w:hAnsi="Times New Roman" w:eastAsia="宋体" w:cs="Times New Roman"/>
                <w:b/>
                <w:bCs/>
                <w:szCs w:val="21"/>
                <w:vertAlign w:val="subscript"/>
              </w:rPr>
              <w:t>2</w:t>
            </w:r>
          </w:p>
        </w:tc>
        <w:tc>
          <w:tcPr>
            <w:tcW w:w="100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Al</w:t>
            </w:r>
            <w:r>
              <w:rPr>
                <w:rFonts w:ascii="Times New Roman" w:hAnsi="Times New Roman" w:eastAsia="宋体" w:cs="Times New Roman"/>
                <w:b/>
                <w:bCs/>
                <w:szCs w:val="21"/>
                <w:vertAlign w:val="subscript"/>
              </w:rPr>
              <w:t>2</w:t>
            </w:r>
            <w:r>
              <w:rPr>
                <w:rFonts w:ascii="Times New Roman" w:hAnsi="Times New Roman" w:eastAsia="宋体" w:cs="Times New Roman"/>
                <w:b/>
                <w:bCs/>
                <w:szCs w:val="21"/>
              </w:rPr>
              <w:t>O</w:t>
            </w:r>
            <w:r>
              <w:rPr>
                <w:rFonts w:ascii="Times New Roman" w:hAnsi="Times New Roman" w:eastAsia="宋体" w:cs="Times New Roman"/>
                <w:b/>
                <w:bCs/>
                <w:szCs w:val="21"/>
                <w:vertAlign w:val="subscript"/>
              </w:rPr>
              <w:t>3</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MgO</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S</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固定碳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cantSplit/>
          <w:trHeight w:val="20" w:hRule="atLeast"/>
          <w:jc w:val="center"/>
        </w:trPr>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eastAsia="宋体" w:cs="Times New Roman"/>
                <w:szCs w:val="21"/>
              </w:rPr>
              <w:t>百分比</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5</w:t>
            </w:r>
            <w:r>
              <w:rPr>
                <w:rFonts w:ascii="Times New Roman" w:hAnsi="Times New Roman" w:cs="Times New Roman"/>
                <w:szCs w:val="21"/>
              </w:rPr>
              <w:sym w:font="Symbol" w:char="F07E"/>
            </w:r>
            <w:r>
              <w:rPr>
                <w:rFonts w:ascii="Times New Roman" w:hAnsi="Times New Roman" w:cs="Times New Roman"/>
                <w:szCs w:val="21"/>
              </w:rPr>
              <w:t>10</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sym w:font="Symbol" w:char="F07E"/>
            </w:r>
            <w:r>
              <w:rPr>
                <w:rFonts w:ascii="Times New Roman" w:hAnsi="Times New Roman" w:cs="Times New Roman"/>
                <w:szCs w:val="21"/>
              </w:rPr>
              <w:t>40</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8</w:t>
            </w:r>
            <w:r>
              <w:rPr>
                <w:rFonts w:ascii="Times New Roman" w:hAnsi="Times New Roman" w:cs="Times New Roman"/>
                <w:szCs w:val="21"/>
              </w:rPr>
              <w:sym w:font="Symbol" w:char="F07E"/>
            </w:r>
            <w:r>
              <w:rPr>
                <w:rFonts w:ascii="Times New Roman" w:hAnsi="Times New Roman" w:cs="Times New Roman"/>
                <w:szCs w:val="21"/>
              </w:rPr>
              <w:t>12</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rPr>
              <w:sym w:font="Symbol" w:char="F07E"/>
            </w:r>
            <w:r>
              <w:rPr>
                <w:rFonts w:ascii="Times New Roman" w:hAnsi="Times New Roman" w:cs="Times New Roman"/>
                <w:szCs w:val="21"/>
              </w:rPr>
              <w:t>15</w:t>
            </w:r>
          </w:p>
        </w:tc>
        <w:tc>
          <w:tcPr>
            <w:tcW w:w="1007"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5</w:t>
            </w:r>
            <w:r>
              <w:rPr>
                <w:rFonts w:ascii="Times New Roman" w:hAnsi="Times New Roman" w:cs="Times New Roman"/>
                <w:szCs w:val="21"/>
              </w:rPr>
              <w:sym w:font="Symbol" w:char="F07E"/>
            </w:r>
            <w:r>
              <w:rPr>
                <w:rFonts w:ascii="Times New Roman" w:hAnsi="Times New Roman" w:cs="Times New Roman"/>
                <w:szCs w:val="21"/>
              </w:rPr>
              <w:t>7</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2</w:t>
            </w:r>
            <w:r>
              <w:rPr>
                <w:rFonts w:ascii="Times New Roman" w:hAnsi="Times New Roman" w:cs="Times New Roman"/>
                <w:szCs w:val="21"/>
              </w:rPr>
              <w:sym w:font="Symbol" w:char="F07E"/>
            </w:r>
            <w:r>
              <w:rPr>
                <w:rFonts w:ascii="Times New Roman" w:hAnsi="Times New Roman" w:cs="Times New Roman"/>
                <w:szCs w:val="21"/>
              </w:rPr>
              <w:t>3</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0.003</w:t>
            </w:r>
            <w:r>
              <w:rPr>
                <w:rFonts w:ascii="Times New Roman" w:hAnsi="Times New Roman" w:cs="Times New Roman"/>
                <w:szCs w:val="21"/>
              </w:rPr>
              <w:sym w:font="Symbol" w:char="F07E"/>
            </w:r>
            <w:r>
              <w:rPr>
                <w:rFonts w:ascii="Times New Roman" w:hAnsi="Times New Roman" w:cs="Times New Roman"/>
                <w:szCs w:val="21"/>
              </w:rPr>
              <w:t>0.08</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15</w:t>
            </w:r>
            <w:r>
              <w:rPr>
                <w:rFonts w:ascii="Times New Roman" w:hAnsi="Times New Roman" w:cs="Times New Roman"/>
                <w:szCs w:val="21"/>
              </w:rPr>
              <w:sym w:font="Symbol" w:char="F07E"/>
            </w:r>
            <w:r>
              <w:rPr>
                <w:rFonts w:ascii="Times New Roman" w:hAnsi="Times New Roman" w:cs="Times New Roman"/>
                <w:szCs w:val="21"/>
              </w:rPr>
              <w:t>50</w:t>
            </w:r>
          </w:p>
        </w:tc>
      </w:tr>
    </w:tbl>
    <w:p>
      <w:pPr>
        <w:pStyle w:val="31"/>
        <w:keepNext w:val="0"/>
        <w:keepLines w:val="0"/>
        <w:pageBreakBefore w:val="0"/>
        <w:kinsoku/>
        <w:wordWrap/>
        <w:bidi w:val="0"/>
        <w:snapToGrid/>
        <w:spacing w:line="360" w:lineRule="auto"/>
        <w:rPr>
          <w:rFonts w:cs="Times New Roman"/>
        </w:rPr>
      </w:pPr>
      <w:r>
        <w:rPr>
          <w:rFonts w:cs="Times New Roman"/>
        </w:rPr>
        <w:t>表6.4-4  高炉除尘灰的主要化学成分</w:t>
      </w:r>
      <w:r>
        <w:rPr>
          <w:rFonts w:hint="eastAsia" w:cs="Times New Roman"/>
        </w:rPr>
        <w:t>（单位：</w:t>
      </w:r>
      <w:r>
        <w:rPr>
          <w:rFonts w:cs="Times New Roman"/>
        </w:rPr>
        <w:t>%</w:t>
      </w:r>
      <w:r>
        <w:rPr>
          <w:rFonts w:hint="eastAsia" w:cs="Times New Roman"/>
        </w:rPr>
        <w:t>）</w:t>
      </w:r>
    </w:p>
    <w:tbl>
      <w:tblPr>
        <w:tblStyle w:val="21"/>
        <w:tblW w:w="907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1008"/>
        <w:gridCol w:w="1008"/>
        <w:gridCol w:w="1008"/>
        <w:gridCol w:w="1008"/>
        <w:gridCol w:w="1008"/>
        <w:gridCol w:w="1007"/>
        <w:gridCol w:w="1008"/>
        <w:gridCol w:w="1008"/>
        <w:gridCol w:w="10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cantSplit/>
          <w:trHeight w:val="20" w:hRule="atLeast"/>
          <w:jc w:val="center"/>
        </w:trPr>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eastAsia="宋体" w:cs="Times New Roman"/>
                <w:b/>
                <w:bCs/>
                <w:szCs w:val="21"/>
              </w:rPr>
              <w:t>成份</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FeO</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Fe</w:t>
            </w:r>
            <w:r>
              <w:rPr>
                <w:rFonts w:ascii="Times New Roman" w:hAnsi="Times New Roman" w:cs="Times New Roman"/>
                <w:b/>
                <w:bCs/>
                <w:szCs w:val="21"/>
                <w:vertAlign w:val="subscript"/>
              </w:rPr>
              <w:t>2</w:t>
            </w:r>
            <w:r>
              <w:rPr>
                <w:rFonts w:ascii="Times New Roman" w:hAnsi="Times New Roman" w:cs="Times New Roman"/>
                <w:b/>
                <w:bCs/>
                <w:szCs w:val="21"/>
              </w:rPr>
              <w:t>O</w:t>
            </w:r>
            <w:r>
              <w:rPr>
                <w:rFonts w:ascii="Times New Roman" w:hAnsi="Times New Roman" w:cs="Times New Roman"/>
                <w:b/>
                <w:bCs/>
                <w:szCs w:val="21"/>
                <w:vertAlign w:val="subscript"/>
              </w:rPr>
              <w:t>3</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TFe</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Ca</w:t>
            </w:r>
          </w:p>
        </w:tc>
        <w:tc>
          <w:tcPr>
            <w:tcW w:w="1007"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Si</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Al</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Mg</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Zn</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cantSplit/>
          <w:trHeight w:val="20" w:hRule="atLeast"/>
          <w:jc w:val="center"/>
        </w:trPr>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eastAsia="宋体" w:cs="Times New Roman"/>
                <w:szCs w:val="21"/>
              </w:rPr>
              <w:t>百分比</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11.58</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29.89</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50</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3.19</w:t>
            </w:r>
          </w:p>
        </w:tc>
        <w:tc>
          <w:tcPr>
            <w:tcW w:w="1007"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3.83</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1.38</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0.60</w:t>
            </w:r>
          </w:p>
        </w:tc>
        <w:tc>
          <w:tcPr>
            <w:tcW w:w="1008"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1.87</w:t>
            </w:r>
          </w:p>
        </w:tc>
      </w:tr>
    </w:tbl>
    <w:p>
      <w:pPr>
        <w:pStyle w:val="31"/>
        <w:keepNext w:val="0"/>
        <w:keepLines w:val="0"/>
        <w:pageBreakBefore w:val="0"/>
        <w:kinsoku/>
        <w:wordWrap/>
        <w:bidi w:val="0"/>
        <w:snapToGrid/>
        <w:spacing w:line="360" w:lineRule="auto"/>
        <w:rPr>
          <w:rFonts w:cs="Times New Roman"/>
        </w:rPr>
      </w:pPr>
      <w:r>
        <w:rPr>
          <w:rFonts w:cs="Times New Roman"/>
        </w:rPr>
        <w:t>表6.4-5  转炉除尘灰的主要化学成分</w:t>
      </w:r>
      <w:r>
        <w:rPr>
          <w:rFonts w:hint="eastAsia" w:cs="Times New Roman"/>
        </w:rPr>
        <w:t>（单位：</w:t>
      </w:r>
      <w:r>
        <w:rPr>
          <w:rFonts w:cs="Times New Roman"/>
        </w:rPr>
        <w:t>%</w:t>
      </w:r>
      <w:r>
        <w:rPr>
          <w:rFonts w:hint="eastAsia" w:cs="Times New Roman"/>
        </w:rPr>
        <w:t>）</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1003"/>
        <w:gridCol w:w="984"/>
        <w:gridCol w:w="984"/>
        <w:gridCol w:w="985"/>
        <w:gridCol w:w="984"/>
        <w:gridCol w:w="985"/>
        <w:gridCol w:w="1277"/>
        <w:gridCol w:w="8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1004"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eastAsia="宋体" w:cs="Times New Roman"/>
                <w:b/>
                <w:bCs/>
                <w:szCs w:val="21"/>
              </w:rPr>
              <w:t>成份</w:t>
            </w:r>
          </w:p>
        </w:tc>
        <w:tc>
          <w:tcPr>
            <w:tcW w:w="1003"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FeO</w:t>
            </w:r>
          </w:p>
        </w:tc>
        <w:tc>
          <w:tcPr>
            <w:tcW w:w="984"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Fe</w:t>
            </w:r>
            <w:r>
              <w:rPr>
                <w:rFonts w:ascii="Times New Roman" w:hAnsi="Times New Roman" w:cs="Times New Roman"/>
                <w:b/>
                <w:bCs/>
                <w:szCs w:val="21"/>
                <w:vertAlign w:val="subscript"/>
              </w:rPr>
              <w:t>2</w:t>
            </w:r>
            <w:r>
              <w:rPr>
                <w:rFonts w:ascii="Times New Roman" w:hAnsi="Times New Roman" w:cs="Times New Roman"/>
                <w:b/>
                <w:bCs/>
                <w:szCs w:val="21"/>
              </w:rPr>
              <w:t>O</w:t>
            </w:r>
            <w:r>
              <w:rPr>
                <w:rFonts w:ascii="Times New Roman" w:hAnsi="Times New Roman" w:cs="Times New Roman"/>
                <w:b/>
                <w:bCs/>
                <w:szCs w:val="21"/>
                <w:vertAlign w:val="subscript"/>
              </w:rPr>
              <w:t>3</w:t>
            </w:r>
          </w:p>
        </w:tc>
        <w:tc>
          <w:tcPr>
            <w:tcW w:w="984"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CaO</w:t>
            </w:r>
          </w:p>
        </w:tc>
        <w:tc>
          <w:tcPr>
            <w:tcW w:w="985"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SiO</w:t>
            </w:r>
            <w:r>
              <w:rPr>
                <w:rFonts w:ascii="Times New Roman" w:hAnsi="Times New Roman" w:cs="Times New Roman"/>
                <w:b/>
                <w:bCs/>
                <w:szCs w:val="21"/>
                <w:vertAlign w:val="subscript"/>
              </w:rPr>
              <w:t>2</w:t>
            </w:r>
          </w:p>
        </w:tc>
        <w:tc>
          <w:tcPr>
            <w:tcW w:w="984"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Al</w:t>
            </w:r>
            <w:r>
              <w:rPr>
                <w:rFonts w:ascii="Times New Roman" w:hAnsi="Times New Roman" w:cs="Times New Roman"/>
                <w:b/>
                <w:bCs/>
                <w:szCs w:val="21"/>
                <w:vertAlign w:val="subscript"/>
              </w:rPr>
              <w:t>2</w:t>
            </w:r>
            <w:r>
              <w:rPr>
                <w:rFonts w:ascii="Times New Roman" w:hAnsi="Times New Roman" w:cs="Times New Roman"/>
                <w:b/>
                <w:bCs/>
                <w:szCs w:val="21"/>
              </w:rPr>
              <w:t>O</w:t>
            </w:r>
            <w:r>
              <w:rPr>
                <w:rFonts w:ascii="Times New Roman" w:hAnsi="Times New Roman" w:cs="Times New Roman"/>
                <w:b/>
                <w:bCs/>
                <w:szCs w:val="21"/>
                <w:vertAlign w:val="subscript"/>
              </w:rPr>
              <w:t>3</w:t>
            </w:r>
          </w:p>
        </w:tc>
        <w:tc>
          <w:tcPr>
            <w:tcW w:w="985"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P</w:t>
            </w:r>
          </w:p>
        </w:tc>
        <w:tc>
          <w:tcPr>
            <w:tcW w:w="1277"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S</w:t>
            </w:r>
          </w:p>
        </w:tc>
        <w:tc>
          <w:tcPr>
            <w:tcW w:w="865"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MgO</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0" w:hRule="atLeast"/>
          <w:jc w:val="center"/>
        </w:trPr>
        <w:tc>
          <w:tcPr>
            <w:tcW w:w="1004"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eastAsia="宋体" w:cs="Times New Roman"/>
                <w:szCs w:val="21"/>
              </w:rPr>
              <w:t>百分比</w:t>
            </w:r>
          </w:p>
        </w:tc>
        <w:tc>
          <w:tcPr>
            <w:tcW w:w="1003"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36~65</w:t>
            </w:r>
          </w:p>
        </w:tc>
        <w:tc>
          <w:tcPr>
            <w:tcW w:w="984"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13~16</w:t>
            </w:r>
          </w:p>
        </w:tc>
        <w:tc>
          <w:tcPr>
            <w:tcW w:w="984"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8~14</w:t>
            </w:r>
          </w:p>
        </w:tc>
        <w:tc>
          <w:tcPr>
            <w:tcW w:w="985"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2~5</w:t>
            </w:r>
          </w:p>
        </w:tc>
        <w:tc>
          <w:tcPr>
            <w:tcW w:w="984"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0.6~1.3</w:t>
            </w:r>
          </w:p>
        </w:tc>
        <w:tc>
          <w:tcPr>
            <w:tcW w:w="985"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0.55</w:t>
            </w:r>
          </w:p>
        </w:tc>
        <w:tc>
          <w:tcPr>
            <w:tcW w:w="1277"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0.02~0.05</w:t>
            </w:r>
          </w:p>
        </w:tc>
        <w:tc>
          <w:tcPr>
            <w:tcW w:w="865"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1~6</w:t>
            </w:r>
          </w:p>
        </w:tc>
      </w:tr>
    </w:tbl>
    <w:p>
      <w:pPr>
        <w:pStyle w:val="31"/>
        <w:keepNext w:val="0"/>
        <w:keepLines w:val="0"/>
        <w:pageBreakBefore w:val="0"/>
        <w:kinsoku/>
        <w:wordWrap/>
        <w:bidi w:val="0"/>
        <w:snapToGrid/>
        <w:spacing w:line="360" w:lineRule="auto"/>
        <w:rPr>
          <w:rFonts w:cs="Times New Roman"/>
        </w:rPr>
      </w:pPr>
      <w:bookmarkStart w:id="12" w:name="_Ref484418232"/>
      <w:r>
        <w:rPr>
          <w:rFonts w:cs="Times New Roman"/>
        </w:rPr>
        <w:t>表</w:t>
      </w:r>
      <w:bookmarkEnd w:id="12"/>
      <w:r>
        <w:rPr>
          <w:rFonts w:cs="Times New Roman"/>
        </w:rPr>
        <w:t>6.4-6  氧化铁皮的主要化学成分</w:t>
      </w:r>
      <w:r>
        <w:rPr>
          <w:rFonts w:hint="eastAsia" w:cs="Times New Roman"/>
        </w:rPr>
        <w:t>（单位：</w:t>
      </w:r>
      <w:r>
        <w:rPr>
          <w:rFonts w:cs="Times New Roman"/>
        </w:rPr>
        <w:t>%</w:t>
      </w:r>
      <w:r>
        <w:rPr>
          <w:rFonts w:hint="eastAsia" w:cs="Times New Roman"/>
        </w:rPr>
        <w:t>）</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9"/>
        <w:gridCol w:w="1739"/>
        <w:gridCol w:w="1543"/>
        <w:gridCol w:w="1352"/>
        <w:gridCol w:w="1352"/>
        <w:gridCol w:w="13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39"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b/>
                <w:bCs/>
              </w:rPr>
            </w:pPr>
            <w:r>
              <w:rPr>
                <w:rFonts w:ascii="Times New Roman" w:hAnsi="Times New Roman" w:eastAsia="宋体" w:cs="Times New Roman"/>
                <w:b/>
                <w:bCs/>
                <w:szCs w:val="21"/>
              </w:rPr>
              <w:t>成份</w:t>
            </w:r>
          </w:p>
        </w:tc>
        <w:tc>
          <w:tcPr>
            <w:tcW w:w="1739"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T.Fe</w:t>
            </w:r>
          </w:p>
        </w:tc>
        <w:tc>
          <w:tcPr>
            <w:tcW w:w="1543"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CaO</w:t>
            </w:r>
          </w:p>
        </w:tc>
        <w:tc>
          <w:tcPr>
            <w:tcW w:w="1352"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SiO</w:t>
            </w:r>
            <w:r>
              <w:rPr>
                <w:b/>
                <w:bCs/>
                <w:vertAlign w:val="subscript"/>
              </w:rPr>
              <w:t>2</w:t>
            </w:r>
          </w:p>
        </w:tc>
        <w:tc>
          <w:tcPr>
            <w:tcW w:w="1352"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MgO</w:t>
            </w:r>
          </w:p>
        </w:tc>
        <w:tc>
          <w:tcPr>
            <w:tcW w:w="1346"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39" w:type="dxa"/>
            <w:tcBorders>
              <w:tl2br w:val="nil"/>
              <w:tr2bl w:val="nil"/>
            </w:tcBorders>
            <w:vAlign w:val="center"/>
          </w:tcPr>
          <w:p>
            <w:pPr>
              <w:keepNext w:val="0"/>
              <w:keepLines w:val="0"/>
              <w:pageBreakBefore w:val="0"/>
              <w:kinsoku/>
              <w:wordWrap/>
              <w:bidi w:val="0"/>
              <w:snapToGrid/>
              <w:jc w:val="center"/>
              <w:rPr>
                <w:rFonts w:ascii="Times New Roman" w:hAnsi="Times New Roman" w:cs="Times New Roman"/>
              </w:rPr>
            </w:pPr>
            <w:r>
              <w:rPr>
                <w:rFonts w:ascii="Times New Roman" w:hAnsi="Times New Roman" w:eastAsia="宋体" w:cs="Times New Roman"/>
                <w:szCs w:val="21"/>
              </w:rPr>
              <w:t>百分比</w:t>
            </w:r>
          </w:p>
        </w:tc>
        <w:tc>
          <w:tcPr>
            <w:tcW w:w="1739" w:type="dxa"/>
            <w:tcBorders>
              <w:tl2br w:val="nil"/>
              <w:tr2bl w:val="nil"/>
            </w:tcBorders>
            <w:vAlign w:val="center"/>
          </w:tcPr>
          <w:p>
            <w:pPr>
              <w:pStyle w:val="41"/>
              <w:keepNext w:val="0"/>
              <w:keepLines w:val="0"/>
              <w:pageBreakBefore w:val="0"/>
              <w:kinsoku/>
              <w:wordWrap/>
              <w:bidi w:val="0"/>
              <w:snapToGrid/>
              <w:spacing w:line="240" w:lineRule="auto"/>
            </w:pPr>
            <w:r>
              <w:t>70</w:t>
            </w:r>
          </w:p>
        </w:tc>
        <w:tc>
          <w:tcPr>
            <w:tcW w:w="1543" w:type="dxa"/>
            <w:tcBorders>
              <w:tl2br w:val="nil"/>
              <w:tr2bl w:val="nil"/>
            </w:tcBorders>
            <w:vAlign w:val="center"/>
          </w:tcPr>
          <w:p>
            <w:pPr>
              <w:pStyle w:val="41"/>
              <w:keepNext w:val="0"/>
              <w:keepLines w:val="0"/>
              <w:pageBreakBefore w:val="0"/>
              <w:kinsoku/>
              <w:wordWrap/>
              <w:bidi w:val="0"/>
              <w:snapToGrid/>
              <w:spacing w:line="240" w:lineRule="auto"/>
            </w:pPr>
            <w:r>
              <w:t>0.3</w:t>
            </w:r>
          </w:p>
        </w:tc>
        <w:tc>
          <w:tcPr>
            <w:tcW w:w="1352" w:type="dxa"/>
            <w:tcBorders>
              <w:tl2br w:val="nil"/>
              <w:tr2bl w:val="nil"/>
            </w:tcBorders>
            <w:vAlign w:val="center"/>
          </w:tcPr>
          <w:p>
            <w:pPr>
              <w:pStyle w:val="41"/>
              <w:keepNext w:val="0"/>
              <w:keepLines w:val="0"/>
              <w:pageBreakBefore w:val="0"/>
              <w:kinsoku/>
              <w:wordWrap/>
              <w:bidi w:val="0"/>
              <w:snapToGrid/>
              <w:spacing w:line="240" w:lineRule="auto"/>
            </w:pPr>
            <w:r>
              <w:t>1.0</w:t>
            </w:r>
          </w:p>
        </w:tc>
        <w:tc>
          <w:tcPr>
            <w:tcW w:w="1352" w:type="dxa"/>
            <w:tcBorders>
              <w:tl2br w:val="nil"/>
              <w:tr2bl w:val="nil"/>
            </w:tcBorders>
            <w:vAlign w:val="center"/>
          </w:tcPr>
          <w:p>
            <w:pPr>
              <w:pStyle w:val="41"/>
              <w:keepNext w:val="0"/>
              <w:keepLines w:val="0"/>
              <w:pageBreakBefore w:val="0"/>
              <w:kinsoku/>
              <w:wordWrap/>
              <w:bidi w:val="0"/>
              <w:snapToGrid/>
              <w:spacing w:line="240" w:lineRule="auto"/>
            </w:pPr>
            <w:r>
              <w:t>0.18</w:t>
            </w:r>
          </w:p>
        </w:tc>
        <w:tc>
          <w:tcPr>
            <w:tcW w:w="1346" w:type="dxa"/>
            <w:tcBorders>
              <w:tl2br w:val="nil"/>
              <w:tr2bl w:val="nil"/>
            </w:tcBorders>
            <w:vAlign w:val="center"/>
          </w:tcPr>
          <w:p>
            <w:pPr>
              <w:pStyle w:val="41"/>
              <w:keepNext w:val="0"/>
              <w:keepLines w:val="0"/>
              <w:pageBreakBefore w:val="0"/>
              <w:kinsoku/>
              <w:wordWrap/>
              <w:bidi w:val="0"/>
              <w:snapToGrid/>
              <w:spacing w:line="240" w:lineRule="auto"/>
            </w:pPr>
            <w:r>
              <w:t>0.01~0.1</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瓦斯灰、除尘灰、氧化铁皮收集后全部送烧结配料，不仅能够提高烧结混合料的透气性，还能改善烧结过程，节约资源。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（2）冶炼渣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1）高炉渣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高炉冶炼铁水时，从炉顶加入的原料中除主原料铁矿石和燃料焦炭外，还需加入一定量的熔剂。由于铁矿石中的脉石主要由酸性氧化物SiO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、Al</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O</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rPr>
        <w:t>等组成，熔化所需温度较高，高炉炼铁的温度很难将其熔化。为此，必须加入适量的助熔剂，如石灰、白云石等，使它们生成低熔点共熔化合物。这些化合物连同被熔融的炉衬一起构成流动性良好的非金属渣。高炉渣排出后根据冷却方式不同，形成不同的成品渣。高炉渣的组成与生产所用的原料和渣的冷却方式有关。搬迁项目高炉渣的化学成分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_Ref484419094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.4-7。</w:t>
      </w:r>
    </w:p>
    <w:p>
      <w:pPr>
        <w:pStyle w:val="31"/>
        <w:keepNext w:val="0"/>
        <w:keepLines w:val="0"/>
        <w:pageBreakBefore w:val="0"/>
        <w:kinsoku/>
        <w:wordWrap/>
        <w:bidi w:val="0"/>
        <w:snapToGrid/>
        <w:spacing w:line="360" w:lineRule="auto"/>
        <w:rPr>
          <w:rFonts w:cs="Times New Roman"/>
        </w:rPr>
      </w:pPr>
      <w:bookmarkStart w:id="13" w:name="_Ref484419094"/>
      <w:r>
        <w:rPr>
          <w:rFonts w:cs="Times New Roman"/>
        </w:rPr>
        <w:t>表</w:t>
      </w:r>
      <w:bookmarkEnd w:id="13"/>
      <w:r>
        <w:rPr>
          <w:rFonts w:cs="Times New Roman"/>
        </w:rPr>
        <w:t>6.4-7  高炉渣化学成分</w:t>
      </w:r>
      <w:r>
        <w:rPr>
          <w:rFonts w:hint="eastAsia" w:cs="Times New Roman"/>
        </w:rPr>
        <w:t>（单位：</w:t>
      </w:r>
      <w:r>
        <w:rPr>
          <w:rFonts w:cs="Times New Roman"/>
        </w:rPr>
        <w:t>%</w:t>
      </w:r>
      <w:r>
        <w:rPr>
          <w:rFonts w:hint="eastAsia" w:cs="Times New Roman"/>
        </w:rPr>
        <w:t>）</w:t>
      </w:r>
    </w:p>
    <w:tbl>
      <w:tblPr>
        <w:tblStyle w:val="21"/>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739"/>
        <w:gridCol w:w="917"/>
        <w:gridCol w:w="916"/>
        <w:gridCol w:w="915"/>
        <w:gridCol w:w="918"/>
        <w:gridCol w:w="917"/>
        <w:gridCol w:w="914"/>
        <w:gridCol w:w="916"/>
        <w:gridCol w:w="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jc w:val="center"/>
        </w:trPr>
        <w:tc>
          <w:tcPr>
            <w:tcW w:w="1004" w:type="dxa"/>
            <w:tcBorders>
              <w:top w:val="single" w:color="auto" w:sz="12" w:space="0"/>
              <w:left w:val="nil"/>
            </w:tcBorders>
            <w:vAlign w:val="center"/>
          </w:tcPr>
          <w:p>
            <w:pPr>
              <w:keepNext w:val="0"/>
              <w:keepLines w:val="0"/>
              <w:pageBreakBefore w:val="0"/>
              <w:kinsoku/>
              <w:wordWrap/>
              <w:bidi w:val="0"/>
              <w:snapToGrid/>
              <w:jc w:val="center"/>
            </w:pPr>
            <w:r>
              <w:rPr>
                <w:rFonts w:ascii="Times New Roman" w:hAnsi="Times New Roman" w:eastAsia="宋体" w:cs="Times New Roman"/>
                <w:b/>
                <w:bCs/>
                <w:szCs w:val="21"/>
              </w:rPr>
              <w:t>成份</w:t>
            </w:r>
          </w:p>
        </w:tc>
        <w:tc>
          <w:tcPr>
            <w:tcW w:w="739" w:type="dxa"/>
            <w:tcBorders>
              <w:top w:val="single" w:color="auto" w:sz="12" w:space="0"/>
              <w:left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CaO</w:t>
            </w:r>
          </w:p>
        </w:tc>
        <w:tc>
          <w:tcPr>
            <w:tcW w:w="917" w:type="dxa"/>
            <w:tcBorders>
              <w:top w:val="single" w:color="auto" w:sz="12" w:space="0"/>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Si</w:t>
            </w:r>
          </w:p>
        </w:tc>
        <w:tc>
          <w:tcPr>
            <w:tcW w:w="916" w:type="dxa"/>
            <w:tcBorders>
              <w:top w:val="single" w:color="auto" w:sz="12" w:space="0"/>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Al</w:t>
            </w:r>
          </w:p>
        </w:tc>
        <w:tc>
          <w:tcPr>
            <w:tcW w:w="915" w:type="dxa"/>
            <w:tcBorders>
              <w:top w:val="single" w:color="auto" w:sz="12" w:space="0"/>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Mg</w:t>
            </w:r>
          </w:p>
        </w:tc>
        <w:tc>
          <w:tcPr>
            <w:tcW w:w="918" w:type="dxa"/>
            <w:tcBorders>
              <w:top w:val="single" w:color="auto" w:sz="12" w:space="0"/>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FeO</w:t>
            </w:r>
          </w:p>
        </w:tc>
        <w:tc>
          <w:tcPr>
            <w:tcW w:w="917" w:type="dxa"/>
            <w:tcBorders>
              <w:top w:val="single" w:color="auto" w:sz="12" w:space="0"/>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Fe</w:t>
            </w:r>
            <w:r>
              <w:rPr>
                <w:rFonts w:ascii="Times New Roman" w:hAnsi="Times New Roman" w:cs="Times New Roman"/>
                <w:b/>
                <w:bCs/>
                <w:szCs w:val="21"/>
                <w:vertAlign w:val="subscript"/>
              </w:rPr>
              <w:t>2</w:t>
            </w:r>
            <w:r>
              <w:rPr>
                <w:rFonts w:ascii="Times New Roman" w:hAnsi="Times New Roman" w:cs="Times New Roman"/>
                <w:b/>
                <w:bCs/>
                <w:szCs w:val="21"/>
              </w:rPr>
              <w:t>O</w:t>
            </w:r>
            <w:r>
              <w:rPr>
                <w:rFonts w:ascii="Times New Roman" w:hAnsi="Times New Roman" w:cs="Times New Roman"/>
                <w:b/>
                <w:bCs/>
                <w:szCs w:val="21"/>
                <w:vertAlign w:val="subscript"/>
              </w:rPr>
              <w:t>3</w:t>
            </w:r>
          </w:p>
        </w:tc>
        <w:tc>
          <w:tcPr>
            <w:tcW w:w="914" w:type="dxa"/>
            <w:tcBorders>
              <w:top w:val="single" w:color="auto" w:sz="12" w:space="0"/>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Mn</w:t>
            </w:r>
          </w:p>
        </w:tc>
        <w:tc>
          <w:tcPr>
            <w:tcW w:w="916" w:type="dxa"/>
            <w:tcBorders>
              <w:top w:val="single" w:color="auto" w:sz="12" w:space="0"/>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Ba</w:t>
            </w:r>
          </w:p>
        </w:tc>
        <w:tc>
          <w:tcPr>
            <w:tcW w:w="915" w:type="dxa"/>
            <w:tcBorders>
              <w:top w:val="single" w:color="auto" w:sz="12" w:space="0"/>
              <w:right w:val="nil"/>
            </w:tcBorders>
            <w:vAlign w:val="center"/>
          </w:tcPr>
          <w:p>
            <w:pPr>
              <w:keepNext w:val="0"/>
              <w:keepLines w:val="0"/>
              <w:pageBreakBefore w:val="0"/>
              <w:kinsoku/>
              <w:wordWrap/>
              <w:bidi w:val="0"/>
              <w:snapToGrid/>
              <w:jc w:val="center"/>
              <w:rPr>
                <w:rFonts w:ascii="Times New Roman" w:hAnsi="Times New Roman" w:cs="Times New Roman"/>
                <w:b/>
                <w:bCs/>
                <w:szCs w:val="21"/>
              </w:rPr>
            </w:pPr>
            <w:r>
              <w:rPr>
                <w:rFonts w:ascii="Times New Roman" w:hAnsi="Times New Roman" w:cs="Times New Roman"/>
                <w:b/>
                <w:bCs/>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004" w:type="dxa"/>
            <w:tcBorders>
              <w:left w:val="nil"/>
              <w:bottom w:val="single" w:color="auto" w:sz="12" w:space="0"/>
            </w:tcBorders>
            <w:vAlign w:val="center"/>
          </w:tcPr>
          <w:p>
            <w:pPr>
              <w:keepNext w:val="0"/>
              <w:keepLines w:val="0"/>
              <w:pageBreakBefore w:val="0"/>
              <w:kinsoku/>
              <w:wordWrap/>
              <w:bidi w:val="0"/>
              <w:snapToGrid/>
              <w:jc w:val="center"/>
            </w:pPr>
            <w:r>
              <w:rPr>
                <w:rFonts w:ascii="Times New Roman" w:hAnsi="Times New Roman" w:eastAsia="宋体" w:cs="Times New Roman"/>
                <w:szCs w:val="21"/>
              </w:rPr>
              <w:t>百分比</w:t>
            </w:r>
          </w:p>
        </w:tc>
        <w:tc>
          <w:tcPr>
            <w:tcW w:w="739" w:type="dxa"/>
            <w:tcBorders>
              <w:left w:val="nil"/>
              <w:bottom w:val="single" w:color="auto" w:sz="12" w:space="0"/>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28.44</w:t>
            </w:r>
          </w:p>
        </w:tc>
        <w:tc>
          <w:tcPr>
            <w:tcW w:w="917" w:type="dxa"/>
            <w:tcBorders>
              <w:bottom w:val="single" w:color="auto" w:sz="12" w:space="0"/>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16.34</w:t>
            </w:r>
          </w:p>
        </w:tc>
        <w:tc>
          <w:tcPr>
            <w:tcW w:w="916" w:type="dxa"/>
            <w:tcBorders>
              <w:bottom w:val="single" w:color="auto" w:sz="12" w:space="0"/>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5.92</w:t>
            </w:r>
          </w:p>
        </w:tc>
        <w:tc>
          <w:tcPr>
            <w:tcW w:w="915" w:type="dxa"/>
            <w:tcBorders>
              <w:bottom w:val="single" w:color="auto" w:sz="12" w:space="0"/>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4.08</w:t>
            </w:r>
          </w:p>
        </w:tc>
        <w:tc>
          <w:tcPr>
            <w:tcW w:w="918" w:type="dxa"/>
            <w:tcBorders>
              <w:bottom w:val="single" w:color="auto" w:sz="12" w:space="0"/>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0.42</w:t>
            </w:r>
          </w:p>
        </w:tc>
        <w:tc>
          <w:tcPr>
            <w:tcW w:w="917" w:type="dxa"/>
            <w:tcBorders>
              <w:bottom w:val="single" w:color="auto" w:sz="12" w:space="0"/>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0.03</w:t>
            </w:r>
          </w:p>
        </w:tc>
        <w:tc>
          <w:tcPr>
            <w:tcW w:w="914" w:type="dxa"/>
            <w:tcBorders>
              <w:bottom w:val="single" w:color="auto" w:sz="12" w:space="0"/>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0.29</w:t>
            </w:r>
          </w:p>
        </w:tc>
        <w:tc>
          <w:tcPr>
            <w:tcW w:w="916" w:type="dxa"/>
            <w:tcBorders>
              <w:bottom w:val="single" w:color="auto" w:sz="12" w:space="0"/>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1.60</w:t>
            </w:r>
          </w:p>
        </w:tc>
        <w:tc>
          <w:tcPr>
            <w:tcW w:w="915" w:type="dxa"/>
            <w:tcBorders>
              <w:bottom w:val="single" w:color="auto" w:sz="12" w:space="0"/>
              <w:right w:val="nil"/>
            </w:tcBorders>
            <w:vAlign w:val="center"/>
          </w:tcPr>
          <w:p>
            <w:pPr>
              <w:keepNext w:val="0"/>
              <w:keepLines w:val="0"/>
              <w:pageBreakBefore w:val="0"/>
              <w:kinsoku/>
              <w:wordWrap/>
              <w:bidi w:val="0"/>
              <w:snapToGrid/>
              <w:jc w:val="center"/>
              <w:rPr>
                <w:rFonts w:ascii="Times New Roman" w:hAnsi="Times New Roman" w:cs="Times New Roman"/>
                <w:szCs w:val="21"/>
              </w:rPr>
            </w:pPr>
            <w:r>
              <w:rPr>
                <w:rFonts w:ascii="Times New Roman" w:hAnsi="Times New Roman" w:cs="Times New Roman"/>
                <w:szCs w:val="21"/>
              </w:rPr>
              <w:t>0.960</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2）钢渣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钢渣主要来源于铁水与废钢中所含铝、硅、锰、硫、磷等元素氧化后形成的氧化物，金属料带入的泥砂以及加入的造渣剂</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石灰、萤石</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等。根据炼钢方法的不同，钢渣可分为转炉渣和电炉渣。搬迁项目转炉钢渣的化学成分见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_Ref484419181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表6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.4-8。</w:t>
      </w:r>
    </w:p>
    <w:p>
      <w:pPr>
        <w:pStyle w:val="31"/>
        <w:keepNext w:val="0"/>
        <w:keepLines w:val="0"/>
        <w:pageBreakBefore w:val="0"/>
        <w:kinsoku/>
        <w:wordWrap/>
        <w:bidi w:val="0"/>
        <w:snapToGrid/>
        <w:spacing w:line="360" w:lineRule="auto"/>
        <w:rPr>
          <w:rFonts w:cs="Times New Roman"/>
        </w:rPr>
      </w:pPr>
      <w:bookmarkStart w:id="14" w:name="_Ref484419181"/>
      <w:r>
        <w:rPr>
          <w:rFonts w:cs="Times New Roman"/>
        </w:rPr>
        <w:t>表</w:t>
      </w:r>
      <w:bookmarkEnd w:id="14"/>
      <w:r>
        <w:rPr>
          <w:rFonts w:cs="Times New Roman"/>
        </w:rPr>
        <w:t>6.4-8  转炉钢渣主要化学成分</w:t>
      </w:r>
      <w:r>
        <w:rPr>
          <w:rFonts w:hint="eastAsia" w:cs="Times New Roman"/>
        </w:rPr>
        <w:t>（单位：</w:t>
      </w:r>
      <w:r>
        <w:rPr>
          <w:rFonts w:cs="Times New Roman"/>
        </w:rPr>
        <w:t>%</w:t>
      </w:r>
      <w:r>
        <w:rPr>
          <w:rFonts w:hint="eastAsia" w:cs="Times New Roman"/>
        </w:rPr>
        <w:t>）</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3"/>
        <w:gridCol w:w="1109"/>
        <w:gridCol w:w="977"/>
        <w:gridCol w:w="973"/>
        <w:gridCol w:w="1054"/>
        <w:gridCol w:w="978"/>
        <w:gridCol w:w="1053"/>
        <w:gridCol w:w="978"/>
        <w:gridCol w:w="9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7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成份</w:t>
            </w:r>
          </w:p>
        </w:tc>
        <w:tc>
          <w:tcPr>
            <w:tcW w:w="110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SiO</w:t>
            </w:r>
            <w:r>
              <w:rPr>
                <w:rFonts w:ascii="Times New Roman" w:hAnsi="Times New Roman" w:eastAsia="宋体" w:cs="Times New Roman"/>
                <w:b/>
                <w:bCs/>
                <w:szCs w:val="21"/>
                <w:vertAlign w:val="subscript"/>
              </w:rPr>
              <w:t>2</w:t>
            </w:r>
          </w:p>
        </w:tc>
        <w:tc>
          <w:tcPr>
            <w:tcW w:w="9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MnO</w:t>
            </w:r>
          </w:p>
        </w:tc>
        <w:tc>
          <w:tcPr>
            <w:tcW w:w="97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Al</w:t>
            </w:r>
            <w:r>
              <w:rPr>
                <w:rFonts w:ascii="Times New Roman" w:hAnsi="Times New Roman" w:eastAsia="宋体" w:cs="Times New Roman"/>
                <w:b/>
                <w:bCs/>
                <w:szCs w:val="21"/>
                <w:vertAlign w:val="subscript"/>
              </w:rPr>
              <w:t>2</w:t>
            </w:r>
            <w:r>
              <w:rPr>
                <w:rFonts w:ascii="Times New Roman" w:hAnsi="Times New Roman" w:eastAsia="宋体" w:cs="Times New Roman"/>
                <w:b/>
                <w:bCs/>
                <w:szCs w:val="21"/>
              </w:rPr>
              <w:t>O</w:t>
            </w:r>
            <w:r>
              <w:rPr>
                <w:rFonts w:ascii="Times New Roman" w:hAnsi="Times New Roman" w:eastAsia="宋体" w:cs="Times New Roman"/>
                <w:b/>
                <w:bCs/>
                <w:szCs w:val="21"/>
                <w:vertAlign w:val="subscript"/>
              </w:rPr>
              <w:t>3</w:t>
            </w:r>
          </w:p>
        </w:tc>
        <w:tc>
          <w:tcPr>
            <w:tcW w:w="105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CaO</w:t>
            </w:r>
          </w:p>
        </w:tc>
        <w:tc>
          <w:tcPr>
            <w:tcW w:w="9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MgO</w:t>
            </w:r>
          </w:p>
        </w:tc>
        <w:tc>
          <w:tcPr>
            <w:tcW w:w="105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FeO</w:t>
            </w:r>
          </w:p>
        </w:tc>
        <w:tc>
          <w:tcPr>
            <w:tcW w:w="9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Fe</w:t>
            </w:r>
            <w:r>
              <w:rPr>
                <w:rFonts w:ascii="Times New Roman" w:hAnsi="Times New Roman" w:eastAsia="宋体" w:cs="Times New Roman"/>
                <w:b/>
                <w:bCs/>
                <w:szCs w:val="21"/>
                <w:vertAlign w:val="subscript"/>
              </w:rPr>
              <w:t>2</w:t>
            </w:r>
            <w:r>
              <w:rPr>
                <w:rFonts w:ascii="Times New Roman" w:hAnsi="Times New Roman" w:eastAsia="宋体" w:cs="Times New Roman"/>
                <w:b/>
                <w:bCs/>
                <w:szCs w:val="21"/>
              </w:rPr>
              <w:t>O</w:t>
            </w:r>
            <w:r>
              <w:rPr>
                <w:rFonts w:ascii="Times New Roman" w:hAnsi="Times New Roman" w:eastAsia="宋体" w:cs="Times New Roman"/>
                <w:b/>
                <w:bCs/>
                <w:szCs w:val="21"/>
                <w:vertAlign w:val="subscript"/>
              </w:rPr>
              <w:t>3</w:t>
            </w:r>
          </w:p>
        </w:tc>
        <w:tc>
          <w:tcPr>
            <w:tcW w:w="97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P</w:t>
            </w:r>
            <w:r>
              <w:rPr>
                <w:rFonts w:ascii="Times New Roman" w:hAnsi="Times New Roman" w:eastAsia="宋体" w:cs="Times New Roman"/>
                <w:b/>
                <w:bCs/>
                <w:szCs w:val="21"/>
                <w:vertAlign w:val="subscript"/>
              </w:rPr>
              <w:t>2</w:t>
            </w:r>
            <w:r>
              <w:rPr>
                <w:rFonts w:ascii="Times New Roman" w:hAnsi="Times New Roman" w:eastAsia="宋体" w:cs="Times New Roman"/>
                <w:b/>
                <w:bCs/>
                <w:szCs w:val="21"/>
              </w:rPr>
              <w:t>O</w:t>
            </w:r>
            <w:r>
              <w:rPr>
                <w:rFonts w:ascii="Times New Roman" w:hAnsi="Times New Roman" w:eastAsia="宋体" w:cs="Times New Roman"/>
                <w:b/>
                <w:bCs/>
                <w:szCs w:val="21"/>
                <w:vertAlign w:val="subscript"/>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7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百分比</w:t>
            </w:r>
          </w:p>
        </w:tc>
        <w:tc>
          <w:tcPr>
            <w:tcW w:w="110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11.7~15.5</w:t>
            </w:r>
          </w:p>
        </w:tc>
        <w:tc>
          <w:tcPr>
            <w:tcW w:w="97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3.1~4</w:t>
            </w:r>
          </w:p>
        </w:tc>
        <w:tc>
          <w:tcPr>
            <w:tcW w:w="97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1~1.6</w:t>
            </w:r>
          </w:p>
        </w:tc>
        <w:tc>
          <w:tcPr>
            <w:tcW w:w="1054"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49~53.4</w:t>
            </w:r>
          </w:p>
        </w:tc>
        <w:tc>
          <w:tcPr>
            <w:tcW w:w="9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3.06~10</w:t>
            </w:r>
          </w:p>
        </w:tc>
        <w:tc>
          <w:tcPr>
            <w:tcW w:w="105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11~30</w:t>
            </w:r>
          </w:p>
        </w:tc>
        <w:tc>
          <w:tcPr>
            <w:tcW w:w="97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6.9~30</w:t>
            </w:r>
          </w:p>
        </w:tc>
        <w:tc>
          <w:tcPr>
            <w:tcW w:w="976"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1.7~2</w:t>
            </w:r>
          </w:p>
        </w:tc>
      </w:tr>
    </w:tbl>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3）焦化工序固废</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化生产过程包括炼焦、煤气净化及化产回收等生产工艺。在焦化生产过程中将产生固态、半固态及液态等废物，如：除尘灰、焦油渣、沥青渣、再生器残渣、生化污泥等。这些废物虽然产生量不大，但种类较多，且多数含有毒、有害及易燃物质，必须加以处置或综合利用，以减轻其对环境的危害影响。</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a.除尘灰</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炼焦煤及成品焦炭在输送、破碎、筛分过程中均产生粉尘，经除尘器进行捕集净化，除尘灰的主要成分是煤尘、焦尘。</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b.焦油渣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氨水对荒煤气进行喷洒后，带着捕集下来的煤尘、游离炭及冷凝下来的粗焦油等，进入氨水澄清槽，沉淀于底部的煤尘或游离炭粗颗粒就是焦油渣。焦油渣是裹有一定量焦油和氨水的煤尘及游离炭的混合物，一般含水份8~15%，挥发分60%左右，具有一定毒性、可燃性。</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c.沥青渣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蒸氨塔产生的沥青渣，具有一定毒性，其性质与沥青相近，可燃，主要成分为各种烃类，并含少量炭粉等颗粒物。</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d.再生器残渣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化生产用于吸收煤气中苯类的洗油在循环过程中比重逐渐增大，粘度提高，吸苯效率降低，需要抽出一定比例送往洗油再生器再生。再生过程中排出的大分子量物质即为再生器残渣。再生器残渣呈黑色固态（半固态）不定形物，外观类似中温沥青，属高分子环状物，兼有硫、氨等杂环，具有一定毒性，可燃。</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e.生化污泥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化生产过程中产生的含酚氰废水采用生化法处理，处理过程中活性污泥在分解酚、氰等有机物时，自身也发生滋生、增长和代谢，定期要排出过量的污泥，称作剩余污泥。污泥中含有机物、细菌、原生动物及重金属离子等，在微生物作用下，易氧化分解、腐败发臭。</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f.废活性炭</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废活性炭主要来自焦化脱硫废液提盐工艺环节，脱色釜采用活性炭脱色，用活性炭吸附沉淀物质，溶液由碱性转变为酸性，颜色由深绿转变为白色。</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g.废油</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废油主要来自机械和设备等使用过程中，因氧化、热分解聚合作用和磨粒杂质污染等情况需要更换产生的废油，其主要包括废液压油、润滑油和机油等。</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6.2.4.3固体废物处置及资源化利用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（1）除尘灰、含铁污泥及氧化铁皮处置及资源化利用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后评价阶段厂区各生产工序产生的除尘灰和高炉瓦斯灰，铸管车间产生的球化渣，收集后均返回烧结配料利用；连铸、轧钢等生产过程中产生的氧化铁皮亦送烧结配料使用；焦化系统收集的焦粉和煤尘，其中煤尘送备煤系统回用，焦粉收集后送烧结用作燃料。</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（2）冶炼渣处置及资源综合利用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后评价阶段厂区产生的高炉渣采用带冷凝装置的转鼓法水冲渣工艺冲制成水渣，水渣再经矿渣微粉生产线加工为矿渣微粉后外销。高炉水渣微粉生产线包括上料系统、矿渣粉磨、废气处理系统、矿渣微粉储存等生产设施。</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转炉炼钢产生的钢渣经热泼、焖渣后，经破碎并回收其中废钢后，其余尾渣作为建筑材料外销。</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（3）轧钢废物</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后评价阶段厂区轧钢生产过程中产生的轧废及切头/尾料、废切屑等均返回炼钢使用。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铸管车间产生的溜槽铁、边角废料和废铸管等送工频炉重新熔炼。</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（4）烧结脱硫渣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烧结脱硫渣主要来自烧结烟气脱硫系统，其主要成分为：CaSO</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rPr>
        <w:t>、CaSO</w:t>
      </w:r>
      <w:r>
        <w:rPr>
          <w:rFonts w:ascii="Times New Roman" w:hAnsi="Times New Roman" w:eastAsia="宋体" w:cs="Times New Roman"/>
          <w:bCs/>
          <w:sz w:val="24"/>
          <w:szCs w:val="24"/>
          <w:vertAlign w:val="subscript"/>
        </w:rPr>
        <w:t>4</w:t>
      </w:r>
      <w:r>
        <w:rPr>
          <w:rFonts w:ascii="Times New Roman" w:hAnsi="Times New Roman" w:eastAsia="宋体" w:cs="Times New Roman"/>
          <w:bCs/>
          <w:sz w:val="24"/>
          <w:szCs w:val="24"/>
        </w:rPr>
        <w:t>和少量未反应完的吸收</w:t>
      </w:r>
      <w:r>
        <w:rPr>
          <w:rFonts w:ascii="Times New Roman" w:hAnsi="Times New Roman" w:eastAsia="宋体" w:cs="Times New Roman"/>
          <w:bCs/>
          <w:sz w:val="24"/>
          <w:szCs w:val="24"/>
          <w:highlight w:val="none"/>
        </w:rPr>
        <w:t>剂Ca(OH)</w:t>
      </w:r>
      <w:r>
        <w:rPr>
          <w:rFonts w:ascii="Times New Roman" w:hAnsi="Times New Roman" w:eastAsia="宋体" w:cs="Times New Roman"/>
          <w:bCs/>
          <w:sz w:val="24"/>
          <w:szCs w:val="24"/>
          <w:highlight w:val="none"/>
          <w:vertAlign w:val="subscript"/>
        </w:rPr>
        <w:t>2</w:t>
      </w:r>
      <w:r>
        <w:rPr>
          <w:rFonts w:ascii="Times New Roman" w:hAnsi="Times New Roman" w:eastAsia="宋体" w:cs="Times New Roman"/>
          <w:bCs/>
          <w:sz w:val="24"/>
          <w:szCs w:val="24"/>
          <w:highlight w:val="none"/>
        </w:rPr>
        <w:t>，为半干态。后评价阶段厂区产生的烧结脱硫渣全部作为水泥原料外销</w:t>
      </w:r>
      <w:r>
        <w:rPr>
          <w:rFonts w:ascii="Times New Roman" w:hAnsi="Times New Roman" w:eastAsia="宋体" w:cs="Times New Roman"/>
          <w:bCs/>
          <w:sz w:val="24"/>
          <w:szCs w:val="24"/>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（5）工业垃圾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后评价阶段厂区产生的废耐火材料挑选其中可用部分后，其余送耐火材料厂作为骨料使用或用于填坑铺路。</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后评价阶段厂区铸管车间产生的不含树脂的废砂芯收集后返回混砂机循环制砂芯；产生的废水泥砂浆外销用作建筑用砂。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水处理系统产生的污泥经脱水后送烧结配料。</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（6）危险废物</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水处理系统收集的废</w:t>
      </w:r>
      <w:r>
        <w:rPr>
          <w:rFonts w:ascii="Times New Roman" w:hAnsi="Times New Roman" w:eastAsia="宋体" w:cs="Times New Roman"/>
          <w:bCs/>
          <w:sz w:val="24"/>
          <w:szCs w:val="24"/>
          <w:highlight w:val="none"/>
        </w:rPr>
        <w:t>油收集至废油桶内，集中存放在轧钢车间废油暂存场，委托有资质的芜湖县废油处理厂定期外运处置。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化工序煤气净化车间焦油氨水分离装置产生的焦油渣送备煤车间配入炼焦煤中炼焦；粗苯蒸馏再生器产生的残渣集中送油库焦油槽；蒸氨工段蒸氨塔产生的沥青渣送备煤车间配入炼焦煤中；酚氰废水处理站产生的少量剩余污泥经脱水后送备煤车间配入炼焦煤中炼焦；KXTT脱硫工艺产生的废活性炭配入炼焦煤中炼焦。</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bookmarkStart w:id="15" w:name="_Hlk485193548"/>
      <w:r>
        <w:rPr>
          <w:rFonts w:ascii="Times New Roman" w:hAnsi="Times New Roman" w:eastAsia="宋体" w:cs="Times New Roman"/>
          <w:bCs/>
          <w:sz w:val="24"/>
          <w:szCs w:val="24"/>
        </w:rPr>
        <w:t>铸管车间喷锌除尘系统收集的锌粉临时放置在公司危险废物暂存库中，定期外销</w:t>
      </w:r>
      <w:r>
        <w:rPr>
          <w:rFonts w:hint="eastAsia" w:ascii="Times New Roman" w:hAnsi="Times New Roman" w:eastAsia="宋体" w:cs="Times New Roman"/>
          <w:bCs/>
          <w:sz w:val="24"/>
          <w:szCs w:val="24"/>
        </w:rPr>
        <w:t>芜湖市易晖金属有限公司</w:t>
      </w:r>
      <w:r>
        <w:rPr>
          <w:rFonts w:ascii="Times New Roman" w:hAnsi="Times New Roman" w:eastAsia="宋体" w:cs="Times New Roman"/>
          <w:bCs/>
          <w:sz w:val="24"/>
          <w:szCs w:val="24"/>
        </w:rPr>
        <w:t>；含树脂的废砂芯临时放置在公司危险废物暂存库中，定期送</w:t>
      </w:r>
      <w:r>
        <w:rPr>
          <w:rFonts w:hint="eastAsia" w:ascii="Times New Roman" w:hAnsi="Times New Roman" w:eastAsia="宋体" w:cs="Times New Roman"/>
          <w:bCs/>
          <w:sz w:val="24"/>
          <w:szCs w:val="24"/>
        </w:rPr>
        <w:t>芜湖海创环保科技有限责任公司</w:t>
      </w:r>
      <w:r>
        <w:rPr>
          <w:rFonts w:ascii="Times New Roman" w:hAnsi="Times New Roman" w:eastAsia="宋体" w:cs="Times New Roman"/>
          <w:bCs/>
          <w:sz w:val="24"/>
          <w:szCs w:val="24"/>
        </w:rPr>
        <w:t>处置。</w:t>
      </w:r>
    </w:p>
    <w:bookmarkEnd w:id="15"/>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（7）一般工业固体废物贮存</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后评价阶段厂区钢渣处理场位于炼钢车间渣处理间，为封闭式结构，采用钢筋混凝土地面；钢渣堆场位于炼钢车间旁边，采用钢筋混凝土承重地坪，基础防渗采用1mm厚水泥基渗透结晶防渗涂层，并用两面钢筋混凝土挡渣墙和堆场建筑物三面围住（挡渣墙2.5m高，墙厚250mm），另一面设排水明沟（200mm宽100mm深）和排水沟（600mm宽最深处约1m）。</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烧结脱硫渣存放于石膏库内，石膏库采用密闭式结构，采用防渗钢筋混凝土结构地面，基础防渗采用1mm厚水泥基渗透结晶防渗涂层。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钢渣、脱硫渣暂存场地坪防渗施工图见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_Ref484422269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.4-1。</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cs="Times New Roman"/>
        </w:rPr>
        <w:drawing>
          <wp:inline distT="0" distB="0" distL="114300" distR="114300">
            <wp:extent cx="4732655" cy="2275840"/>
            <wp:effectExtent l="0" t="0" r="10795" b="10160"/>
            <wp:docPr id="33" name="图片 16" descr="钢渣堆场地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descr="钢渣堆场地坪.jpg"/>
                    <pic:cNvPicPr>
                      <a:picLocks noChangeAspect="1"/>
                    </pic:cNvPicPr>
                  </pic:nvPicPr>
                  <pic:blipFill>
                    <a:blip r:embed="rId94"/>
                    <a:stretch>
                      <a:fillRect/>
                    </a:stretch>
                  </pic:blipFill>
                  <pic:spPr>
                    <a:xfrm>
                      <a:off x="0" y="0"/>
                      <a:ext cx="4732655" cy="2275840"/>
                    </a:xfrm>
                    <a:prstGeom prst="rect">
                      <a:avLst/>
                    </a:prstGeom>
                    <a:noFill/>
                    <a:ln>
                      <a:noFill/>
                    </a:ln>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图6.4-1  钢渣、脱硫渣暂存场地坪施工图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由图可知，钢渣、脱硫渣暂存场地坪建设满足一般工业固体废物II类贮存的防渗要求。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（8）危险废物贮存设施</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1）焦油渣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焦化工序焦油渣存放在焦油渣箱中，暂存区域采用钢筋混凝土承重地坪，基础防渗采用2mm厚高密度聚乙烯，施工图见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_Ref484420321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.4-2。</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cs="Times New Roman"/>
        </w:rPr>
        <w:drawing>
          <wp:inline distT="0" distB="0" distL="114300" distR="114300">
            <wp:extent cx="4333875" cy="2091690"/>
            <wp:effectExtent l="0" t="0" r="9525" b="3810"/>
            <wp:docPr id="34" name="图片 17" descr="危废堆场3-不防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 descr="危废堆场3-不防火.jpg"/>
                    <pic:cNvPicPr>
                      <a:picLocks noChangeAspect="1"/>
                    </pic:cNvPicPr>
                  </pic:nvPicPr>
                  <pic:blipFill>
                    <a:blip r:embed="rId95"/>
                    <a:stretch>
                      <a:fillRect/>
                    </a:stretch>
                  </pic:blipFill>
                  <pic:spPr>
                    <a:xfrm>
                      <a:off x="0" y="0"/>
                      <a:ext cx="4333875" cy="2091690"/>
                    </a:xfrm>
                    <a:prstGeom prst="rect">
                      <a:avLst/>
                    </a:prstGeom>
                    <a:noFill/>
                    <a:ln>
                      <a:noFill/>
                    </a:ln>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图6.4-2  焦油渣箱地坪施工图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2）沥青渣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沥青渣暂存在沥青渣池内，渣池采用钢筋混凝土防渗漏地面，基础防渗采用2mm厚高密度聚乙烯，最上层为20mm厚防火层，外围设150mm高围堰。施工图见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_Ref484425250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.4-3。</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cs="Times New Roman"/>
        </w:rPr>
        <w:drawing>
          <wp:inline distT="0" distB="0" distL="114300" distR="114300">
            <wp:extent cx="4097655" cy="2020570"/>
            <wp:effectExtent l="0" t="0" r="17145" b="17780"/>
            <wp:docPr id="35" name="图片 18" descr="危废堆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8" descr="危废堆场2.jpg"/>
                    <pic:cNvPicPr>
                      <a:picLocks noChangeAspect="1"/>
                    </pic:cNvPicPr>
                  </pic:nvPicPr>
                  <pic:blipFill>
                    <a:blip r:embed="rId96"/>
                    <a:stretch>
                      <a:fillRect/>
                    </a:stretch>
                  </pic:blipFill>
                  <pic:spPr>
                    <a:xfrm>
                      <a:off x="0" y="0"/>
                      <a:ext cx="4097655" cy="2020570"/>
                    </a:xfrm>
                    <a:prstGeom prst="rect">
                      <a:avLst/>
                    </a:prstGeom>
                    <a:noFill/>
                    <a:ln>
                      <a:noFill/>
                    </a:ln>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图6.4-3  再生器残渣、沥青渣暂存场施工图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3）再生器残渣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再生器排渣区域周边地坪防渗采用钢筋混凝土防渗漏地面，基础防渗采用2mm厚高密度聚乙烯，最上层为20mm厚防火层，其地坪防渗施工图见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_Ref484425250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.4-3。</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4）废油</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水处理系统产生的废油由公司统一收集后，分类装入储罐，临时放置在公司危险废物暂存库，定期送往有废油处置资质的芜湖正昊燃油厂处置。危险废物暂存场为封闭式库房，位于焦化筒仓旁，具体位置见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_Ref484769388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w:t>
      </w:r>
      <w:r>
        <w:rPr>
          <w:rFonts w:hint="eastAsia" w:ascii="Times New Roman" w:hAnsi="Times New Roman" w:eastAsia="宋体" w:cs="Times New Roman"/>
          <w:bCs/>
          <w:sz w:val="24"/>
          <w:szCs w:val="24"/>
        </w:rPr>
        <w:t>6</w:t>
      </w:r>
      <w:r>
        <w:rPr>
          <w:rFonts w:ascii="Times New Roman" w:hAnsi="Times New Roman" w:eastAsia="宋体" w:cs="Times New Roman"/>
          <w:bCs/>
          <w:sz w:val="24"/>
          <w:szCs w:val="24"/>
        </w:rPr>
        <w:fldChar w:fldCharType="end"/>
      </w:r>
      <w:r>
        <w:rPr>
          <w:rFonts w:hint="eastAsia" w:ascii="Times New Roman" w:hAnsi="Times New Roman" w:eastAsia="宋体" w:cs="Times New Roman"/>
          <w:bCs/>
          <w:sz w:val="24"/>
          <w:szCs w:val="24"/>
        </w:rPr>
        <w:t>.4-6</w:t>
      </w:r>
      <w:r>
        <w:rPr>
          <w:rFonts w:ascii="Times New Roman" w:hAnsi="Times New Roman" w:eastAsia="宋体" w:cs="Times New Roman"/>
          <w:bCs/>
          <w:sz w:val="24"/>
          <w:szCs w:val="24"/>
        </w:rPr>
        <w:t>，其地坪采用钢筋混凝土地面，防渗系数为≤10</w:t>
      </w:r>
      <w:r>
        <w:rPr>
          <w:rFonts w:ascii="Times New Roman" w:hAnsi="Times New Roman" w:eastAsia="宋体" w:cs="Times New Roman"/>
          <w:bCs/>
          <w:sz w:val="24"/>
          <w:szCs w:val="24"/>
          <w:vertAlign w:val="superscript"/>
        </w:rPr>
        <w:t>-12</w:t>
      </w:r>
      <w:r>
        <w:rPr>
          <w:rFonts w:ascii="Times New Roman" w:hAnsi="Times New Roman" w:eastAsia="宋体" w:cs="Times New Roman"/>
          <w:bCs/>
          <w:sz w:val="24"/>
          <w:szCs w:val="24"/>
        </w:rPr>
        <w:t>cm/s，地坪防渗施工图见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_Ref460853974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图6.4-4</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，此外，危险废物废油暂存场地周围设置集油槽，泄漏的残油可通过集油槽导流至收集井内。</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cs="Times New Roman"/>
        </w:rPr>
        <w:drawing>
          <wp:inline distT="0" distB="0" distL="114300" distR="114300">
            <wp:extent cx="5398135" cy="2811145"/>
            <wp:effectExtent l="0" t="0" r="12065" b="8255"/>
            <wp:docPr id="36" name="图片 19" descr="C:\Users\haoyiren\AppData\Local\Microsoft\Windows\INetCacheContent.Word\F{G0XFVMP`@(@S@OK@2UL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9" descr="C:\Users\haoyiren\AppData\Local\Microsoft\Windows\INetCacheContent.Word\F{G0XFVMP`@(@S@OK@2ULUG.PNG"/>
                    <pic:cNvPicPr>
                      <a:picLocks noChangeAspect="1"/>
                    </pic:cNvPicPr>
                  </pic:nvPicPr>
                  <pic:blipFill>
                    <a:blip r:embed="rId97"/>
                    <a:srcRect t="8669" b="8832"/>
                    <a:stretch>
                      <a:fillRect/>
                    </a:stretch>
                  </pic:blipFill>
                  <pic:spPr>
                    <a:xfrm>
                      <a:off x="0" y="0"/>
                      <a:ext cx="5398135" cy="2811145"/>
                    </a:xfrm>
                    <a:prstGeom prst="rect">
                      <a:avLst/>
                    </a:prstGeom>
                    <a:noFill/>
                    <a:ln>
                      <a:noFill/>
                    </a:ln>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图6.4-4  危险废物暂存场地坪防渗施工图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由图可知，危险废物暂存场地坪建设满足危险废物贮存的防渗要求。</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5）锌粉/泥和含树脂废砂芯</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铸管车间喷锌除尘系统收集的锌粉临时放置在公司危险废物暂存库中，定期外销</w:t>
      </w:r>
      <w:r>
        <w:rPr>
          <w:rFonts w:hint="eastAsia" w:ascii="Times New Roman" w:hAnsi="Times New Roman" w:eastAsia="宋体" w:cs="Times New Roman"/>
          <w:bCs/>
          <w:sz w:val="24"/>
          <w:szCs w:val="24"/>
        </w:rPr>
        <w:t>芜湖市易晖金属有限公司</w:t>
      </w:r>
      <w:r>
        <w:rPr>
          <w:rFonts w:ascii="Times New Roman" w:hAnsi="Times New Roman" w:eastAsia="宋体" w:cs="Times New Roman"/>
          <w:bCs/>
          <w:sz w:val="24"/>
          <w:szCs w:val="24"/>
        </w:rPr>
        <w:t>；含树脂的废砂芯临时放置在公司危险废物暂存库中，定期送</w:t>
      </w:r>
      <w:r>
        <w:rPr>
          <w:rFonts w:hint="eastAsia" w:ascii="Times New Roman" w:hAnsi="Times New Roman" w:eastAsia="宋体" w:cs="Times New Roman"/>
          <w:bCs/>
          <w:sz w:val="24"/>
          <w:szCs w:val="24"/>
        </w:rPr>
        <w:t>芜湖海创环保科技有限责任公司</w:t>
      </w:r>
      <w:r>
        <w:rPr>
          <w:rFonts w:ascii="Times New Roman" w:hAnsi="Times New Roman" w:eastAsia="宋体" w:cs="Times New Roman"/>
          <w:bCs/>
          <w:sz w:val="24"/>
          <w:szCs w:val="24"/>
        </w:rPr>
        <w:t>处置。危险废物暂存场为封闭式库房，位于焦化筒仓旁，危废分类存放，并配备防火、防雨及防盗等措施。其地坪采用钢筋混凝土地面，防渗系数为≤10</w:t>
      </w:r>
      <w:r>
        <w:rPr>
          <w:rFonts w:ascii="Times New Roman" w:hAnsi="Times New Roman" w:eastAsia="宋体" w:cs="Times New Roman"/>
          <w:bCs/>
          <w:sz w:val="24"/>
          <w:szCs w:val="24"/>
          <w:vertAlign w:val="superscript"/>
        </w:rPr>
        <w:t>-12</w:t>
      </w:r>
      <w:r>
        <w:rPr>
          <w:rFonts w:ascii="Times New Roman" w:hAnsi="Times New Roman" w:eastAsia="宋体" w:cs="Times New Roman"/>
          <w:bCs/>
          <w:sz w:val="24"/>
          <w:szCs w:val="24"/>
        </w:rPr>
        <w:t>cm/s，地坪防渗施工图见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_Ref460853974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.4-4。现场照片见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_Ref486235032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.4-5。</w:t>
      </w:r>
    </w:p>
    <w:tbl>
      <w:tblPr>
        <w:tblStyle w:val="21"/>
        <w:tblW w:w="92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1"/>
        <w:gridCol w:w="4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21" w:type="dxa"/>
          </w:tcPr>
          <w:p>
            <w:pPr>
              <w:keepNext w:val="0"/>
              <w:keepLines w:val="0"/>
              <w:pageBreakBefore w:val="0"/>
              <w:widowControl/>
              <w:kinsoku/>
              <w:wordWrap/>
              <w:bidi w:val="0"/>
              <w:snapToGrid/>
              <w:jc w:val="center"/>
              <w:rPr>
                <w:rFonts w:ascii="Times New Roman" w:hAnsi="Times New Roman" w:cs="Times New Roman"/>
                <w:szCs w:val="21"/>
                <w:lang w:val="zh-CN"/>
              </w:rPr>
            </w:pPr>
            <w:r>
              <w:rPr>
                <w:rFonts w:ascii="Times New Roman" w:hAnsi="Times New Roman" w:cs="Times New Roman"/>
                <w:szCs w:val="21"/>
              </w:rPr>
              <w:drawing>
                <wp:inline distT="0" distB="0" distL="114300" distR="114300">
                  <wp:extent cx="2863215" cy="2487295"/>
                  <wp:effectExtent l="0" t="0" r="13335" b="8255"/>
                  <wp:docPr id="1" name="图片 4" descr="QQ图片2016081117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QQ图片20160811173350"/>
                          <pic:cNvPicPr>
                            <a:picLocks noChangeAspect="1"/>
                          </pic:cNvPicPr>
                        </pic:nvPicPr>
                        <pic:blipFill>
                          <a:blip r:embed="rId98"/>
                          <a:stretch>
                            <a:fillRect/>
                          </a:stretch>
                        </pic:blipFill>
                        <pic:spPr>
                          <a:xfrm>
                            <a:off x="0" y="0"/>
                            <a:ext cx="2863215" cy="2487295"/>
                          </a:xfrm>
                          <a:prstGeom prst="rect">
                            <a:avLst/>
                          </a:prstGeom>
                          <a:noFill/>
                          <a:ln>
                            <a:noFill/>
                          </a:ln>
                        </pic:spPr>
                      </pic:pic>
                    </a:graphicData>
                  </a:graphic>
                </wp:inline>
              </w:drawing>
            </w:r>
          </w:p>
        </w:tc>
        <w:tc>
          <w:tcPr>
            <w:tcW w:w="4622" w:type="dxa"/>
          </w:tcPr>
          <w:p>
            <w:pPr>
              <w:keepNext w:val="0"/>
              <w:keepLines w:val="0"/>
              <w:pageBreakBefore w:val="0"/>
              <w:widowControl/>
              <w:kinsoku/>
              <w:wordWrap/>
              <w:bidi w:val="0"/>
              <w:snapToGrid/>
              <w:jc w:val="center"/>
              <w:rPr>
                <w:rFonts w:ascii="Times New Roman" w:hAnsi="Times New Roman" w:cs="Times New Roman"/>
                <w:szCs w:val="21"/>
                <w:lang w:val="zh-CN"/>
              </w:rPr>
            </w:pPr>
            <w:r>
              <w:rPr>
                <w:rFonts w:ascii="Times New Roman" w:hAnsi="Times New Roman" w:cs="Times New Roman"/>
                <w:szCs w:val="21"/>
              </w:rPr>
              <w:drawing>
                <wp:inline distT="0" distB="0" distL="114300" distR="114300">
                  <wp:extent cx="2861945" cy="2487295"/>
                  <wp:effectExtent l="0" t="0" r="14605" b="8255"/>
                  <wp:docPr id="8" name="图片 6" descr="QQ图片2016081117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QQ图片20160811173403"/>
                          <pic:cNvPicPr>
                            <a:picLocks noChangeAspect="1"/>
                          </pic:cNvPicPr>
                        </pic:nvPicPr>
                        <pic:blipFill>
                          <a:blip r:embed="rId99"/>
                          <a:stretch>
                            <a:fillRect/>
                          </a:stretch>
                        </pic:blipFill>
                        <pic:spPr>
                          <a:xfrm>
                            <a:off x="0" y="0"/>
                            <a:ext cx="2861945" cy="24872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21" w:type="dxa"/>
          </w:tcPr>
          <w:p>
            <w:pPr>
              <w:keepNext w:val="0"/>
              <w:keepLines w:val="0"/>
              <w:pageBreakBefore w:val="0"/>
              <w:widowControl/>
              <w:kinsoku/>
              <w:wordWrap/>
              <w:bidi w:val="0"/>
              <w:snapToGrid/>
              <w:jc w:val="center"/>
              <w:rPr>
                <w:rFonts w:ascii="Times New Roman" w:hAnsi="Times New Roman" w:cs="Times New Roman"/>
                <w:szCs w:val="21"/>
                <w:lang w:val="zh-CN"/>
              </w:rPr>
            </w:pPr>
            <w:r>
              <w:rPr>
                <w:rFonts w:ascii="Times New Roman" w:hAnsi="Times New Roman" w:cs="Times New Roman"/>
              </w:rPr>
              <w:drawing>
                <wp:inline distT="0" distB="0" distL="114300" distR="114300">
                  <wp:extent cx="2861945" cy="2145665"/>
                  <wp:effectExtent l="0" t="0" r="14605" b="6985"/>
                  <wp:docPr id="6" name="图片 5" descr="综合危废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综合危废库3"/>
                          <pic:cNvPicPr>
                            <a:picLocks noChangeAspect="1"/>
                          </pic:cNvPicPr>
                        </pic:nvPicPr>
                        <pic:blipFill>
                          <a:blip r:embed="rId100"/>
                          <a:stretch>
                            <a:fillRect/>
                          </a:stretch>
                        </pic:blipFill>
                        <pic:spPr>
                          <a:xfrm>
                            <a:off x="0" y="0"/>
                            <a:ext cx="2861945" cy="2145665"/>
                          </a:xfrm>
                          <a:prstGeom prst="rect">
                            <a:avLst/>
                          </a:prstGeom>
                          <a:noFill/>
                          <a:ln>
                            <a:noFill/>
                          </a:ln>
                        </pic:spPr>
                      </pic:pic>
                    </a:graphicData>
                  </a:graphic>
                </wp:inline>
              </w:drawing>
            </w:r>
          </w:p>
        </w:tc>
        <w:tc>
          <w:tcPr>
            <w:tcW w:w="4622" w:type="dxa"/>
          </w:tcPr>
          <w:p>
            <w:pPr>
              <w:keepNext w:val="0"/>
              <w:keepLines w:val="0"/>
              <w:pageBreakBefore w:val="0"/>
              <w:widowControl/>
              <w:kinsoku/>
              <w:wordWrap/>
              <w:bidi w:val="0"/>
              <w:snapToGrid/>
              <w:jc w:val="center"/>
              <w:rPr>
                <w:rFonts w:ascii="Times New Roman" w:hAnsi="Times New Roman" w:cs="Times New Roman"/>
                <w:szCs w:val="21"/>
                <w:lang w:val="zh-CN"/>
              </w:rPr>
            </w:pPr>
            <w:r>
              <w:rPr>
                <w:rFonts w:ascii="Times New Roman" w:hAnsi="Times New Roman" w:cs="Times New Roman"/>
              </w:rPr>
              <w:drawing>
                <wp:inline distT="0" distB="0" distL="114300" distR="114300">
                  <wp:extent cx="2861945" cy="2145665"/>
                  <wp:effectExtent l="0" t="0" r="14605" b="6985"/>
                  <wp:docPr id="9" name="图片 7" descr="82093087338288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820930873382881492"/>
                          <pic:cNvPicPr>
                            <a:picLocks noChangeAspect="1"/>
                          </pic:cNvPicPr>
                        </pic:nvPicPr>
                        <pic:blipFill>
                          <a:blip r:embed="rId101"/>
                          <a:stretch>
                            <a:fillRect/>
                          </a:stretch>
                        </pic:blipFill>
                        <pic:spPr>
                          <a:xfrm>
                            <a:off x="0" y="0"/>
                            <a:ext cx="2861945" cy="2145665"/>
                          </a:xfrm>
                          <a:prstGeom prst="rect">
                            <a:avLst/>
                          </a:prstGeom>
                          <a:noFill/>
                          <a:ln>
                            <a:noFill/>
                          </a:ln>
                        </pic:spPr>
                      </pic:pic>
                    </a:graphicData>
                  </a:graphic>
                </wp:inline>
              </w:drawing>
            </w:r>
          </w:p>
        </w:tc>
      </w:tr>
    </w:tbl>
    <w:p>
      <w:pPr>
        <w:pStyle w:val="31"/>
        <w:keepNext w:val="0"/>
        <w:keepLines w:val="0"/>
        <w:pageBreakBefore w:val="0"/>
        <w:kinsoku/>
        <w:wordWrap/>
        <w:bidi w:val="0"/>
        <w:snapToGrid/>
        <w:spacing w:line="360" w:lineRule="auto"/>
        <w:rPr>
          <w:rFonts w:cs="Times New Roman"/>
        </w:rPr>
      </w:pPr>
      <w:r>
        <w:rPr>
          <w:rFonts w:cs="Times New Roman"/>
        </w:rPr>
        <w:t>图6.4-5  现有厂区危险废物暂存库现场照片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一般固废及危废暂存场具体位置见</w:t>
      </w:r>
      <w:r>
        <w:rPr>
          <w:rFonts w:ascii="Times New Roman" w:hAnsi="Times New Roman" w:eastAsia="宋体" w:cs="Times New Roman"/>
          <w:bCs/>
          <w:sz w:val="24"/>
          <w:szCs w:val="24"/>
        </w:rPr>
        <w:fldChar w:fldCharType="begin"/>
      </w:r>
      <w:r>
        <w:rPr>
          <w:rFonts w:ascii="Times New Roman" w:hAnsi="Times New Roman" w:eastAsia="宋体" w:cs="Times New Roman"/>
          <w:bCs/>
          <w:sz w:val="24"/>
          <w:szCs w:val="24"/>
        </w:rPr>
        <w:instrText xml:space="preserve"> REF _Ref484769388 \h  \* MERGEFORMAT </w:instrText>
      </w:r>
      <w:r>
        <w:rPr>
          <w:rFonts w:ascii="Times New Roman" w:hAnsi="Times New Roman" w:eastAsia="宋体" w:cs="Times New Roman"/>
          <w:bCs/>
          <w:sz w:val="24"/>
          <w:szCs w:val="24"/>
        </w:rPr>
        <w:fldChar w:fldCharType="separate"/>
      </w:r>
      <w:r>
        <w:rPr>
          <w:rFonts w:ascii="Times New Roman" w:hAnsi="Times New Roman" w:eastAsia="宋体" w:cs="Times New Roman"/>
          <w:bCs/>
          <w:sz w:val="24"/>
          <w:szCs w:val="24"/>
        </w:rPr>
        <w:t>图6</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.4-6。根据现场调查，现有厂区固体废物暂存场均满足《一般工业固体废物贮存、处置场污染控制标准》（GB18599-2001）II类及《危险废贮存污染控制标准》（GB18597-2001）的防渗要求。</w:t>
      </w:r>
    </w:p>
    <w:p>
      <w:pPr>
        <w:keepNext w:val="0"/>
        <w:keepLines w:val="0"/>
        <w:pageBreakBefore w:val="0"/>
        <w:kinsoku/>
        <w:wordWrap/>
        <w:autoSpaceDE w:val="0"/>
        <w:autoSpaceDN w:val="0"/>
        <w:bidi w:val="0"/>
        <w:adjustRightInd w:val="0"/>
        <w:snapToGrid/>
        <w:spacing w:line="360" w:lineRule="auto"/>
        <w:ind w:left="-630" w:leftChars="-300"/>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114300" distR="114300">
            <wp:extent cx="6182995" cy="4428490"/>
            <wp:effectExtent l="0" t="0" r="8255" b="10160"/>
            <wp:docPr id="12" name="图片 12" descr="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29-1"/>
                    <pic:cNvPicPr>
                      <a:picLocks noChangeAspect="1"/>
                    </pic:cNvPicPr>
                  </pic:nvPicPr>
                  <pic:blipFill>
                    <a:blip r:embed="rId102"/>
                    <a:stretch>
                      <a:fillRect/>
                    </a:stretch>
                  </pic:blipFill>
                  <pic:spPr>
                    <a:xfrm>
                      <a:off x="0" y="0"/>
                      <a:ext cx="6182995" cy="4428490"/>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图6.4-6  现有厂区固体废物暂存场位置示意图</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6.5土壤环境影响分析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从土壤环境现状检测结果（表）分析，厂区所在区域内土壤监测点的各检测项目均低于《土壤环境质量建设用地土壤污染风险管控标准（试行）》（GB36600-2018）第二类用地筛选值要求，土壤环境质量状况尚好。由此表明项目的建设对所在区域土壤环境质量影响较小。</w:t>
      </w:r>
    </w:p>
    <w:p>
      <w:pPr>
        <w:pStyle w:val="27"/>
        <w:keepNext w:val="0"/>
        <w:keepLines w:val="0"/>
        <w:pageBreakBefore w:val="0"/>
        <w:kinsoku/>
        <w:wordWrap/>
        <w:bidi w:val="0"/>
        <w:snapToGrid/>
        <w:spacing w:before="156" w:after="156" w:line="360" w:lineRule="auto"/>
        <w:rPr>
          <w:rFonts w:hint="eastAsia" w:ascii="Times New Roman" w:eastAsia="黑体"/>
          <w:b w:val="0"/>
          <w:lang w:eastAsia="zh-CN"/>
        </w:rPr>
      </w:pPr>
      <w:r>
        <w:rPr>
          <w:rFonts w:ascii="Times New Roman"/>
          <w:b w:val="0"/>
        </w:rPr>
        <w:t>6.</w:t>
      </w:r>
      <w:r>
        <w:rPr>
          <w:rFonts w:hint="eastAsia" w:ascii="Times New Roman"/>
          <w:b w:val="0"/>
          <w:lang w:val="en-US" w:eastAsia="zh-CN"/>
        </w:rPr>
        <w:t>6</w:t>
      </w:r>
      <w:r>
        <w:rPr>
          <w:rFonts w:ascii="Times New Roman"/>
          <w:b w:val="0"/>
        </w:rPr>
        <w:t>环境</w:t>
      </w:r>
      <w:r>
        <w:rPr>
          <w:rFonts w:hint="eastAsia" w:ascii="Times New Roman"/>
          <w:b w:val="0"/>
          <w:lang w:eastAsia="zh-CN"/>
        </w:rPr>
        <w:t>风险应急预案分析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项目已编制《芜湖新兴铸管有限责任公司（三山区）突发环境事件应急预案》（2018年版），并于2018年1月19日在芜湖市环境保护局备案（备案编号340208-2018-001-M），企业已按突发环境事件应急预案要求落实。</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预案内容摘要如下：</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.1内部应急组织机构</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公司突发环境事件应急响应与处置工作的需要，建立了内部应急组织机构，由指挥长、副指挥统一领导应急救援工作，下设立应急指挥部，应急指挥部下设置专业应急小组，包括抢险救援组、后勤保障组、综合协调组、医疗救护组、应急监测组。应急指挥部成员由各应急小组负责人组成。并明确各个小组的主要职责，确定主要任务。具体体系构成见下图。</w:t>
      </w:r>
    </w:p>
    <w:p>
      <w:pPr>
        <w:keepNext w:val="0"/>
        <w:keepLines w:val="0"/>
        <w:pageBreakBefore w:val="0"/>
        <w:kinsoku/>
        <w:wordWrap/>
        <w:autoSpaceDE w:val="0"/>
        <w:autoSpaceDN w:val="0"/>
        <w:bidi w:val="0"/>
        <w:adjustRightInd w:val="0"/>
        <w:snapToGrid/>
        <w:spacing w:line="360" w:lineRule="auto"/>
        <w:jc w:val="center"/>
        <w:rPr>
          <w:rFonts w:ascii="Times New Roman" w:hAnsi="Times New Roman" w:eastAsia="宋体" w:cs="Times New Roman"/>
          <w:bCs/>
          <w:sz w:val="24"/>
          <w:szCs w:val="24"/>
        </w:rPr>
      </w:pPr>
      <w:r>
        <w:rPr>
          <w:rFonts w:ascii="Times New Roman" w:hAnsi="Times New Roman" w:cs="Times New Roman"/>
        </w:rPr>
        <w:drawing>
          <wp:inline distT="0" distB="0" distL="114300" distR="114300">
            <wp:extent cx="5066665" cy="3870960"/>
            <wp:effectExtent l="0" t="0" r="635" b="15240"/>
            <wp:docPr id="60" name="图片 4" descr="C:\Users\wuml\AppData\Roaming\Tencent\Users\1563655764\QQ\WinTemp\RichOle\]~CR0EI0ZOD{VQ(%}CWZR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descr="C:\Users\wuml\AppData\Roaming\Tencent\Users\1563655764\QQ\WinTemp\RichOle\]~CR0EI0ZOD{VQ(%}CWZRN6.png"/>
                    <pic:cNvPicPr>
                      <a:picLocks noChangeAspect="1"/>
                    </pic:cNvPicPr>
                  </pic:nvPicPr>
                  <pic:blipFill>
                    <a:blip r:embed="rId103"/>
                    <a:stretch>
                      <a:fillRect/>
                    </a:stretch>
                  </pic:blipFill>
                  <pic:spPr>
                    <a:xfrm>
                      <a:off x="0" y="0"/>
                      <a:ext cx="5066665" cy="3870960"/>
                    </a:xfrm>
                    <a:prstGeom prst="rect">
                      <a:avLst/>
                    </a:prstGeom>
                    <a:noFill/>
                    <a:ln>
                      <a:noFill/>
                    </a:ln>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w:t>
      </w:r>
      <w:r>
        <w:rPr>
          <w:rFonts w:hint="eastAsia" w:cs="Times New Roman"/>
          <w:lang w:val="en-US" w:eastAsia="zh-CN"/>
        </w:rPr>
        <w:t>6.6-</w:t>
      </w:r>
      <w:r>
        <w:rPr>
          <w:rFonts w:cs="Times New Roman"/>
        </w:rPr>
        <w:t>1  内部应急组织机构示意图</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.2职责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各应急小组在应急指挥部的统一领导下，根据事故性质、严重程度、应急响应与处置要求，履行相应的职责。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应急组织机构的具体职责详见表</w:t>
      </w:r>
      <w:r>
        <w:rPr>
          <w:rFonts w:hint="eastAsia" w:ascii="Times New Roman" w:hAnsi="Times New Roman" w:eastAsia="宋体" w:cs="Times New Roman"/>
          <w:bCs/>
          <w:sz w:val="24"/>
          <w:szCs w:val="24"/>
          <w:lang w:val="en-US" w:eastAsia="zh-CN"/>
        </w:rPr>
        <w:t>6</w:t>
      </w:r>
      <w:r>
        <w:rPr>
          <w:rFonts w:ascii="Times New Roman" w:hAnsi="Times New Roman" w:eastAsia="宋体" w:cs="Times New Roman"/>
          <w:bCs/>
          <w:sz w:val="24"/>
          <w:szCs w:val="24"/>
        </w:rPr>
        <w:t>.</w:t>
      </w:r>
      <w:r>
        <w:rPr>
          <w:rFonts w:hint="eastAsia" w:ascii="Times New Roman" w:hAnsi="Times New Roman" w:eastAsia="宋体" w:cs="Times New Roman"/>
          <w:bCs/>
          <w:sz w:val="24"/>
          <w:szCs w:val="24"/>
          <w:lang w:val="en-US" w:eastAsia="zh-CN"/>
        </w:rPr>
        <w:t>6</w:t>
      </w:r>
      <w:r>
        <w:rPr>
          <w:rFonts w:ascii="Times New Roman" w:hAnsi="Times New Roman" w:eastAsia="宋体" w:cs="Times New Roman"/>
          <w:bCs/>
          <w:sz w:val="24"/>
          <w:szCs w:val="24"/>
        </w:rPr>
        <w:t>-1。</w:t>
      </w:r>
    </w:p>
    <w:p>
      <w:pPr>
        <w:pStyle w:val="31"/>
        <w:keepNext w:val="0"/>
        <w:keepLines w:val="0"/>
        <w:pageBreakBefore w:val="0"/>
        <w:kinsoku/>
        <w:wordWrap/>
        <w:bidi w:val="0"/>
        <w:snapToGrid/>
        <w:spacing w:line="360" w:lineRule="auto"/>
        <w:rPr>
          <w:rFonts w:cs="Times New Roman"/>
        </w:rPr>
      </w:pPr>
      <w:r>
        <w:rPr>
          <w:rFonts w:cs="Times New Roman"/>
        </w:rPr>
        <w:t>表</w:t>
      </w:r>
      <w:r>
        <w:rPr>
          <w:rFonts w:hint="eastAsia" w:cs="Times New Roman"/>
          <w:lang w:val="en-US" w:eastAsia="zh-CN"/>
        </w:rPr>
        <w:t>6</w:t>
      </w:r>
      <w:r>
        <w:rPr>
          <w:rFonts w:cs="Times New Roman"/>
        </w:rPr>
        <w:t>.</w:t>
      </w:r>
      <w:r>
        <w:rPr>
          <w:rFonts w:hint="eastAsia" w:cs="Times New Roman"/>
          <w:lang w:val="en-US" w:eastAsia="zh-CN"/>
        </w:rPr>
        <w:t>6</w:t>
      </w:r>
      <w:r>
        <w:rPr>
          <w:rFonts w:cs="Times New Roman"/>
        </w:rPr>
        <w:t>-1  应急组织机构的具体职责</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1"/>
        <w:gridCol w:w="1241"/>
        <w:gridCol w:w="58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20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应急队伍</w:t>
            </w:r>
          </w:p>
        </w:tc>
        <w:tc>
          <w:tcPr>
            <w:tcW w:w="12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负责人</w:t>
            </w:r>
          </w:p>
        </w:tc>
        <w:tc>
          <w:tcPr>
            <w:tcW w:w="581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职责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61" w:hRule="atLeast"/>
          <w:jc w:val="center"/>
        </w:trPr>
        <w:tc>
          <w:tcPr>
            <w:tcW w:w="20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指挥长</w:t>
            </w:r>
          </w:p>
        </w:tc>
        <w:tc>
          <w:tcPr>
            <w:tcW w:w="12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李伟成</w:t>
            </w:r>
          </w:p>
        </w:tc>
        <w:tc>
          <w:tcPr>
            <w:tcW w:w="5819"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1、批准本预案的启动与终止；</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2、确定应急现场指挥人员；</w:t>
            </w:r>
            <w:r>
              <w:rPr>
                <w:rFonts w:ascii="Times New Roman" w:hAnsi="Times New Roman" w:eastAsia="宋体" w:cs="Times New Roman"/>
                <w:color w:val="000000"/>
                <w:szCs w:val="21"/>
              </w:rPr>
              <w:br w:type="textWrapping"/>
            </w:r>
            <w:r>
              <w:rPr>
                <w:rFonts w:ascii="Times New Roman" w:hAnsi="Times New Roman" w:eastAsia="宋体" w:cs="Times New Roman"/>
                <w:color w:val="000000"/>
                <w:szCs w:val="21"/>
              </w:rPr>
              <w:t>3、确定事件状态下各级人员的职责；</w:t>
            </w:r>
            <w:r>
              <w:rPr>
                <w:rFonts w:ascii="Times New Roman" w:hAnsi="Times New Roman" w:eastAsia="宋体" w:cs="Times New Roman"/>
                <w:color w:val="000000"/>
                <w:szCs w:val="21"/>
              </w:rPr>
              <w:br w:type="textWrapping"/>
            </w:r>
            <w:r>
              <w:rPr>
                <w:rFonts w:ascii="Times New Roman" w:hAnsi="Times New Roman" w:eastAsia="宋体" w:cs="Times New Roman"/>
                <w:color w:val="000000"/>
                <w:szCs w:val="21"/>
              </w:rPr>
              <w:t>4、接受政府的指令和调动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10" w:hRule="atLeast"/>
          <w:jc w:val="center"/>
        </w:trPr>
        <w:tc>
          <w:tcPr>
            <w:tcW w:w="20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副指挥长</w:t>
            </w:r>
          </w:p>
        </w:tc>
        <w:tc>
          <w:tcPr>
            <w:tcW w:w="12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张宏博</w:t>
            </w:r>
          </w:p>
        </w:tc>
        <w:tc>
          <w:tcPr>
            <w:tcW w:w="5819"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1、组织制订突发环境事件应急预案；</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2、协调事件现场有关工作；</w:t>
            </w:r>
            <w:r>
              <w:rPr>
                <w:rFonts w:ascii="Times New Roman" w:hAnsi="Times New Roman" w:eastAsia="宋体" w:cs="Times New Roman"/>
                <w:color w:val="000000"/>
                <w:szCs w:val="21"/>
              </w:rPr>
              <w:br w:type="textWrapping"/>
            </w:r>
            <w:r>
              <w:rPr>
                <w:rFonts w:ascii="Times New Roman" w:hAnsi="Times New Roman" w:eastAsia="宋体" w:cs="Times New Roman"/>
                <w:color w:val="000000"/>
                <w:szCs w:val="21"/>
              </w:rPr>
              <w:t>4、负责事件原因调查，应急经验总结；</w:t>
            </w:r>
            <w:r>
              <w:rPr>
                <w:rFonts w:ascii="Times New Roman" w:hAnsi="Times New Roman" w:eastAsia="宋体" w:cs="Times New Roman"/>
                <w:color w:val="000000"/>
                <w:szCs w:val="21"/>
              </w:rPr>
              <w:br w:type="textWrapping"/>
            </w:r>
            <w:r>
              <w:rPr>
                <w:rFonts w:ascii="Times New Roman" w:hAnsi="Times New Roman" w:eastAsia="宋体" w:cs="Times New Roman"/>
                <w:color w:val="000000"/>
                <w:szCs w:val="21"/>
              </w:rPr>
              <w:t>5、负责企业生产过程改进，应急预案制定、更新与发布。</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6、负责突发环境事件信息的上报工作；</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7、组织应急预案的演练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48" w:hRule="atLeast"/>
          <w:jc w:val="center"/>
        </w:trPr>
        <w:tc>
          <w:tcPr>
            <w:tcW w:w="20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应急指挥部</w:t>
            </w:r>
          </w:p>
        </w:tc>
        <w:tc>
          <w:tcPr>
            <w:tcW w:w="12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各应急小组组长</w:t>
            </w:r>
          </w:p>
        </w:tc>
        <w:tc>
          <w:tcPr>
            <w:tcW w:w="5819"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1、负责人员、资源配置、应急队伍的调动；</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2、协调事件现场有关工作；</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3、负责保护事件现场及收集相关数据；</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4、负责应急预案的具体演练工作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10" w:hRule="atLeast"/>
          <w:jc w:val="center"/>
        </w:trPr>
        <w:tc>
          <w:tcPr>
            <w:tcW w:w="20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抢险救援组</w:t>
            </w:r>
          </w:p>
        </w:tc>
        <w:tc>
          <w:tcPr>
            <w:tcW w:w="12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毕艳国</w:t>
            </w:r>
          </w:p>
        </w:tc>
        <w:tc>
          <w:tcPr>
            <w:tcW w:w="5819"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1、负责组织生产安全和环境事件抢险救援工作；包括进行设备的抢修、灭火、泄漏物料的堵漏、收集、转移等。</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2、根据需要组织、协调工厂内部应急队伍调度和应急机械及物资调配；</w:t>
            </w:r>
            <w:r>
              <w:rPr>
                <w:rFonts w:ascii="Times New Roman" w:hAnsi="Times New Roman" w:eastAsia="宋体" w:cs="Times New Roman"/>
                <w:color w:val="000000"/>
                <w:szCs w:val="21"/>
              </w:rPr>
              <w:br w:type="textWrapping"/>
            </w:r>
            <w:r>
              <w:rPr>
                <w:rFonts w:ascii="Times New Roman" w:hAnsi="Times New Roman" w:eastAsia="宋体" w:cs="Times New Roman"/>
                <w:color w:val="000000"/>
                <w:szCs w:val="21"/>
              </w:rPr>
              <w:t>3、承办应急指挥部交办的其他工作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30" w:hRule="atLeast"/>
          <w:jc w:val="center"/>
        </w:trPr>
        <w:tc>
          <w:tcPr>
            <w:tcW w:w="20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后勤保障组</w:t>
            </w:r>
          </w:p>
        </w:tc>
        <w:tc>
          <w:tcPr>
            <w:tcW w:w="12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姚川屏</w:t>
            </w:r>
          </w:p>
        </w:tc>
        <w:tc>
          <w:tcPr>
            <w:tcW w:w="5819"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1、负责应急状态期间24小时的后勤服务保障工作；</w:t>
            </w:r>
            <w:r>
              <w:rPr>
                <w:rFonts w:ascii="Times New Roman" w:hAnsi="Times New Roman" w:eastAsia="宋体" w:cs="Times New Roman"/>
                <w:szCs w:val="21"/>
              </w:rPr>
              <w:br w:type="textWrapping"/>
            </w:r>
            <w:r>
              <w:rPr>
                <w:rFonts w:ascii="Times New Roman" w:hAnsi="Times New Roman" w:eastAsia="宋体" w:cs="Times New Roman"/>
                <w:szCs w:val="21"/>
              </w:rPr>
              <w:t>2、为救援工作提供充分的物资保证，负责设备、物资的运输、分发；</w:t>
            </w:r>
          </w:p>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3、维护事件现场的秩序；</w:t>
            </w:r>
          </w:p>
          <w:p>
            <w:pPr>
              <w:keepNext w:val="0"/>
              <w:keepLines w:val="0"/>
              <w:pageBreakBefore w:val="0"/>
              <w:kinsoku/>
              <w:wordWrap/>
              <w:bidi w:val="0"/>
              <w:snapToGrid/>
              <w:rPr>
                <w:rFonts w:ascii="Times New Roman" w:hAnsi="Times New Roman" w:eastAsia="宋体" w:cs="Times New Roman"/>
                <w:color w:val="FF0000"/>
                <w:szCs w:val="21"/>
              </w:rPr>
            </w:pPr>
            <w:r>
              <w:rPr>
                <w:rFonts w:ascii="Times New Roman" w:hAnsi="Times New Roman" w:eastAsia="宋体" w:cs="Times New Roman"/>
                <w:szCs w:val="21"/>
              </w:rPr>
              <w:t>4、负责组织人员疏散、安保工作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20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综合协调组</w:t>
            </w:r>
          </w:p>
        </w:tc>
        <w:tc>
          <w:tcPr>
            <w:tcW w:w="12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安晓波</w:t>
            </w:r>
          </w:p>
        </w:tc>
        <w:tc>
          <w:tcPr>
            <w:tcW w:w="5819"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1、在应急指挥部的指挥下协调企业的应急救援工作；</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2、根据应急指挥部的要求，联络相关的机构、组织、社区、企业及个人，协调社会力量参与抢险救援工作；</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3、收集相关信息，向应急指挥部提供事件进展；</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4、根据应急指挥部和其他应急工作组的要求，统一向地方政府部门、安监局、环保局、应急办报送应急工作文件；</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5、承办应急指挥部交办的其他工作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00" w:hRule="atLeast"/>
          <w:jc w:val="center"/>
        </w:trPr>
        <w:tc>
          <w:tcPr>
            <w:tcW w:w="20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医疗救护组</w:t>
            </w:r>
          </w:p>
        </w:tc>
        <w:tc>
          <w:tcPr>
            <w:tcW w:w="12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郑艳丽</w:t>
            </w:r>
          </w:p>
        </w:tc>
        <w:tc>
          <w:tcPr>
            <w:tcW w:w="5819"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1、负责事件发生后员工受伤的预防性工作，在事件现场实施紧急救护；</w:t>
            </w:r>
            <w:r>
              <w:rPr>
                <w:rFonts w:ascii="Times New Roman" w:hAnsi="Times New Roman" w:eastAsia="宋体" w:cs="Times New Roman"/>
                <w:color w:val="000000"/>
                <w:szCs w:val="21"/>
              </w:rPr>
              <w:br w:type="textWrapping"/>
            </w:r>
            <w:r>
              <w:rPr>
                <w:rFonts w:ascii="Times New Roman" w:hAnsi="Times New Roman" w:eastAsia="宋体" w:cs="Times New Roman"/>
                <w:color w:val="000000"/>
                <w:szCs w:val="21"/>
              </w:rPr>
              <w:t>2、协助受伤员工的救护与转送工作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66" w:hRule="atLeast"/>
          <w:jc w:val="center"/>
        </w:trPr>
        <w:tc>
          <w:tcPr>
            <w:tcW w:w="201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应急监测组</w:t>
            </w:r>
          </w:p>
        </w:tc>
        <w:tc>
          <w:tcPr>
            <w:tcW w:w="1241"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高峰</w:t>
            </w:r>
          </w:p>
        </w:tc>
        <w:tc>
          <w:tcPr>
            <w:tcW w:w="5819"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1、制定应急监测方案；</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2、负责具体的应急监测工作；</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3、向主管部门报告事故的信息与应急监测状况；</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4、协助环保部门的应急监测；</w:t>
            </w:r>
          </w:p>
          <w:p>
            <w:pPr>
              <w:keepNext w:val="0"/>
              <w:keepLines w:val="0"/>
              <w:pageBreakBefore w:val="0"/>
              <w:kinsoku/>
              <w:wordWrap/>
              <w:bidi w:val="0"/>
              <w:snapToGrid/>
              <w:rPr>
                <w:rFonts w:ascii="Times New Roman" w:hAnsi="Times New Roman" w:eastAsia="宋体" w:cs="Times New Roman"/>
                <w:color w:val="000000"/>
                <w:szCs w:val="21"/>
              </w:rPr>
            </w:pPr>
            <w:r>
              <w:rPr>
                <w:rFonts w:ascii="Times New Roman" w:hAnsi="Times New Roman" w:eastAsia="宋体" w:cs="Times New Roman"/>
                <w:color w:val="000000"/>
                <w:szCs w:val="21"/>
              </w:rPr>
              <w:t>5、承办应急指挥部交办的其他工作</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.3预警</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.3.1预警分级</w:t>
      </w:r>
    </w:p>
    <w:p>
      <w:pPr>
        <w:pStyle w:val="31"/>
        <w:keepNext w:val="0"/>
        <w:keepLines w:val="0"/>
        <w:pageBreakBefore w:val="0"/>
        <w:kinsoku/>
        <w:wordWrap/>
        <w:bidi w:val="0"/>
        <w:snapToGrid/>
        <w:spacing w:line="360" w:lineRule="auto"/>
        <w:rPr>
          <w:rFonts w:cs="Times New Roman"/>
        </w:rPr>
      </w:pPr>
      <w:r>
        <w:rPr>
          <w:rFonts w:cs="Times New Roman"/>
        </w:rPr>
        <w:t>表</w:t>
      </w:r>
      <w:r>
        <w:rPr>
          <w:rFonts w:hint="eastAsia" w:cs="Times New Roman"/>
          <w:lang w:val="en-US" w:eastAsia="zh-CN"/>
        </w:rPr>
        <w:t>6</w:t>
      </w:r>
      <w:r>
        <w:rPr>
          <w:rFonts w:cs="Times New Roman"/>
        </w:rPr>
        <w:t>.</w:t>
      </w:r>
      <w:r>
        <w:rPr>
          <w:rFonts w:hint="eastAsia" w:cs="Times New Roman"/>
          <w:lang w:val="en-US" w:eastAsia="zh-CN"/>
        </w:rPr>
        <w:t>6</w:t>
      </w:r>
      <w:r>
        <w:rPr>
          <w:rFonts w:cs="Times New Roman"/>
        </w:rPr>
        <w:t>-2  预警分级一览表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903"/>
        <w:gridCol w:w="3763"/>
        <w:gridCol w:w="25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序号</w:t>
            </w:r>
          </w:p>
        </w:tc>
        <w:tc>
          <w:tcPr>
            <w:tcW w:w="190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预警分级</w:t>
            </w:r>
          </w:p>
        </w:tc>
        <w:tc>
          <w:tcPr>
            <w:tcW w:w="376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情景分析</w:t>
            </w:r>
          </w:p>
        </w:tc>
        <w:tc>
          <w:tcPr>
            <w:tcW w:w="259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环境破坏程度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jc w:val="center"/>
        </w:trPr>
        <w:tc>
          <w:tcPr>
            <w:tcW w:w="8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w:t>
            </w:r>
          </w:p>
        </w:tc>
        <w:tc>
          <w:tcPr>
            <w:tcW w:w="190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一级预警</w:t>
            </w:r>
            <w:r>
              <w:rPr>
                <w:rFonts w:ascii="Times New Roman" w:hAnsi="Times New Roman" w:eastAsia="宋体" w:cs="Times New Roman"/>
                <w:szCs w:val="21"/>
              </w:rPr>
              <w:br w:type="textWrapping"/>
            </w:r>
            <w:r>
              <w:rPr>
                <w:rFonts w:ascii="Times New Roman" w:hAnsi="Times New Roman" w:eastAsia="宋体" w:cs="Times New Roman"/>
                <w:szCs w:val="21"/>
              </w:rPr>
              <w:t>（I级公司级）</w:t>
            </w:r>
          </w:p>
        </w:tc>
        <w:tc>
          <w:tcPr>
            <w:tcW w:w="376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1、生产、贮存、输送、使用场所的煤气泄漏、爆炸、人员中毒；</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2、在生产等作业过程中发生火灾、爆炸等安全事故，引发物料泄漏或消防灭火废水等流出造成水体、大气环境污染</w:t>
            </w:r>
          </w:p>
        </w:tc>
        <w:tc>
          <w:tcPr>
            <w:tcW w:w="259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事件超出了企业的范围，影响事故现场之外的周围地区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2" w:hRule="atLeast"/>
          <w:jc w:val="center"/>
        </w:trPr>
        <w:tc>
          <w:tcPr>
            <w:tcW w:w="8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w:t>
            </w:r>
          </w:p>
        </w:tc>
        <w:tc>
          <w:tcPr>
            <w:tcW w:w="190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二级预警</w:t>
            </w:r>
            <w:r>
              <w:rPr>
                <w:rFonts w:ascii="Times New Roman" w:hAnsi="Times New Roman" w:eastAsia="宋体" w:cs="Times New Roman"/>
                <w:szCs w:val="21"/>
              </w:rPr>
              <w:br w:type="textWrapping"/>
            </w:r>
            <w:r>
              <w:rPr>
                <w:rFonts w:ascii="Times New Roman" w:hAnsi="Times New Roman" w:eastAsia="宋体" w:cs="Times New Roman"/>
                <w:szCs w:val="21"/>
              </w:rPr>
              <w:t>（Ⅱ级车间级）</w:t>
            </w:r>
          </w:p>
        </w:tc>
        <w:tc>
          <w:tcPr>
            <w:tcW w:w="376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1、危险化学品泄漏，发生火灾、爆炸事件</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2、治理设施运转不正常，废水、废气非正常排放事故</w:t>
            </w:r>
          </w:p>
        </w:tc>
        <w:tc>
          <w:tcPr>
            <w:tcW w:w="259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事件限制在企业内的现场周边地区，影响到相邻的生产单元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0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w:t>
            </w:r>
          </w:p>
        </w:tc>
        <w:tc>
          <w:tcPr>
            <w:tcW w:w="190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三级预警</w:t>
            </w:r>
            <w:r>
              <w:rPr>
                <w:rFonts w:ascii="Times New Roman" w:hAnsi="Times New Roman" w:eastAsia="宋体" w:cs="Times New Roman"/>
                <w:szCs w:val="21"/>
              </w:rPr>
              <w:br w:type="textWrapping"/>
            </w:r>
            <w:r>
              <w:rPr>
                <w:rFonts w:ascii="Times New Roman" w:hAnsi="Times New Roman" w:eastAsia="宋体" w:cs="Times New Roman"/>
                <w:szCs w:val="21"/>
              </w:rPr>
              <w:t>（Ⅲ级岗位级）</w:t>
            </w:r>
          </w:p>
        </w:tc>
        <w:tc>
          <w:tcPr>
            <w:tcW w:w="3763"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危险废物发生泄漏事件</w:t>
            </w:r>
          </w:p>
        </w:tc>
        <w:tc>
          <w:tcPr>
            <w:tcW w:w="2597"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事件出现在企业的某个生产单元，影响到局部地区</w:t>
            </w:r>
          </w:p>
        </w:tc>
      </w:tr>
    </w:tbl>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.3.2预警研判</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在接到警报时，应先对报警信息进行初步的研判，若确定为假警时，针对假警的内容进行相应的信息处置；若确定报警信息如实，则上报应急指挥部，应急指挥部组织有关部门和专家，根据预报信息分析对该事件的危害程度、紧急程度和发展态势进行会商初判，必要时可同时安排人员进行先期处置，采取相应的防范措施，避免事态进一步恶化。</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.3.3发布预警和预警行动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明确预警信息后，发布预警，并采取行动对事态进行控制。明确发布预警责任人、程序、时限、内容和发布对象等。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发布预警应采取包括但不限于以下几点内容：</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（1）下达启动预案命令；</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（2）通知本预案涉及的相关人员进入待命状态做好应急准备；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（3）对可能造成或已造成污染的源头加强监控或进行控制；</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（4）明确在应急人员未抵达事故现场时，事故现场负责人需根据不同的事故情景，组织对事态进行先期控制，核实可能造成污染的风险物质、种类和数量，避免事态进一步加剧；</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（5）调集应急物资和设备，做好应急保障；</w:t>
      </w:r>
    </w:p>
    <w:p>
      <w:pPr>
        <w:keepNext w:val="0"/>
        <w:keepLines w:val="0"/>
        <w:pageBreakBefore w:val="0"/>
        <w:kinsoku/>
        <w:wordWrap/>
        <w:autoSpaceDE w:val="0"/>
        <w:autoSpaceDN w:val="0"/>
        <w:bidi w:val="0"/>
        <w:adjustRightInd w:val="0"/>
        <w:snapToGrid/>
        <w:spacing w:line="360" w:lineRule="auto"/>
        <w:ind w:firstLine="480" w:firstLineChars="200"/>
        <w:rPr>
          <w:rFonts w:hint="eastAsia" w:ascii="Times New Roman" w:hAnsi="Times New Roman" w:eastAsia="宋体" w:cs="Times New Roman"/>
          <w:bCs/>
          <w:sz w:val="24"/>
          <w:szCs w:val="24"/>
          <w:lang w:eastAsia="zh-CN"/>
        </w:rPr>
      </w:pPr>
      <w:r>
        <w:rPr>
          <w:rFonts w:ascii="Times New Roman" w:hAnsi="Times New Roman" w:eastAsia="宋体" w:cs="Times New Roman"/>
          <w:bCs/>
          <w:sz w:val="24"/>
          <w:szCs w:val="24"/>
        </w:rPr>
        <w:t>（6）做好事故信息上报和通报或相关准备工作</w:t>
      </w:r>
      <w:r>
        <w:rPr>
          <w:rFonts w:hint="eastAsia" w:ascii="Times New Roman" w:hAnsi="Times New Roman" w:eastAsia="宋体" w:cs="Times New Roman"/>
          <w:bCs/>
          <w:sz w:val="24"/>
          <w:szCs w:val="24"/>
          <w:lang w:eastAsia="zh-CN"/>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（7）做好协助政府疏散周边敏感受体准备工作；</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（8）做好开展应急监测的准备。</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.3.4预警程序</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预警方式依据初步判断的预警级别，采用以下报告程序：</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（1）一级预警</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当突发环境事件发生时，现场人员或值班领导应立即向应急指挥部报告，应急指挥部立即启动本预案及相关专项应急预案，针对突发环境可能造成的危害，封闭、隔离和限制有关场所，组织各应急小组展开救援，向政府部门报告事态发展，并协调外部救援机构协助应急救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（2）二级预警</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现场人员采取初步应急措施并报告值班领导，值班领导核实情况后报告公司应急指挥部，公司应急指挥部宣布启动预案。</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（3）三级预警</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现场人员采取初步应急措施，并报告当班领导或部门负责人，部门负责人或当班领导立即向应急指挥部报告，应急指挥部视情况协调相关小组进行现场处置，落实巡查、监控措施，通知相关应急部门、人员作好应急准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以上预警信息报告通知，如遇到非工作日时，通知值班领导，并及时报告应急指挥部、指挥长和有关人员。</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.3.5预警调整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根据事态的发展，公司应急指挥部适时调整预警级别，及时更新发布预警信息。环境应急指挥部确认终止时机，并向所属各应急小组下达预警解除命令。</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.4应急响应</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.4.1响应分级</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按照突发环境事件的可控性、严重程度和影响范围，应急响应分为I级响应（公司级）、II级响应（车间级）、III级响应（岗位级）三级。超出本级应急处置能力时，应及时请求应急指挥部启动上一级应急预案。</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具体分级如下表：</w:t>
      </w:r>
    </w:p>
    <w:p>
      <w:pPr>
        <w:pStyle w:val="31"/>
        <w:keepNext w:val="0"/>
        <w:keepLines w:val="0"/>
        <w:pageBreakBefore w:val="0"/>
        <w:kinsoku/>
        <w:wordWrap/>
        <w:bidi w:val="0"/>
        <w:snapToGrid/>
        <w:spacing w:line="360" w:lineRule="auto"/>
        <w:rPr>
          <w:rFonts w:cs="Times New Roman"/>
        </w:rPr>
      </w:pPr>
      <w:r>
        <w:rPr>
          <w:rFonts w:cs="Times New Roman"/>
        </w:rPr>
        <w:t>表</w:t>
      </w:r>
      <w:r>
        <w:rPr>
          <w:rFonts w:hint="eastAsia" w:cs="Times New Roman"/>
          <w:lang w:val="en-US" w:eastAsia="zh-CN"/>
        </w:rPr>
        <w:t>6</w:t>
      </w:r>
      <w:r>
        <w:rPr>
          <w:rFonts w:cs="Times New Roman"/>
        </w:rPr>
        <w:t>.</w:t>
      </w:r>
      <w:r>
        <w:rPr>
          <w:rFonts w:hint="eastAsia" w:cs="Times New Roman"/>
          <w:lang w:val="en-US" w:eastAsia="zh-CN"/>
        </w:rPr>
        <w:t>6</w:t>
      </w:r>
      <w:r>
        <w:rPr>
          <w:rFonts w:cs="Times New Roman"/>
        </w:rPr>
        <w:t>-3  应急响应分级一览表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22"/>
        <w:gridCol w:w="3618"/>
        <w:gridCol w:w="3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3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序号</w:t>
            </w:r>
          </w:p>
        </w:tc>
        <w:tc>
          <w:tcPr>
            <w:tcW w:w="14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响应分级</w:t>
            </w:r>
          </w:p>
        </w:tc>
        <w:tc>
          <w:tcPr>
            <w:tcW w:w="361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情景分析</w:t>
            </w:r>
          </w:p>
        </w:tc>
        <w:tc>
          <w:tcPr>
            <w:tcW w:w="329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环境破坏程度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73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1</w:t>
            </w:r>
          </w:p>
        </w:tc>
        <w:tc>
          <w:tcPr>
            <w:tcW w:w="14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I级响应</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（公司级）</w:t>
            </w:r>
          </w:p>
        </w:tc>
        <w:tc>
          <w:tcPr>
            <w:tcW w:w="3618"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1、生产、贮存、输送、使用场所的煤气泄漏、爆炸、人员中毒；</w:t>
            </w:r>
          </w:p>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2、在生产等作业过程中发生火灾、爆炸等安全事故，引发物料泄漏或消防灭火废水等流出造成水体、大气环境污染</w:t>
            </w:r>
          </w:p>
        </w:tc>
        <w:tc>
          <w:tcPr>
            <w:tcW w:w="3292"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事件超出了企业的范围，影响事故现场之外的周围地区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8" w:hRule="atLeast"/>
          <w:jc w:val="center"/>
        </w:trPr>
        <w:tc>
          <w:tcPr>
            <w:tcW w:w="73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2</w:t>
            </w:r>
          </w:p>
        </w:tc>
        <w:tc>
          <w:tcPr>
            <w:tcW w:w="14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II级响应</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（车间级）</w:t>
            </w:r>
          </w:p>
        </w:tc>
        <w:tc>
          <w:tcPr>
            <w:tcW w:w="3618"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1、危险化学品泄漏，发生火灾、爆炸事件</w:t>
            </w:r>
          </w:p>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2、治理设施运转不正常，废水、废气非正常排放事故</w:t>
            </w:r>
          </w:p>
        </w:tc>
        <w:tc>
          <w:tcPr>
            <w:tcW w:w="3292"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事件限制在企业内的现场周边地区，影响到相邻的生产单元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39"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3</w:t>
            </w:r>
          </w:p>
        </w:tc>
        <w:tc>
          <w:tcPr>
            <w:tcW w:w="1422"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III级响应</w:t>
            </w:r>
          </w:p>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（岗位级）</w:t>
            </w:r>
          </w:p>
        </w:tc>
        <w:tc>
          <w:tcPr>
            <w:tcW w:w="3618"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危险废物发生泄漏事件</w:t>
            </w:r>
          </w:p>
        </w:tc>
        <w:tc>
          <w:tcPr>
            <w:tcW w:w="3292" w:type="dxa"/>
            <w:tcBorders>
              <w:tl2br w:val="nil"/>
              <w:tr2bl w:val="nil"/>
            </w:tcBorders>
            <w:vAlign w:val="center"/>
          </w:tcPr>
          <w:p>
            <w:pPr>
              <w:keepNext w:val="0"/>
              <w:keepLines w:val="0"/>
              <w:pageBreakBefore w:val="0"/>
              <w:kinsoku/>
              <w:wordWrap/>
              <w:bidi w:val="0"/>
              <w:snapToGrid/>
              <w:rPr>
                <w:rFonts w:ascii="Times New Roman" w:hAnsi="Times New Roman" w:eastAsia="宋体" w:cs="Times New Roman"/>
                <w:szCs w:val="21"/>
              </w:rPr>
            </w:pPr>
            <w:r>
              <w:rPr>
                <w:rFonts w:ascii="Times New Roman" w:hAnsi="Times New Roman" w:eastAsia="宋体" w:cs="Times New Roman"/>
                <w:szCs w:val="21"/>
              </w:rPr>
              <w:t>事件出现在企业的某个生产单元，影响到局部地区</w:t>
            </w:r>
          </w:p>
        </w:tc>
      </w:tr>
    </w:tbl>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.4.2现场处置方案</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（1）切断污染源方案</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对于煤气、高纯氧和化学品的泄漏，首先应根据泄漏物质的性质，毒性和特点，确定使用堵塞该污染物的材料，同时关闭阀门，利用该材料修补容器或管道的泄漏口，以防污染物更多的泄漏；利用能够降低污染物危害的物质撒在泄漏口周围，将泄漏口与外部隔绝开；若泄漏速度过快，并且堵塞泄漏口有困难，应当及时使用有针对性的材料（如草包沙袋等）堵塞下水道，截断污染物外流造成水体、土壤等污染；保持现场通风良好，以免造成现场有毒气体浓度过高，对应急人员构成危险。</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（2）火灾引起的次生环境事故应急处置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根据车间生产工艺特点和事故情况，明确事故车间限产或紧急停产方案；2）确认泄漏位置，初步分析判断泄漏量和泄漏溶液主要污染物及其浓度；3）采用堵漏、输转的基本方法；4）控制事故扩大及事故可能扩大后所需使用的药剂及工具；5）明确启动截流措施、事故应急池收集措施的操作方案；6）启动清净下水系统防控措施、雨水系统防控措施，及时切断、分流无污染的水流，避免污染物通过雨水管网进入外环境。</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用洗消液冲洗分为三个部分，一是在源头冲洗，将污染源严密控制在最小范围内，二是在事故发生地周围的设备、厂房，以及下风向的建筑物喷洒洗消液，将污染控制在一个隔绝区域；三是在控制住污染源后，从事故发生地开始向下风方向对污染区逐次推进全面而彻底的洗消。洗消冲洗废水不能直接排入污水处理装置，防止高浓度污染物流入污水处理设施，增加污水处理设施压力。可先排入事故池、应急池或临时构筑的围堰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用草包沙袋堵住正常污水排放口和雨水排放口，防止污染物通过排水口流入运河造成水体污染。通知抢险救援组人员启动通入环境应急池的应急排污泵，引导污染物、消防废水和冲洗废水等流入环境应急池或事故池等集中处理。待事故现场污染物得到控制并消除已产生的污染物后方可开启正常排污口。</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（3）荒煤气泄漏事故应急处置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一旦焦炉荒煤气放散必须立即采取自动点火（长明火）装置点燃，减轻环境污染和中毒风险；2）确认泄漏位置，初步分析判断泄漏量和泄漏主要污染物及其浓度；3）控制事故扩大及事故可能扩大后所需使用的药剂及工具。</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（4）净煤气泄漏事故应急处置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及时切断煤气来源（关闭阀门），减轻环境污染和中毒风险；2）确认泄漏位置，初步分析判断泄漏量和泄漏主要污染物及其浓度；3）控制事故扩大及事故可能扩大后所需使用的药剂及工具；4）如果脱硫前煤气泄漏，可以采取氨水喷洒的方式，对硫化氢气体进行吸收，对收集的喷洒废水要及时收集到厂区应急池中，送至污水处理厂进行处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（5）危险化学品泄漏事故应急处置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确认泄漏位置，初步分析判断泄漏量和泄漏溶液主要污染物及其浓度；2）关闭泄漏罐体围堰区域雨水导流阀，启动导流回收设备，将泄漏在围堰中的危险化学品及时转移到备用的罐体或应急池中；3）控制事故扩大及事故可能扩大后所需使用的药剂及工具；4）明确启动截流措施、事故应急池收集措施的操作方案；5）当危险化学品泄漏到围堰区外，启动雨水系统防控措施，避免危险化学品通过雨水管网进入外环境；（6）注意事项</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苯类物质泄漏：一是操作人员佩戴防毒口罩或佩戴空气呼吸器，立即关闭管道阀门切断物料来源，将泄漏的苯类物质控制在防火堤内；二是使用泡沫进行覆盖，抑制其蒸发，然后进行转移处理，严禁苯类物质流入下水道；三是处理过程要消除静电和明火，防止发生火灾事故。</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焦油泄漏时：应急人员戴好防毒面具与手套。被污染的地面用肥皂或洗涤剂刷洗，经稀释的污水放入废水系统。疏散泄漏污染区的人员至安全区，禁止无关人员进入污染区，切断火源。应急处理人员戴自给式呼吸器，穿一般消防防护服。在确保安全情况下堵漏。喷水雾会减少蒸发，但不能降低泄漏物在受限空间内的易燃性。用沙土或其它不燃性吸附剂混合后吸收，收集运至废物处理场所处置。如大量泄漏，利用围堤收容，然后收集、转移、回收及无害后废弃。远离火种、热源、工作场所严禁吸烟。使用防爆型的通风系统和设备。防止蒸汽泄漏到工作场所空气中。配备相应品种和数量的消防器材及泄漏应急处理设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氨水泄漏时：速撤离泄漏污染区人员至上风处，并立即隔离，严格限制出入。切断火源。应急处理人员戴自给正压式呼吸器，穿防毒服。尽可能切断泄漏源。合理通风，加速扩散。高浓度泄漏区，喷含盐酸雾状水中和、稀释、溶解。构筑围堤或挖坑收容产生的大量废水。如可能，将残余气或漏出气用排风机送至水洗塔或与塔相连的通风橱内。漏气容器要妥善处理，修复、检验后再用。</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氢氧化钠泄漏时：隔离泄漏污染区，限制出入。应急处理人员戴自给式呼吸器，穿防酸碱工作服。不要直接接触泄漏物。小量泄漏：避免扬尘，用洁净的铲子收集于干燥、洁净、有盖的容器中。也可以用大量水冲洗，洗水稀释后放入应急池。大量泄漏：收集回收或运至废物处理场所处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（6）硫酸等危险废液泄漏事故应急处置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立即关闭管道阀门切断物料来源；2）确认泄漏位置，初步分析判断泄漏量和泄漏溶液主要污染物及其浓度；3）采用堵漏和转移到备用容器的基本方法；4）控制事故扩大及事故可能扩大后所需使用的药剂及工具；5）明确启动截流措施、事故应急池收集措施的操作方案；6）启动清净下水系统防控措施、雨水系统防控措施，及时切断、分流无污染的水流，避免污染物通过雨水管网进入外环境；7）注意事项：将泄漏的硫酸引入应急池，大量硫酸必须回收，少量硫酸可用氨水中和，处置过程中穿戴好防护用品，注意飞溅伤人；二是也可使用沙土、水泥覆盖吸附；三是不能对泄漏硫酸或泄漏点直接喷水。</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（7）水处理单元发生事故应急处置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水处理单元发生事故异常情况，应急小组应立即组织人员处理，1）控制生产车间污水产生量，减少污水处理站负荷；2）确认泄漏位置，初步分析判断泄漏量和泄漏溶液主要污染物及其浓度；3）采用堵漏、输转的基本方法；4）启动应急排污泵、生产废水系统防控措施等，及时转移、处理事故排水；5）明确启动截流措施、事故应急池收集措施的操作方案；6）启动清净下水系统防控措施、雨水系统防控措施，及时切断、分流无污染的水流，避免污染物通过雨水管网 进入外环境。</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（8）废气非正常排放应急处置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明确停止废气持续超标排放的措施；2）结合废气排放口在线监测数据和环保设施运行情况，分析判断造成废气超标排放的原因；3）恢复环保设施正常运行的方案和故障期间大气污染物应急处置措施；4）确定受影响区域企业、单位、设区人员的紧急疏散方式、路线、保护措施和个人防护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（9）危险区的隔离和人员的撤离</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1）危险区的设定：全公司生产区为危险区。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事故现场隔离区的划定方式、方法：在发生紧急事故时，要按事故的状态进行区域管制与警戒，限制无关人员进入和无关车辆经过，以防止事故扩大或人员伤亡。在公司主管部门未到达和接管前，将由发生事故部门的现场负责人在本装置主要路口和周围地带进行区域管制与警戒工作。</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3）事故现场隔离方法：危险区边界警戒线，为黄黑带，警戒哨佩带臂章，救护车鸣灯。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4）事故现场周边区域的道路隔离或交通疏导办法： 实行区域管制与警戒，专人进行疏导。</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在发生重大火灾爆炸、严重的有毒物质泄漏，严重威胁现场人员生命安全条件下，指挥长作出与事故处理无关人员的撤离，或全部人员撤离的命令。在发生严重的火灾爆炸、毒物泄漏事故时，应依据当时的风向选择确定上风向的一侧作为紧急集合地点，撤离人员先在该处集合登记，等待进一步的指令。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在发生事故时，公司派专人对非公司人员进行引导疏散并撤离至安全地带。当经过积极的灾害急救处理后，灾情仍无法控制的，由指挥长下达撤离命令后，装置现场所有人员按自己所处位置，按指定路线撤离，并引导现场其他人员迅速撤离现场。对可能威胁到厂外居民安全时，应急指挥部应立即安排和地方有关部门联系，并应迅速组织有关人员协助友邻单位、厂区外过往行人在上级政府指挥部指挥协调下，引导人员迅速撤离到安全地点。</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突发环境事故发生后严重影响到了公司内以及受保护地区人民群众的生命安全时，应当组织人员疏散，疏散时遵循以下原则：</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保证疏散指示标志明显，应急疏散通道出口通畅，应急照明灯能正常使用；2）明确疏散计划，由应急指挥部发出疏散命令后，后勤保障组合综合协调组立即组织人员疏散；3）用最快速度通知现场人员，按疏散的方向通道进行疏散；4）积极配合好有关部门（公安消防部门等）进行疏散工作，主动汇报事故现场情况；5）事故现场有被困人员时，疏导人员应劝导被困人员，服从指挥，做到有组织、有秩序地疏散；6）正确通报、防止混乱。疏导人员首先通知事故现场附近人员先疏散出去，然后视情况公开通报，告诉其他区域人员进行有序疏散，防止不分先后，发生拥挤影响顺利疏散；7）口头引导疏散。疏导人员要用镇定的语气，呼喊、劝说人们消除恐惧心里，稳定情绪，使大家能够积极配合进行疏散；8）广播引导疏散。利用广播将发生事故的部位，需疏散人员的区域，安全的区域方向和标志告诉大家，对已被困人员告知他们救生器材的使用方法，自制救生器材的方法；9）事故现场直接威胁人员安全，采取必要的手段强制疏导，防止出现伤亡事故。在疏散通道的拐弯、叉道等容易走错方向的地方设疏导人员，提示疏散方向，防止误入死胡同或进入危险区域；10）对疏散出的人员，要加强脱险后的管理，防止脱险人员对财产和未撤离危险区的亲人生命担心而重新返回事故现场。必要时，在进入危险区域的关键部位配备警戒人员；11）专业救援队伍到达现场后，疏导人员若知晓内部被困人员，要迅速报告，介绍被困人员方位、数量。</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交通疏导：1）发生严重环境事故时，抢险救援及综合协调组应积极配合有关部门，汇报事故情况，安排好交通封锁和疏通；2）设置路障，封锁通往事故现场的道路，防止车辆或者人员再次进入事故现场；3）配合好进入事故现场的应急救援小组，确保应急救援小组进出现场自由通畅；4）引导需经过事故现场的车辆或行人临时绕道，确保车辆行人不受危险物质的伤害。</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.5应急监测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突发环境事件发生后，应急监测组迅速确定是否立即开展监测工作，必要时联系环境监测部门进入现场，及时开展应急监测工作，在尽可能短的时间内做出判断，以便对事件及时正确进行处理。</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.5.1应急监测方案的确定</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通过初步现场分析，对污染物进行定性、定量以及确定污染范围，根据不同形式的环境事故，确定监测对象、监测点位、监测项目、监测方法、监测频次、质控要求，由应急检测组组长协调监测工作的开展，必要时请求芜湖市生态环境局协调。</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（2）现场采样与监测。由应急监测组对突发性环境事故的应急监测开展技术指导。</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（3）根据事态的变化，在公司应急指挥部的指导下适当调整监测方案。</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（4）应急监测终止后，应将应急监测情况汇报公司应急指挥部。根据事故情况必要时进行跟踪监测。</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（5）完成应急指挥部交办的其它工作。</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 xml:space="preserve">.5.2监测布点与频次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（1）采样点位布设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首先应当根据污染源以及污染物的类型，直接测定该污染源或排放口所排污染物在空气、水环境中的浓度。其次由于环境化学污染事故发生时，污染物的分布极不均匀，时空变化大，对各环境要素的污染程度各不相同，因此采样点位的选择对于准确判断污染物的浓度分布、污染范围与程度等极为重要。这就需要根据事故类型，严重程度和影响范围确定采样点。</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1）大气环境污染事故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对于有毒物质，若产生挥发性气体物质的泄漏，首先应当尽可能在事故发生地就近采样，并以事故地点为中心，根据事故发生地的地理特点、风向及其他自然条件，在事故发生地当日的下风向影响区域、掩体或低洼地等位置，按一定间隔的圆形布点采样，根据事故发生的严重程度，确定采样点布置的范围。而且需要在不同高度采样，同时在事故点的上风向适当位置布设采样，作为对照点。在距事故发生地最近的居民住宅区或其他敏感区域应布点采样，且采样过程中应注意风向的变化，及时调整采样点位置。</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对于火灾以及爆炸事故，首先应当确定事故中可能产生的衍生污染物，再根据该污染物的性质特征，按照以上的采样点布置原则进行布点。采样时，应当确定好采样的流量和采样的时间，同时记录气温、气压、风向和风速，采样总体积应换算为标准状态下的体积。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2）水环境污染事故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危险化学物质发生泄漏造成水环境污染，采样时以事故发生地为主，按水流的方向，扩散速度以及其他因素进行布点采样，根据事故发生的严重程度，可现场确定采样范围。采样在事故发生地、事故发生地的下游布设若干点位，同时在事故发生地的上游一定距离布设对照断面；采样时，需要采平行样品，一份在现场进行检测，一份加入保护剂后尽快送至实验室分析。若根据污染物质类型需要，应当使用塑料广口瓶对水体的沉积物采样密封后分析。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对于火灾以及爆炸事故，除了执行以上的监测步骤，还必须对消防水采样分析。</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（2）应急监测频次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应急监测的频次根据事故发生的时间而有所变化，根据污染物的状况，在事发初期应当增加频次，不少于2小时采样一次；待摸清污染规律后可适当减少，不少于6小时一次；应急终止后可24小时一次进行取样。至影响完全消除后方可停止取样。</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6</w:t>
      </w:r>
      <w:r>
        <w:rPr>
          <w:rFonts w:ascii="Times New Roman" w:hAnsi="Times New Roman" w:eastAsia="黑体" w:cs="Times New Roman"/>
          <w:sz w:val="24"/>
          <w:szCs w:val="24"/>
        </w:rPr>
        <w:t xml:space="preserve">.5.3应急监测人员安全防护措施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现场应急监测分析方案的具体实施均是由应急监测工作者完成的，而每一污染事故都可能危及分析人员的人身安全。为了保护分析人员并有效地实施现场快速分析，在实施应急监测方案之前，还应该配备必要的防护器材，如隔绝式防化服、防火防化服、防毒工作服、酸碱工作服、防毒呼吸器、面部防护罩、靴套、防毒手套、头盔、头罩、口罩、气密防护眼镜以及应急灯等。</w:t>
      </w:r>
    </w:p>
    <w:p>
      <w:pPr>
        <w:pStyle w:val="2"/>
        <w:keepNext w:val="0"/>
        <w:keepLines w:val="0"/>
        <w:pageBreakBefore w:val="0"/>
        <w:kinsoku/>
        <w:wordWrap/>
        <w:bidi w:val="0"/>
        <w:snapToGrid/>
        <w:rPr>
          <w:rFonts w:ascii="Times New Roman" w:hAnsi="Times New Roman" w:eastAsia="宋体" w:cs="Times New Roman"/>
          <w:bCs/>
          <w:sz w:val="24"/>
          <w:szCs w:val="24"/>
        </w:rPr>
      </w:pP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hint="eastAsia" w:ascii="Times New Roman" w:hAnsi="Times New Roman" w:eastAsia="黑体" w:cs="Times New Roman"/>
          <w:sz w:val="44"/>
          <w:szCs w:val="44"/>
          <w:lang w:val="en-US" w:eastAsia="zh-CN"/>
        </w:rPr>
        <w:t>7</w:t>
      </w:r>
      <w:r>
        <w:rPr>
          <w:rFonts w:ascii="Times New Roman" w:hAnsi="Times New Roman" w:eastAsia="黑体" w:cs="Times New Roman"/>
          <w:sz w:val="44"/>
          <w:szCs w:val="44"/>
        </w:rPr>
        <w:t>环境保护措施有效性评估</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芜湖新兴铸管有限责任公司厂区采取清洁生产工艺，发展循环经济，从源头抓起，眼于生产全过程控制，把污染消除在生产源头。同时，对生产过程中产生的污染物采取有效措施进行控制。</w:t>
      </w:r>
    </w:p>
    <w:p>
      <w:pPr>
        <w:pStyle w:val="27"/>
        <w:keepNext w:val="0"/>
        <w:keepLines w:val="0"/>
        <w:pageBreakBefore w:val="0"/>
        <w:kinsoku/>
        <w:wordWrap/>
        <w:bidi w:val="0"/>
        <w:snapToGrid/>
        <w:spacing w:before="156" w:after="156" w:line="360" w:lineRule="auto"/>
        <w:rPr>
          <w:rFonts w:ascii="Times New Roman"/>
          <w:b w:val="0"/>
        </w:rPr>
      </w:pPr>
      <w:r>
        <w:rPr>
          <w:rFonts w:hint="eastAsia" w:ascii="Times New Roman"/>
          <w:b w:val="0"/>
          <w:lang w:val="en-US" w:eastAsia="zh-CN"/>
        </w:rPr>
        <w:t>7</w:t>
      </w:r>
      <w:r>
        <w:rPr>
          <w:rFonts w:ascii="Times New Roman"/>
          <w:b w:val="0"/>
        </w:rPr>
        <w:t>.1污染防治措施现状调查</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厂区现有主要环保设施照片见下图所示。</w:t>
      </w:r>
    </w:p>
    <w:tbl>
      <w:tblPr>
        <w:tblStyle w:val="21"/>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59"/>
        <w:gridCol w:w="4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733675" cy="2049780"/>
                  <wp:effectExtent l="0" t="0" r="9525" b="7620"/>
                  <wp:docPr id="77" name="图片 77" descr="IMG_20190314_09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20190314_090811"/>
                          <pic:cNvPicPr>
                            <a:picLocks noChangeAspect="1"/>
                          </pic:cNvPicPr>
                        </pic:nvPicPr>
                        <pic:blipFill>
                          <a:blip r:embed="rId104"/>
                          <a:stretch>
                            <a:fillRect/>
                          </a:stretch>
                        </pic:blipFill>
                        <pic:spPr>
                          <a:xfrm>
                            <a:off x="0" y="0"/>
                            <a:ext cx="2733675" cy="2049780"/>
                          </a:xfrm>
                          <a:prstGeom prst="rect">
                            <a:avLst/>
                          </a:prstGeom>
                        </pic:spPr>
                      </pic:pic>
                    </a:graphicData>
                  </a:graphic>
                </wp:inline>
              </w:drawing>
            </w:r>
          </w:p>
        </w:tc>
        <w:tc>
          <w:tcPr>
            <w:tcW w:w="4512" w:type="dxa"/>
            <w:vAlign w:val="center"/>
          </w:tcPr>
          <w:p>
            <w:pPr>
              <w:pStyle w:val="41"/>
              <w:keepNext w:val="0"/>
              <w:keepLines w:val="0"/>
              <w:pageBreakBefore w:val="0"/>
              <w:kinsoku/>
              <w:wordWrap/>
              <w:bidi w:val="0"/>
              <w:snapToGrid/>
              <w:rPr>
                <w:rFonts w:hint="eastAsia" w:eastAsia="宋体"/>
                <w:lang w:eastAsia="zh-CN"/>
              </w:rPr>
            </w:pPr>
            <w:r>
              <w:rPr>
                <w:rFonts w:hint="eastAsia" w:eastAsia="宋体"/>
                <w:lang w:eastAsia="zh-CN"/>
              </w:rPr>
              <w:drawing>
                <wp:inline distT="0" distB="0" distL="114300" distR="114300">
                  <wp:extent cx="2726055" cy="2077720"/>
                  <wp:effectExtent l="0" t="0" r="17145" b="17780"/>
                  <wp:docPr id="92" name="图片 92" descr="微信图片_2019052813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微信图片_20190528134435"/>
                          <pic:cNvPicPr>
                            <a:picLocks noChangeAspect="1"/>
                          </pic:cNvPicPr>
                        </pic:nvPicPr>
                        <pic:blipFill>
                          <a:blip r:embed="rId105"/>
                          <a:stretch>
                            <a:fillRect/>
                          </a:stretch>
                        </pic:blipFill>
                        <pic:spPr>
                          <a:xfrm>
                            <a:off x="0" y="0"/>
                            <a:ext cx="2726055" cy="20777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原料场防风抑尘网</w:t>
            </w:r>
          </w:p>
        </w:tc>
        <w:tc>
          <w:tcPr>
            <w:tcW w:w="4512" w:type="dxa"/>
            <w:vAlign w:val="center"/>
          </w:tcPr>
          <w:p>
            <w:pPr>
              <w:pStyle w:val="41"/>
              <w:keepNext w:val="0"/>
              <w:keepLines w:val="0"/>
              <w:pageBreakBefore w:val="0"/>
              <w:kinsoku/>
              <w:wordWrap/>
              <w:bidi w:val="0"/>
              <w:snapToGrid/>
            </w:pPr>
            <w:r>
              <w:rPr>
                <w:highlight w:val="none"/>
              </w:rPr>
              <w:t>原料场水喷淋设施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5395" cy="2402205"/>
                  <wp:effectExtent l="0" t="0" r="8255" b="17145"/>
                  <wp:docPr id="58" name="图片 8" descr="挡风抑尘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descr="挡风抑尘网"/>
                          <pic:cNvPicPr>
                            <a:picLocks noChangeAspect="1"/>
                          </pic:cNvPicPr>
                        </pic:nvPicPr>
                        <pic:blipFill>
                          <a:blip r:embed="rId106"/>
                          <a:srcRect b="11079"/>
                          <a:stretch>
                            <a:fillRect/>
                          </a:stretch>
                        </pic:blipFill>
                        <pic:spPr>
                          <a:xfrm>
                            <a:off x="0" y="0"/>
                            <a:ext cx="2525395" cy="240220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rPr>
                <w:rFonts w:hint="eastAsia" w:eastAsia="宋体"/>
                <w:b/>
                <w:lang w:eastAsia="zh-CN"/>
              </w:rPr>
            </w:pPr>
            <w:r>
              <w:rPr>
                <w:rFonts w:hint="eastAsia" w:eastAsia="宋体"/>
                <w:b/>
                <w:lang w:eastAsia="zh-CN"/>
              </w:rPr>
              <w:drawing>
                <wp:inline distT="0" distB="0" distL="114300" distR="114300">
                  <wp:extent cx="2570480" cy="2404745"/>
                  <wp:effectExtent l="0" t="0" r="1270" b="14605"/>
                  <wp:docPr id="93" name="图片 93" descr="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5.28-1"/>
                          <pic:cNvPicPr>
                            <a:picLocks noChangeAspect="1"/>
                          </pic:cNvPicPr>
                        </pic:nvPicPr>
                        <pic:blipFill>
                          <a:blip r:embed="rId107"/>
                          <a:stretch>
                            <a:fillRect/>
                          </a:stretch>
                        </pic:blipFill>
                        <pic:spPr>
                          <a:xfrm>
                            <a:off x="0" y="0"/>
                            <a:ext cx="2570480" cy="24047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原料场防风抑尘网</w:t>
            </w:r>
          </w:p>
        </w:tc>
        <w:tc>
          <w:tcPr>
            <w:tcW w:w="4512" w:type="dxa"/>
            <w:vAlign w:val="center"/>
          </w:tcPr>
          <w:p>
            <w:pPr>
              <w:pStyle w:val="41"/>
              <w:keepNext w:val="0"/>
              <w:keepLines w:val="0"/>
              <w:pageBreakBefore w:val="0"/>
              <w:kinsoku/>
              <w:wordWrap/>
              <w:bidi w:val="0"/>
              <w:snapToGrid/>
            </w:pPr>
            <w:r>
              <w:rPr>
                <w:highlight w:val="none"/>
              </w:rPr>
              <w:t>原料场转运站除尘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731135" cy="2048510"/>
                  <wp:effectExtent l="0" t="0" r="12065" b="8890"/>
                  <wp:docPr id="80" name="图片 80" descr="IMG_20190314_10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190314_102338"/>
                          <pic:cNvPicPr>
                            <a:picLocks noChangeAspect="1"/>
                          </pic:cNvPicPr>
                        </pic:nvPicPr>
                        <pic:blipFill>
                          <a:blip r:embed="rId108"/>
                          <a:stretch>
                            <a:fillRect/>
                          </a:stretch>
                        </pic:blipFill>
                        <pic:spPr>
                          <a:xfrm>
                            <a:off x="0" y="0"/>
                            <a:ext cx="2731135" cy="2048510"/>
                          </a:xfrm>
                          <a:prstGeom prst="rect">
                            <a:avLst/>
                          </a:prstGeom>
                        </pic:spPr>
                      </pic:pic>
                    </a:graphicData>
                  </a:graphic>
                </wp:inline>
              </w:drawing>
            </w:r>
          </w:p>
        </w:tc>
        <w:tc>
          <w:tcPr>
            <w:tcW w:w="4512" w:type="dxa"/>
            <w:vAlign w:val="center"/>
          </w:tcPr>
          <w:p>
            <w:pPr>
              <w:pStyle w:val="41"/>
              <w:keepNext w:val="0"/>
              <w:keepLines w:val="0"/>
              <w:pageBreakBefore w:val="0"/>
              <w:kinsoku/>
              <w:wordWrap/>
              <w:bidi w:val="0"/>
              <w:snapToGrid/>
              <w:rPr>
                <w:highlight w:val="yellow"/>
              </w:rPr>
            </w:pPr>
            <w:r>
              <w:drawing>
                <wp:inline distT="0" distB="0" distL="114300" distR="114300">
                  <wp:extent cx="2710180" cy="2042160"/>
                  <wp:effectExtent l="0" t="0" r="13970" b="15240"/>
                  <wp:docPr id="81" name="图片 81" descr="IMG_20190314_09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_20190314_094020"/>
                          <pic:cNvPicPr>
                            <a:picLocks noChangeAspect="1"/>
                          </pic:cNvPicPr>
                        </pic:nvPicPr>
                        <pic:blipFill>
                          <a:blip r:embed="rId109"/>
                          <a:stretch>
                            <a:fillRect/>
                          </a:stretch>
                        </pic:blipFill>
                        <pic:spPr>
                          <a:xfrm>
                            <a:off x="0" y="0"/>
                            <a:ext cx="2710180" cy="2042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原料场原料覆盖布</w:t>
            </w:r>
          </w:p>
        </w:tc>
        <w:tc>
          <w:tcPr>
            <w:tcW w:w="4512" w:type="dxa"/>
            <w:vAlign w:val="center"/>
          </w:tcPr>
          <w:p>
            <w:pPr>
              <w:pStyle w:val="41"/>
              <w:keepNext w:val="0"/>
              <w:keepLines w:val="0"/>
              <w:pageBreakBefore w:val="0"/>
              <w:kinsoku/>
              <w:wordWrap/>
              <w:bidi w:val="0"/>
              <w:snapToGrid/>
              <w:rPr>
                <w:highlight w:val="yellow"/>
              </w:rPr>
            </w:pPr>
            <w:r>
              <w:t>厂区洒水车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19680" cy="1901825"/>
                  <wp:effectExtent l="0" t="0" r="13970" b="3175"/>
                  <wp:docPr id="40" name="图片 10" descr="烧结#机头电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descr="烧结#机头电除尘器"/>
                          <pic:cNvPicPr>
                            <a:picLocks noChangeAspect="1"/>
                          </pic:cNvPicPr>
                        </pic:nvPicPr>
                        <pic:blipFill>
                          <a:blip r:embed="rId110"/>
                          <a:stretch>
                            <a:fillRect/>
                          </a:stretch>
                        </pic:blipFill>
                        <pic:spPr>
                          <a:xfrm>
                            <a:off x="0" y="0"/>
                            <a:ext cx="2519680" cy="190182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3490" cy="1883410"/>
                  <wp:effectExtent l="0" t="0" r="10160" b="2540"/>
                  <wp:docPr id="50" name="图片 11" descr="烧结2#机头电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descr="烧结2#机头电除尘器"/>
                          <pic:cNvPicPr>
                            <a:picLocks noChangeAspect="1"/>
                          </pic:cNvPicPr>
                        </pic:nvPicPr>
                        <pic:blipFill>
                          <a:blip r:embed="rId111"/>
                          <a:stretch>
                            <a:fillRect/>
                          </a:stretch>
                        </pic:blipFill>
                        <pic:spPr>
                          <a:xfrm>
                            <a:off x="0" y="0"/>
                            <a:ext cx="2523490" cy="1883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1#烧结机机头电除尘</w:t>
            </w:r>
          </w:p>
        </w:tc>
        <w:tc>
          <w:tcPr>
            <w:tcW w:w="4512" w:type="dxa"/>
            <w:vAlign w:val="center"/>
          </w:tcPr>
          <w:p>
            <w:pPr>
              <w:pStyle w:val="41"/>
              <w:keepNext w:val="0"/>
              <w:keepLines w:val="0"/>
              <w:pageBreakBefore w:val="0"/>
              <w:kinsoku/>
              <w:wordWrap/>
              <w:bidi w:val="0"/>
              <w:snapToGrid/>
            </w:pPr>
            <w:r>
              <w:t>2#烧结机机头电除尘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3490" cy="2355215"/>
                  <wp:effectExtent l="0" t="0" r="10160" b="6985"/>
                  <wp:docPr id="42" name="图片 12" descr="烧结1#脱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descr="烧结1#脱硫"/>
                          <pic:cNvPicPr>
                            <a:picLocks noChangeAspect="1"/>
                          </pic:cNvPicPr>
                        </pic:nvPicPr>
                        <pic:blipFill>
                          <a:blip r:embed="rId112"/>
                          <a:stretch>
                            <a:fillRect/>
                          </a:stretch>
                        </pic:blipFill>
                        <pic:spPr>
                          <a:xfrm>
                            <a:off x="0" y="0"/>
                            <a:ext cx="2523490" cy="235521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19680" cy="2307590"/>
                  <wp:effectExtent l="0" t="0" r="13970" b="16510"/>
                  <wp:docPr id="41" name="图片 13" descr="烧结机头的脱硝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descr="烧结机头的脱硝系统"/>
                          <pic:cNvPicPr>
                            <a:picLocks noChangeAspect="1"/>
                          </pic:cNvPicPr>
                        </pic:nvPicPr>
                        <pic:blipFill>
                          <a:blip r:embed="rId113"/>
                          <a:stretch>
                            <a:fillRect/>
                          </a:stretch>
                        </pic:blipFill>
                        <pic:spPr>
                          <a:xfrm>
                            <a:off x="0" y="0"/>
                            <a:ext cx="2519680" cy="23075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559" w:type="dxa"/>
            <w:vAlign w:val="center"/>
          </w:tcPr>
          <w:p>
            <w:pPr>
              <w:pStyle w:val="41"/>
              <w:keepNext w:val="0"/>
              <w:keepLines w:val="0"/>
              <w:pageBreakBefore w:val="0"/>
              <w:kinsoku/>
              <w:wordWrap/>
              <w:bidi w:val="0"/>
              <w:snapToGrid/>
            </w:pPr>
            <w:r>
              <w:t>烧结机机头脱硫塔</w:t>
            </w:r>
          </w:p>
        </w:tc>
        <w:tc>
          <w:tcPr>
            <w:tcW w:w="4512" w:type="dxa"/>
            <w:vAlign w:val="center"/>
          </w:tcPr>
          <w:p>
            <w:pPr>
              <w:pStyle w:val="41"/>
              <w:keepNext w:val="0"/>
              <w:keepLines w:val="0"/>
              <w:pageBreakBefore w:val="0"/>
              <w:kinsoku/>
              <w:wordWrap/>
              <w:bidi w:val="0"/>
              <w:snapToGrid/>
            </w:pPr>
            <w:r>
              <w:t>烧结机机头脱硝系统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3490" cy="2747010"/>
                  <wp:effectExtent l="0" t="0" r="10160" b="15240"/>
                  <wp:docPr id="46" name="图片 14" descr="1#机尾电袋除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descr="1#机尾电袋除尘"/>
                          <pic:cNvPicPr>
                            <a:picLocks noChangeAspect="1"/>
                          </pic:cNvPicPr>
                        </pic:nvPicPr>
                        <pic:blipFill>
                          <a:blip r:embed="rId114"/>
                          <a:stretch>
                            <a:fillRect/>
                          </a:stretch>
                        </pic:blipFill>
                        <pic:spPr>
                          <a:xfrm>
                            <a:off x="0" y="0"/>
                            <a:ext cx="2523490" cy="2747010"/>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3490" cy="2755900"/>
                  <wp:effectExtent l="0" t="0" r="10160" b="6350"/>
                  <wp:docPr id="56" name="图片 15" descr="2#机尾电袋除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descr="2#机尾电袋除尘"/>
                          <pic:cNvPicPr>
                            <a:picLocks noChangeAspect="1"/>
                          </pic:cNvPicPr>
                        </pic:nvPicPr>
                        <pic:blipFill>
                          <a:blip r:embed="rId115"/>
                          <a:stretch>
                            <a:fillRect/>
                          </a:stretch>
                        </pic:blipFill>
                        <pic:spPr>
                          <a:xfrm>
                            <a:off x="0" y="0"/>
                            <a:ext cx="2523490" cy="27559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559" w:type="dxa"/>
            <w:vAlign w:val="center"/>
          </w:tcPr>
          <w:p>
            <w:pPr>
              <w:pStyle w:val="41"/>
              <w:keepNext w:val="0"/>
              <w:keepLines w:val="0"/>
              <w:pageBreakBefore w:val="0"/>
              <w:kinsoku/>
              <w:wordWrap/>
              <w:bidi w:val="0"/>
              <w:snapToGrid/>
            </w:pPr>
            <w:r>
              <w:t>1#烧结机机尾电袋复合除尘</w:t>
            </w:r>
          </w:p>
        </w:tc>
        <w:tc>
          <w:tcPr>
            <w:tcW w:w="4512" w:type="dxa"/>
            <w:vAlign w:val="center"/>
          </w:tcPr>
          <w:p>
            <w:pPr>
              <w:pStyle w:val="41"/>
              <w:keepNext w:val="0"/>
              <w:keepLines w:val="0"/>
              <w:pageBreakBefore w:val="0"/>
              <w:kinsoku/>
              <w:wordWrap/>
              <w:bidi w:val="0"/>
              <w:snapToGrid/>
            </w:pPr>
            <w:r>
              <w:t>2#烧结机机尾电袋复合除尘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1585" cy="1892935"/>
                  <wp:effectExtent l="0" t="0" r="12065" b="12065"/>
                  <wp:docPr id="38" name="图片 16" descr="烧结配料除尘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descr="烧结配料除尘系统"/>
                          <pic:cNvPicPr>
                            <a:picLocks noChangeAspect="1"/>
                          </pic:cNvPicPr>
                        </pic:nvPicPr>
                        <pic:blipFill>
                          <a:blip r:embed="rId116"/>
                          <a:stretch>
                            <a:fillRect/>
                          </a:stretch>
                        </pic:blipFill>
                        <pic:spPr>
                          <a:xfrm>
                            <a:off x="0" y="0"/>
                            <a:ext cx="2521585" cy="189293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3490" cy="1883410"/>
                  <wp:effectExtent l="0" t="0" r="10160" b="2540"/>
                  <wp:docPr id="54" name="图片 17" descr="烧结燃料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7" descr="烧结燃料除尘器"/>
                          <pic:cNvPicPr>
                            <a:picLocks noChangeAspect="1"/>
                          </pic:cNvPicPr>
                        </pic:nvPicPr>
                        <pic:blipFill>
                          <a:blip r:embed="rId117"/>
                          <a:stretch>
                            <a:fillRect/>
                          </a:stretch>
                        </pic:blipFill>
                        <pic:spPr>
                          <a:xfrm>
                            <a:off x="0" y="0"/>
                            <a:ext cx="2523490" cy="1883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烧结配料除尘</w:t>
            </w:r>
          </w:p>
        </w:tc>
        <w:tc>
          <w:tcPr>
            <w:tcW w:w="4512" w:type="dxa"/>
            <w:vAlign w:val="center"/>
          </w:tcPr>
          <w:p>
            <w:pPr>
              <w:pStyle w:val="41"/>
              <w:keepNext w:val="0"/>
              <w:keepLines w:val="0"/>
              <w:pageBreakBefore w:val="0"/>
              <w:kinsoku/>
              <w:wordWrap/>
              <w:bidi w:val="0"/>
              <w:snapToGrid/>
            </w:pPr>
            <w:r>
              <w:t>烧结燃料除尘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3490" cy="2240915"/>
                  <wp:effectExtent l="0" t="0" r="10160" b="6985"/>
                  <wp:docPr id="44" name="图片 18" descr="除尘器预粉碎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descr="除尘器预粉碎除尘器"/>
                          <pic:cNvPicPr>
                            <a:picLocks noChangeAspect="1"/>
                          </pic:cNvPicPr>
                        </pic:nvPicPr>
                        <pic:blipFill>
                          <a:blip r:embed="rId118"/>
                          <a:stretch>
                            <a:fillRect/>
                          </a:stretch>
                        </pic:blipFill>
                        <pic:spPr>
                          <a:xfrm>
                            <a:off x="0" y="0"/>
                            <a:ext cx="2523490" cy="224091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687320" cy="2015490"/>
                  <wp:effectExtent l="0" t="0" r="17780" b="3810"/>
                  <wp:docPr id="78" name="图片 78" descr="IMG_20190314_10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190314_100255"/>
                          <pic:cNvPicPr>
                            <a:picLocks noChangeAspect="1"/>
                          </pic:cNvPicPr>
                        </pic:nvPicPr>
                        <pic:blipFill>
                          <a:blip r:embed="rId119"/>
                          <a:stretch>
                            <a:fillRect/>
                          </a:stretch>
                        </pic:blipFill>
                        <pic:spPr>
                          <a:xfrm>
                            <a:off x="0" y="0"/>
                            <a:ext cx="2687320" cy="20154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焦化煤预粉碎除尘</w:t>
            </w:r>
          </w:p>
        </w:tc>
        <w:tc>
          <w:tcPr>
            <w:tcW w:w="4512" w:type="dxa"/>
            <w:vAlign w:val="center"/>
          </w:tcPr>
          <w:p>
            <w:pPr>
              <w:pStyle w:val="41"/>
              <w:keepNext w:val="0"/>
              <w:keepLines w:val="0"/>
              <w:pageBreakBefore w:val="0"/>
              <w:kinsoku/>
              <w:wordWrap/>
              <w:bidi w:val="0"/>
              <w:snapToGrid/>
            </w:pPr>
            <w:r>
              <w:t>焦化备煤粉碎系统除尘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3490" cy="1892935"/>
                  <wp:effectExtent l="0" t="0" r="10160" b="12065"/>
                  <wp:docPr id="59" name="图片 20" descr="装煤、推焦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 descr="装煤、推焦除尘器"/>
                          <pic:cNvPicPr>
                            <a:picLocks noChangeAspect="1"/>
                          </pic:cNvPicPr>
                        </pic:nvPicPr>
                        <pic:blipFill>
                          <a:blip r:embed="rId120"/>
                          <a:stretch>
                            <a:fillRect/>
                          </a:stretch>
                        </pic:blipFill>
                        <pic:spPr>
                          <a:xfrm>
                            <a:off x="0" y="0"/>
                            <a:ext cx="2523490" cy="1892935"/>
                          </a:xfrm>
                          <a:prstGeom prst="rect">
                            <a:avLst/>
                          </a:prstGeom>
                          <a:noFill/>
                          <a:ln>
                            <a:noFill/>
                          </a:ln>
                        </pic:spPr>
                      </pic:pic>
                    </a:graphicData>
                  </a:graphic>
                </wp:inline>
              </w:drawing>
            </w:r>
          </w:p>
        </w:tc>
        <w:tc>
          <w:tcPr>
            <w:tcW w:w="4512" w:type="dxa"/>
            <w:vAlign w:val="center"/>
          </w:tcPr>
          <w:p>
            <w:pPr>
              <w:pStyle w:val="42"/>
              <w:keepNext w:val="0"/>
              <w:keepLines w:val="0"/>
              <w:pageBreakBefore w:val="0"/>
              <w:kinsoku/>
              <w:wordWrap/>
              <w:bidi w:val="0"/>
              <w:snapToGrid/>
              <w:rPr>
                <w:rFonts w:ascii="Times New Roman"/>
              </w:rPr>
            </w:pPr>
            <w:r>
              <w:rPr>
                <w:rFonts w:ascii="Times New Roman"/>
              </w:rPr>
              <w:drawing>
                <wp:inline distT="0" distB="0" distL="114300" distR="114300">
                  <wp:extent cx="2523490" cy="1883410"/>
                  <wp:effectExtent l="0" t="0" r="10160" b="2540"/>
                  <wp:docPr id="39" name="图片 21" descr="筛焦楼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descr="筛焦楼除尘器"/>
                          <pic:cNvPicPr>
                            <a:picLocks noChangeAspect="1"/>
                          </pic:cNvPicPr>
                        </pic:nvPicPr>
                        <pic:blipFill>
                          <a:blip r:embed="rId121"/>
                          <a:stretch>
                            <a:fillRect/>
                          </a:stretch>
                        </pic:blipFill>
                        <pic:spPr>
                          <a:xfrm>
                            <a:off x="0" y="0"/>
                            <a:ext cx="2523490" cy="1883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装煤和推焦除尘</w:t>
            </w:r>
          </w:p>
        </w:tc>
        <w:tc>
          <w:tcPr>
            <w:tcW w:w="4512" w:type="dxa"/>
            <w:vAlign w:val="center"/>
          </w:tcPr>
          <w:p>
            <w:pPr>
              <w:pStyle w:val="41"/>
              <w:keepNext w:val="0"/>
              <w:keepLines w:val="0"/>
              <w:pageBreakBefore w:val="0"/>
              <w:kinsoku/>
              <w:wordWrap/>
              <w:bidi w:val="0"/>
              <w:snapToGrid/>
            </w:pPr>
            <w:r>
              <w:t>筛焦楼除尘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733675" cy="2049780"/>
                  <wp:effectExtent l="0" t="0" r="9525" b="7620"/>
                  <wp:docPr id="75" name="图片 75" descr="IMG_20190314_09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0190314_092445"/>
                          <pic:cNvPicPr>
                            <a:picLocks noChangeAspect="1"/>
                          </pic:cNvPicPr>
                        </pic:nvPicPr>
                        <pic:blipFill>
                          <a:blip r:embed="rId122"/>
                          <a:stretch>
                            <a:fillRect/>
                          </a:stretch>
                        </pic:blipFill>
                        <pic:spPr>
                          <a:xfrm>
                            <a:off x="0" y="0"/>
                            <a:ext cx="2733675" cy="2049780"/>
                          </a:xfrm>
                          <a:prstGeom prst="rect">
                            <a:avLst/>
                          </a:prstGeom>
                        </pic:spPr>
                      </pic:pic>
                    </a:graphicData>
                  </a:graphic>
                </wp:inline>
              </w:drawing>
            </w:r>
          </w:p>
        </w:tc>
        <w:tc>
          <w:tcPr>
            <w:tcW w:w="4512" w:type="dxa"/>
            <w:vAlign w:val="center"/>
          </w:tcPr>
          <w:p>
            <w:pPr>
              <w:pStyle w:val="42"/>
              <w:keepNext w:val="0"/>
              <w:keepLines w:val="0"/>
              <w:pageBreakBefore w:val="0"/>
              <w:kinsoku/>
              <w:wordWrap/>
              <w:bidi w:val="0"/>
              <w:snapToGrid/>
              <w:rPr>
                <w:rFonts w:ascii="Times New Roman"/>
              </w:rPr>
            </w:pPr>
            <w:r>
              <w:rPr>
                <w:rFonts w:ascii="Times New Roman"/>
              </w:rPr>
              <w:drawing>
                <wp:inline distT="0" distB="0" distL="114300" distR="114300">
                  <wp:extent cx="2687320" cy="2015490"/>
                  <wp:effectExtent l="0" t="0" r="17780" b="3810"/>
                  <wp:docPr id="79" name="图片 79" descr="IMG_20190314_09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190314_092453"/>
                          <pic:cNvPicPr>
                            <a:picLocks noChangeAspect="1"/>
                          </pic:cNvPicPr>
                        </pic:nvPicPr>
                        <pic:blipFill>
                          <a:blip r:embed="rId123"/>
                          <a:stretch>
                            <a:fillRect/>
                          </a:stretch>
                        </pic:blipFill>
                        <pic:spPr>
                          <a:xfrm>
                            <a:off x="0" y="0"/>
                            <a:ext cx="2687320" cy="20154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焦炉烟气控硝及脱硫脱硝-1</w:t>
            </w:r>
          </w:p>
        </w:tc>
        <w:tc>
          <w:tcPr>
            <w:tcW w:w="4512" w:type="dxa"/>
            <w:vAlign w:val="center"/>
          </w:tcPr>
          <w:p>
            <w:pPr>
              <w:pStyle w:val="41"/>
              <w:keepNext w:val="0"/>
              <w:keepLines w:val="0"/>
              <w:pageBreakBefore w:val="0"/>
              <w:kinsoku/>
              <w:wordWrap/>
              <w:bidi w:val="0"/>
              <w:snapToGrid/>
            </w:pPr>
            <w:r>
              <w:t>焦炉烟气控硝及脱硫脱硝-2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19680" cy="1889760"/>
                  <wp:effectExtent l="0" t="0" r="13970" b="15240"/>
                  <wp:docPr id="53" name="图片 22" descr="焦化干熄焦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2" descr="焦化干熄焦除尘器"/>
                          <pic:cNvPicPr>
                            <a:picLocks noChangeAspect="1"/>
                          </pic:cNvPicPr>
                        </pic:nvPicPr>
                        <pic:blipFill>
                          <a:blip r:embed="rId124"/>
                          <a:stretch>
                            <a:fillRect/>
                          </a:stretch>
                        </pic:blipFill>
                        <pic:spPr>
                          <a:xfrm>
                            <a:off x="0" y="0"/>
                            <a:ext cx="2519680" cy="1889760"/>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3490" cy="1892935"/>
                  <wp:effectExtent l="0" t="0" r="10160" b="12065"/>
                  <wp:docPr id="52" name="图片 23" descr="焦炉逸散烟尘收集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descr="焦炉逸散烟尘收集除尘器"/>
                          <pic:cNvPicPr>
                            <a:picLocks noChangeAspect="1"/>
                          </pic:cNvPicPr>
                        </pic:nvPicPr>
                        <pic:blipFill>
                          <a:blip r:embed="rId125"/>
                          <a:stretch>
                            <a:fillRect/>
                          </a:stretch>
                        </pic:blipFill>
                        <pic:spPr>
                          <a:xfrm>
                            <a:off x="0" y="0"/>
                            <a:ext cx="2523490" cy="18929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干熄焦除尘</w:t>
            </w:r>
          </w:p>
        </w:tc>
        <w:tc>
          <w:tcPr>
            <w:tcW w:w="4512" w:type="dxa"/>
            <w:vAlign w:val="center"/>
          </w:tcPr>
          <w:p>
            <w:pPr>
              <w:pStyle w:val="41"/>
              <w:keepNext w:val="0"/>
              <w:keepLines w:val="0"/>
              <w:pageBreakBefore w:val="0"/>
              <w:kinsoku/>
              <w:wordWrap/>
              <w:bidi w:val="0"/>
              <w:snapToGrid/>
            </w:pPr>
            <w:r>
              <w:t>焦炉逸散烟尘收集处理装置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5395" cy="2035175"/>
                  <wp:effectExtent l="0" t="0" r="8255" b="3175"/>
                  <wp:docPr id="47" name="图片 24" descr="炼铁3#矿槽除尘器"/>
                  <wp:cNvGraphicFramePr/>
                  <a:graphic xmlns:a="http://schemas.openxmlformats.org/drawingml/2006/main">
                    <a:graphicData uri="http://schemas.openxmlformats.org/drawingml/2006/picture">
                      <pic:pic xmlns:pic="http://schemas.openxmlformats.org/drawingml/2006/picture">
                        <pic:nvPicPr>
                          <pic:cNvPr id="47" name="图片 24" descr="炼铁3#矿槽除尘器"/>
                          <pic:cNvPicPr/>
                        </pic:nvPicPr>
                        <pic:blipFill>
                          <a:blip r:embed="rId126"/>
                          <a:stretch>
                            <a:fillRect/>
                          </a:stretch>
                        </pic:blipFill>
                        <pic:spPr>
                          <a:xfrm>
                            <a:off x="0" y="0"/>
                            <a:ext cx="2525395" cy="203517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6030" cy="1988185"/>
                  <wp:effectExtent l="0" t="0" r="7620" b="12065"/>
                  <wp:docPr id="61" name="图片 25" descr="3#高炉出铁场除尘器 "/>
                  <wp:cNvGraphicFramePr/>
                  <a:graphic xmlns:a="http://schemas.openxmlformats.org/drawingml/2006/main">
                    <a:graphicData uri="http://schemas.openxmlformats.org/drawingml/2006/picture">
                      <pic:pic xmlns:pic="http://schemas.openxmlformats.org/drawingml/2006/picture">
                        <pic:nvPicPr>
                          <pic:cNvPr id="61" name="图片 25" descr="3#高炉出铁场除尘器 "/>
                          <pic:cNvPicPr/>
                        </pic:nvPicPr>
                        <pic:blipFill>
                          <a:blip r:embed="rId127"/>
                          <a:stretch>
                            <a:fillRect/>
                          </a:stretch>
                        </pic:blipFill>
                        <pic:spPr>
                          <a:xfrm>
                            <a:off x="0" y="0"/>
                            <a:ext cx="2526030" cy="19881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2#高炉矿槽除尘</w:t>
            </w:r>
          </w:p>
        </w:tc>
        <w:tc>
          <w:tcPr>
            <w:tcW w:w="4512" w:type="dxa"/>
            <w:vAlign w:val="center"/>
          </w:tcPr>
          <w:p>
            <w:pPr>
              <w:pStyle w:val="41"/>
              <w:keepNext w:val="0"/>
              <w:keepLines w:val="0"/>
              <w:pageBreakBefore w:val="0"/>
              <w:kinsoku/>
              <w:wordWrap/>
              <w:bidi w:val="0"/>
              <w:snapToGrid/>
            </w:pPr>
            <w:r>
              <w:t>2#高炉出铁场除尘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8570" cy="1599565"/>
                  <wp:effectExtent l="0" t="0" r="5080" b="635"/>
                  <wp:docPr id="63" name="图片 26" descr="1#高炉出铁场除尘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6" descr="1#高炉出铁场除尘器 "/>
                          <pic:cNvPicPr>
                            <a:picLocks noChangeAspect="1"/>
                          </pic:cNvPicPr>
                        </pic:nvPicPr>
                        <pic:blipFill>
                          <a:blip r:embed="rId128"/>
                          <a:stretch>
                            <a:fillRect/>
                          </a:stretch>
                        </pic:blipFill>
                        <pic:spPr>
                          <a:xfrm>
                            <a:off x="0" y="0"/>
                            <a:ext cx="2528570" cy="159956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8570" cy="1641475"/>
                  <wp:effectExtent l="0" t="0" r="5080" b="15875"/>
                  <wp:docPr id="45" name="图片 27" descr="1#高炉煤气干法除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7" descr="1#高炉煤气干法除尘"/>
                          <pic:cNvPicPr>
                            <a:picLocks noChangeAspect="1"/>
                          </pic:cNvPicPr>
                        </pic:nvPicPr>
                        <pic:blipFill>
                          <a:blip r:embed="rId129"/>
                          <a:stretch>
                            <a:fillRect/>
                          </a:stretch>
                        </pic:blipFill>
                        <pic:spPr>
                          <a:xfrm>
                            <a:off x="0" y="0"/>
                            <a:ext cx="2528570" cy="16414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1#高炉出铁场除尘</w:t>
            </w:r>
          </w:p>
        </w:tc>
        <w:tc>
          <w:tcPr>
            <w:tcW w:w="4512" w:type="dxa"/>
            <w:vAlign w:val="center"/>
          </w:tcPr>
          <w:p>
            <w:pPr>
              <w:pStyle w:val="41"/>
              <w:keepNext w:val="0"/>
              <w:keepLines w:val="0"/>
              <w:pageBreakBefore w:val="0"/>
              <w:kinsoku/>
              <w:wordWrap/>
              <w:bidi w:val="0"/>
              <w:snapToGrid/>
            </w:pPr>
            <w:r>
              <w:t>1#高炉煤气干法除尘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69845" cy="1889760"/>
                  <wp:effectExtent l="0" t="0" r="1905" b="15240"/>
                  <wp:docPr id="49" name="图片 28" descr="炼钢铁水预处理除尘器"/>
                  <wp:cNvGraphicFramePr/>
                  <a:graphic xmlns:a="http://schemas.openxmlformats.org/drawingml/2006/main">
                    <a:graphicData uri="http://schemas.openxmlformats.org/drawingml/2006/picture">
                      <pic:pic xmlns:pic="http://schemas.openxmlformats.org/drawingml/2006/picture">
                        <pic:nvPicPr>
                          <pic:cNvPr id="49" name="图片 28" descr="炼钢铁水预处理除尘器"/>
                          <pic:cNvPicPr/>
                        </pic:nvPicPr>
                        <pic:blipFill>
                          <a:blip r:embed="rId130"/>
                          <a:stretch>
                            <a:fillRect/>
                          </a:stretch>
                        </pic:blipFill>
                        <pic:spPr>
                          <a:xfrm>
                            <a:off x="0" y="0"/>
                            <a:ext cx="2569845" cy="1889760"/>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19045" cy="1888490"/>
                  <wp:effectExtent l="0" t="0" r="14605" b="16510"/>
                  <wp:docPr id="71" name="图片 29" descr="炼钢转炉炼钢烟气净化系统（LT干法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9" descr="炼钢转炉炼钢烟气净化系统（LT干法除尘器）"/>
                          <pic:cNvPicPr>
                            <a:picLocks noChangeAspect="1"/>
                          </pic:cNvPicPr>
                        </pic:nvPicPr>
                        <pic:blipFill>
                          <a:blip r:embed="rId131"/>
                          <a:stretch>
                            <a:fillRect/>
                          </a:stretch>
                        </pic:blipFill>
                        <pic:spPr>
                          <a:xfrm>
                            <a:off x="0" y="0"/>
                            <a:ext cx="2519045" cy="18884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炼钢铁水预处理除尘</w:t>
            </w:r>
          </w:p>
        </w:tc>
        <w:tc>
          <w:tcPr>
            <w:tcW w:w="4512" w:type="dxa"/>
            <w:vAlign w:val="center"/>
          </w:tcPr>
          <w:p>
            <w:pPr>
              <w:pStyle w:val="41"/>
              <w:keepNext w:val="0"/>
              <w:keepLines w:val="0"/>
              <w:pageBreakBefore w:val="0"/>
              <w:kinsoku/>
              <w:wordWrap/>
              <w:bidi w:val="0"/>
              <w:snapToGrid/>
            </w:pPr>
            <w:r>
              <w:t>转炉烟气净化系统(LT干法除尘)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1585" cy="1892300"/>
                  <wp:effectExtent l="0" t="0" r="12065" b="12700"/>
                  <wp:docPr id="48" name="图片 30" descr="炼钢转炉二次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descr="炼钢转炉二次除尘器"/>
                          <pic:cNvPicPr>
                            <a:picLocks noChangeAspect="1"/>
                          </pic:cNvPicPr>
                        </pic:nvPicPr>
                        <pic:blipFill>
                          <a:blip r:embed="rId132"/>
                          <a:stretch>
                            <a:fillRect/>
                          </a:stretch>
                        </pic:blipFill>
                        <pic:spPr>
                          <a:xfrm>
                            <a:off x="0" y="0"/>
                            <a:ext cx="2521585" cy="1892300"/>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4125" cy="1877060"/>
                  <wp:effectExtent l="0" t="0" r="9525" b="8890"/>
                  <wp:docPr id="64" name="图片 31" descr="铸管混铁炉、电炉除尘器"/>
                  <wp:cNvGraphicFramePr/>
                  <a:graphic xmlns:a="http://schemas.openxmlformats.org/drawingml/2006/main">
                    <a:graphicData uri="http://schemas.openxmlformats.org/drawingml/2006/picture">
                      <pic:pic xmlns:pic="http://schemas.openxmlformats.org/drawingml/2006/picture">
                        <pic:nvPicPr>
                          <pic:cNvPr id="64" name="图片 31" descr="铸管混铁炉、电炉除尘器"/>
                          <pic:cNvPicPr/>
                        </pic:nvPicPr>
                        <pic:blipFill>
                          <a:blip r:embed="rId133"/>
                          <a:srcRect b="15253"/>
                          <a:stretch>
                            <a:fillRect/>
                          </a:stretch>
                        </pic:blipFill>
                        <pic:spPr>
                          <a:xfrm>
                            <a:off x="0" y="0"/>
                            <a:ext cx="2524125" cy="1877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转炉二次除尘</w:t>
            </w:r>
          </w:p>
        </w:tc>
        <w:tc>
          <w:tcPr>
            <w:tcW w:w="4512" w:type="dxa"/>
            <w:vAlign w:val="center"/>
          </w:tcPr>
          <w:p>
            <w:pPr>
              <w:pStyle w:val="41"/>
              <w:keepNext w:val="0"/>
              <w:keepLines w:val="0"/>
              <w:pageBreakBefore w:val="0"/>
              <w:kinsoku/>
              <w:wordWrap/>
              <w:bidi w:val="0"/>
              <w:snapToGrid/>
            </w:pPr>
            <w:r>
              <w:t>铸管混铁炉、工频炉除尘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4125" cy="2268220"/>
                  <wp:effectExtent l="0" t="0" r="9525" b="17780"/>
                  <wp:docPr id="69" name="图片 32" descr="铸管热膜三磨除尘器"/>
                  <wp:cNvGraphicFramePr/>
                  <a:graphic xmlns:a="http://schemas.openxmlformats.org/drawingml/2006/main">
                    <a:graphicData uri="http://schemas.openxmlformats.org/drawingml/2006/picture">
                      <pic:pic xmlns:pic="http://schemas.openxmlformats.org/drawingml/2006/picture">
                        <pic:nvPicPr>
                          <pic:cNvPr id="69" name="图片 32" descr="铸管热膜三磨除尘器"/>
                          <pic:cNvPicPr/>
                        </pic:nvPicPr>
                        <pic:blipFill>
                          <a:blip r:embed="rId134"/>
                          <a:srcRect t="4601" r="15170" b="4195"/>
                          <a:stretch>
                            <a:fillRect/>
                          </a:stretch>
                        </pic:blipFill>
                        <pic:spPr>
                          <a:xfrm>
                            <a:off x="0" y="0"/>
                            <a:ext cx="2524125" cy="2268220"/>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5395" cy="2299335"/>
                  <wp:effectExtent l="0" t="0" r="8255" b="5715"/>
                  <wp:docPr id="73" name="图片 33" descr="铸管喷镁除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3" descr="铸管喷镁除尘"/>
                          <pic:cNvPicPr>
                            <a:picLocks noChangeAspect="1"/>
                          </pic:cNvPicPr>
                        </pic:nvPicPr>
                        <pic:blipFill>
                          <a:blip r:embed="rId135"/>
                          <a:srcRect t="2826" b="4193"/>
                          <a:stretch>
                            <a:fillRect/>
                          </a:stretch>
                        </pic:blipFill>
                        <pic:spPr>
                          <a:xfrm>
                            <a:off x="0" y="0"/>
                            <a:ext cx="2525395" cy="22993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铸管热膜三磨除尘</w:t>
            </w:r>
          </w:p>
        </w:tc>
        <w:tc>
          <w:tcPr>
            <w:tcW w:w="4512" w:type="dxa"/>
            <w:vAlign w:val="center"/>
          </w:tcPr>
          <w:p>
            <w:pPr>
              <w:pStyle w:val="41"/>
              <w:keepNext w:val="0"/>
              <w:keepLines w:val="0"/>
              <w:pageBreakBefore w:val="0"/>
              <w:kinsoku/>
              <w:wordWrap/>
              <w:bidi w:val="0"/>
              <w:snapToGrid/>
            </w:pPr>
            <w:r>
              <w:t>铸管喷镁除尘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60"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19680" cy="1889760"/>
                  <wp:effectExtent l="0" t="0" r="13970" b="15240"/>
                  <wp:docPr id="70" name="图片 34" descr="铸管离心机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4" descr="铸管离心机除尘器"/>
                          <pic:cNvPicPr>
                            <a:picLocks noChangeAspect="1"/>
                          </pic:cNvPicPr>
                        </pic:nvPicPr>
                        <pic:blipFill>
                          <a:blip r:embed="rId136"/>
                          <a:stretch>
                            <a:fillRect/>
                          </a:stretch>
                        </pic:blipFill>
                        <pic:spPr>
                          <a:xfrm>
                            <a:off x="0" y="0"/>
                            <a:ext cx="2519680" cy="1889760"/>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81910" cy="1799590"/>
                  <wp:effectExtent l="0" t="0" r="8890" b="10160"/>
                  <wp:docPr id="65" name="图片 35" descr="铸管热膜喷锌除尘器"/>
                  <wp:cNvGraphicFramePr/>
                  <a:graphic xmlns:a="http://schemas.openxmlformats.org/drawingml/2006/main">
                    <a:graphicData uri="http://schemas.openxmlformats.org/drawingml/2006/picture">
                      <pic:pic xmlns:pic="http://schemas.openxmlformats.org/drawingml/2006/picture">
                        <pic:nvPicPr>
                          <pic:cNvPr id="65" name="图片 35" descr="铸管热膜喷锌除尘器"/>
                          <pic:cNvPicPr/>
                        </pic:nvPicPr>
                        <pic:blipFill>
                          <a:blip r:embed="rId137"/>
                          <a:srcRect b="14992"/>
                          <a:stretch>
                            <a:fillRect/>
                          </a:stretch>
                        </pic:blipFill>
                        <pic:spPr>
                          <a:xfrm>
                            <a:off x="0" y="0"/>
                            <a:ext cx="2581910" cy="17995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铸管离心机除尘</w:t>
            </w:r>
          </w:p>
        </w:tc>
        <w:tc>
          <w:tcPr>
            <w:tcW w:w="4512" w:type="dxa"/>
            <w:vAlign w:val="center"/>
          </w:tcPr>
          <w:p>
            <w:pPr>
              <w:pStyle w:val="41"/>
              <w:keepNext w:val="0"/>
              <w:keepLines w:val="0"/>
              <w:pageBreakBefore w:val="0"/>
              <w:kinsoku/>
              <w:wordWrap/>
              <w:bidi w:val="0"/>
              <w:snapToGrid/>
            </w:pPr>
            <w:r>
              <w:t>铸管热膜喷锌除尘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19680" cy="2286000"/>
                  <wp:effectExtent l="0" t="0" r="13970" b="0"/>
                  <wp:docPr id="68" name="图片 36" descr="石灰窑上料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6" descr="石灰窑上料除尘器"/>
                          <pic:cNvPicPr>
                            <a:picLocks noChangeAspect="1"/>
                          </pic:cNvPicPr>
                        </pic:nvPicPr>
                        <pic:blipFill>
                          <a:blip r:embed="rId138"/>
                          <a:srcRect t="18896" r="14340"/>
                          <a:stretch>
                            <a:fillRect/>
                          </a:stretch>
                        </pic:blipFill>
                        <pic:spPr>
                          <a:xfrm>
                            <a:off x="0" y="0"/>
                            <a:ext cx="2519680" cy="2286000"/>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4760" cy="2238375"/>
                  <wp:effectExtent l="0" t="0" r="8890" b="9525"/>
                  <wp:docPr id="74" name="图片 37" descr="1#、2#回转窑窑尾除尘系统"/>
                  <wp:cNvGraphicFramePr/>
                  <a:graphic xmlns:a="http://schemas.openxmlformats.org/drawingml/2006/main">
                    <a:graphicData uri="http://schemas.openxmlformats.org/drawingml/2006/picture">
                      <pic:pic xmlns:pic="http://schemas.openxmlformats.org/drawingml/2006/picture">
                        <pic:nvPicPr>
                          <pic:cNvPr id="74" name="图片 37" descr="1#、2#回转窑窑尾除尘系统"/>
                          <pic:cNvPicPr/>
                        </pic:nvPicPr>
                        <pic:blipFill>
                          <a:blip r:embed="rId139"/>
                          <a:stretch>
                            <a:fillRect/>
                          </a:stretch>
                        </pic:blipFill>
                        <pic:spPr>
                          <a:xfrm>
                            <a:off x="0" y="0"/>
                            <a:ext cx="2524760" cy="22383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石灰窑上料除尘</w:t>
            </w:r>
          </w:p>
        </w:tc>
        <w:tc>
          <w:tcPr>
            <w:tcW w:w="4512" w:type="dxa"/>
            <w:vAlign w:val="center"/>
          </w:tcPr>
          <w:p>
            <w:pPr>
              <w:pStyle w:val="41"/>
              <w:keepNext w:val="0"/>
              <w:keepLines w:val="0"/>
              <w:pageBreakBefore w:val="0"/>
              <w:kinsoku/>
              <w:wordWrap/>
              <w:bidi w:val="0"/>
              <w:snapToGrid/>
            </w:pPr>
            <w:r>
              <w:t>1#、2#回转窑窑尾除尘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9071" w:type="dxa"/>
            <w:gridSpan w:val="2"/>
            <w:vAlign w:val="center"/>
          </w:tcPr>
          <w:p>
            <w:pPr>
              <w:pStyle w:val="41"/>
              <w:keepNext w:val="0"/>
              <w:keepLines w:val="0"/>
              <w:pageBreakBefore w:val="0"/>
              <w:kinsoku/>
              <w:wordWrap/>
              <w:bidi w:val="0"/>
              <w:snapToGrid/>
            </w:pPr>
            <w:r>
              <w:t>厂区各生产工序主要废气污染治理措施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2220" cy="1891665"/>
                  <wp:effectExtent l="0" t="0" r="11430" b="13335"/>
                  <wp:docPr id="72" name="图片 38" descr="污水处理站超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8" descr="污水处理站超滤"/>
                          <pic:cNvPicPr>
                            <a:picLocks noChangeAspect="1"/>
                          </pic:cNvPicPr>
                        </pic:nvPicPr>
                        <pic:blipFill>
                          <a:blip r:embed="rId140"/>
                          <a:stretch>
                            <a:fillRect/>
                          </a:stretch>
                        </pic:blipFill>
                        <pic:spPr>
                          <a:xfrm>
                            <a:off x="0" y="0"/>
                            <a:ext cx="2522220" cy="189166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2220" cy="1891665"/>
                  <wp:effectExtent l="0" t="0" r="11430" b="13335"/>
                  <wp:docPr id="37" name="图片 39" descr="污水处理站反渗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9" descr="污水处理站反渗透"/>
                          <pic:cNvPicPr>
                            <a:picLocks noChangeAspect="1"/>
                          </pic:cNvPicPr>
                        </pic:nvPicPr>
                        <pic:blipFill>
                          <a:blip r:embed="rId141"/>
                          <a:stretch>
                            <a:fillRect/>
                          </a:stretch>
                        </pic:blipFill>
                        <pic:spPr>
                          <a:xfrm>
                            <a:off x="0" y="0"/>
                            <a:ext cx="2522220" cy="18916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全厂综合污水处理站超滤装置</w:t>
            </w:r>
          </w:p>
        </w:tc>
        <w:tc>
          <w:tcPr>
            <w:tcW w:w="4512" w:type="dxa"/>
            <w:vAlign w:val="center"/>
          </w:tcPr>
          <w:p>
            <w:pPr>
              <w:pStyle w:val="41"/>
              <w:keepNext w:val="0"/>
              <w:keepLines w:val="0"/>
              <w:pageBreakBefore w:val="0"/>
              <w:kinsoku/>
              <w:wordWrap/>
              <w:bidi w:val="0"/>
              <w:snapToGrid/>
            </w:pPr>
            <w:r>
              <w:t>全厂综合污水处理站反渗透装置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14600" cy="2482215"/>
                  <wp:effectExtent l="0" t="0" r="0" b="13335"/>
                  <wp:docPr id="67" name="图片 40" descr="酚氰废水处理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0" descr="酚氰废水处理站"/>
                          <pic:cNvPicPr>
                            <a:picLocks noChangeAspect="1"/>
                          </pic:cNvPicPr>
                        </pic:nvPicPr>
                        <pic:blipFill>
                          <a:blip r:embed="rId142"/>
                          <a:srcRect t="16385"/>
                          <a:stretch>
                            <a:fillRect/>
                          </a:stretch>
                        </pic:blipFill>
                        <pic:spPr>
                          <a:xfrm>
                            <a:off x="0" y="0"/>
                            <a:ext cx="2514600" cy="248221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710180" cy="2509520"/>
                  <wp:effectExtent l="0" t="0" r="13970" b="5080"/>
                  <wp:docPr id="82" name="图片 82" descr="IMG_20190314_1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0190314_141832"/>
                          <pic:cNvPicPr>
                            <a:picLocks noChangeAspect="1"/>
                          </pic:cNvPicPr>
                        </pic:nvPicPr>
                        <pic:blipFill>
                          <a:blip r:embed="rId143"/>
                          <a:stretch>
                            <a:fillRect/>
                          </a:stretch>
                        </pic:blipFill>
                        <pic:spPr>
                          <a:xfrm>
                            <a:off x="0" y="0"/>
                            <a:ext cx="2710180" cy="25095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焦化酚氰废水处理站</w:t>
            </w:r>
          </w:p>
        </w:tc>
        <w:tc>
          <w:tcPr>
            <w:tcW w:w="4512" w:type="dxa"/>
            <w:vAlign w:val="center"/>
          </w:tcPr>
          <w:p>
            <w:pPr>
              <w:pStyle w:val="41"/>
              <w:keepNext w:val="0"/>
              <w:keepLines w:val="0"/>
              <w:pageBreakBefore w:val="0"/>
              <w:kinsoku/>
              <w:wordWrap/>
              <w:bidi w:val="0"/>
              <w:snapToGrid/>
            </w:pPr>
            <w:r>
              <w:t>厂区地下水监测井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9071" w:type="dxa"/>
            <w:gridSpan w:val="2"/>
            <w:vAlign w:val="center"/>
          </w:tcPr>
          <w:p>
            <w:pPr>
              <w:pStyle w:val="41"/>
              <w:keepNext w:val="0"/>
              <w:keepLines w:val="0"/>
              <w:pageBreakBefore w:val="0"/>
              <w:kinsoku/>
              <w:wordWrap/>
              <w:bidi w:val="0"/>
              <w:snapToGrid/>
            </w:pPr>
            <w:r>
              <w:t>厂区主要废水污染治理措施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drawing>
                <wp:inline distT="0" distB="0" distL="114300" distR="114300">
                  <wp:extent cx="2522220" cy="1891665"/>
                  <wp:effectExtent l="0" t="0" r="11430" b="13335"/>
                  <wp:docPr id="62" name="图片 41" descr="综合危废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1" descr="综合危废库2"/>
                          <pic:cNvPicPr>
                            <a:picLocks noChangeAspect="1"/>
                          </pic:cNvPicPr>
                        </pic:nvPicPr>
                        <pic:blipFill>
                          <a:blip r:embed="rId144"/>
                          <a:stretch>
                            <a:fillRect/>
                          </a:stretch>
                        </pic:blipFill>
                        <pic:spPr>
                          <a:xfrm>
                            <a:off x="0" y="0"/>
                            <a:ext cx="2522220" cy="1891665"/>
                          </a:xfrm>
                          <a:prstGeom prst="rect">
                            <a:avLst/>
                          </a:prstGeom>
                          <a:noFill/>
                          <a:ln>
                            <a:noFill/>
                          </a:ln>
                        </pic:spPr>
                      </pic:pic>
                    </a:graphicData>
                  </a:graphic>
                </wp:inline>
              </w:drawing>
            </w:r>
          </w:p>
        </w:tc>
        <w:tc>
          <w:tcPr>
            <w:tcW w:w="4512" w:type="dxa"/>
            <w:vAlign w:val="center"/>
          </w:tcPr>
          <w:p>
            <w:pPr>
              <w:pStyle w:val="41"/>
              <w:keepNext w:val="0"/>
              <w:keepLines w:val="0"/>
              <w:pageBreakBefore w:val="0"/>
              <w:kinsoku/>
              <w:wordWrap/>
              <w:bidi w:val="0"/>
              <w:snapToGrid/>
            </w:pPr>
            <w:r>
              <w:drawing>
                <wp:inline distT="0" distB="0" distL="114300" distR="114300">
                  <wp:extent cx="2522220" cy="1891665"/>
                  <wp:effectExtent l="0" t="0" r="11430" b="13335"/>
                  <wp:docPr id="66" name="图片 42" descr="综合危废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2" descr="综合危废库3"/>
                          <pic:cNvPicPr>
                            <a:picLocks noChangeAspect="1"/>
                          </pic:cNvPicPr>
                        </pic:nvPicPr>
                        <pic:blipFill>
                          <a:blip r:embed="rId100"/>
                          <a:stretch>
                            <a:fillRect/>
                          </a:stretch>
                        </pic:blipFill>
                        <pic:spPr>
                          <a:xfrm>
                            <a:off x="0" y="0"/>
                            <a:ext cx="2522220" cy="18916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4559" w:type="dxa"/>
            <w:vAlign w:val="center"/>
          </w:tcPr>
          <w:p>
            <w:pPr>
              <w:pStyle w:val="41"/>
              <w:keepNext w:val="0"/>
              <w:keepLines w:val="0"/>
              <w:pageBreakBefore w:val="0"/>
              <w:kinsoku/>
              <w:wordWrap/>
              <w:bidi w:val="0"/>
              <w:snapToGrid/>
            </w:pPr>
            <w:r>
              <w:t>综合危废库</w:t>
            </w:r>
          </w:p>
        </w:tc>
        <w:tc>
          <w:tcPr>
            <w:tcW w:w="4512" w:type="dxa"/>
            <w:vAlign w:val="center"/>
          </w:tcPr>
          <w:p>
            <w:pPr>
              <w:pStyle w:val="41"/>
              <w:keepNext w:val="0"/>
              <w:keepLines w:val="0"/>
              <w:pageBreakBefore w:val="0"/>
              <w:kinsoku/>
              <w:wordWrap/>
              <w:bidi w:val="0"/>
              <w:snapToGrid/>
            </w:pPr>
            <w:r>
              <w:t>综合危废库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9071" w:type="dxa"/>
            <w:gridSpan w:val="2"/>
            <w:vAlign w:val="center"/>
          </w:tcPr>
          <w:p>
            <w:pPr>
              <w:pStyle w:val="41"/>
              <w:keepNext w:val="0"/>
              <w:keepLines w:val="0"/>
              <w:pageBreakBefore w:val="0"/>
              <w:kinsoku/>
              <w:wordWrap/>
              <w:bidi w:val="0"/>
              <w:snapToGrid/>
            </w:pPr>
            <w:r>
              <w:t>厂区危险废物治理措施</w:t>
            </w:r>
          </w:p>
        </w:tc>
      </w:tr>
    </w:tbl>
    <w:p>
      <w:pPr>
        <w:pStyle w:val="31"/>
        <w:keepNext w:val="0"/>
        <w:keepLines w:val="0"/>
        <w:pageBreakBefore w:val="0"/>
        <w:kinsoku/>
        <w:wordWrap/>
        <w:bidi w:val="0"/>
        <w:snapToGrid/>
        <w:spacing w:line="360" w:lineRule="auto"/>
        <w:rPr>
          <w:rFonts w:cs="Times New Roman"/>
        </w:rPr>
      </w:pPr>
      <w:r>
        <w:rPr>
          <w:rFonts w:cs="Times New Roman"/>
        </w:rPr>
        <w:t>图</w:t>
      </w:r>
      <w:r>
        <w:rPr>
          <w:rFonts w:hint="eastAsia" w:cs="Times New Roman"/>
          <w:lang w:val="en-US" w:eastAsia="zh-CN"/>
        </w:rPr>
        <w:t>7</w:t>
      </w:r>
      <w:r>
        <w:rPr>
          <w:rFonts w:cs="Times New Roman"/>
        </w:rPr>
        <w:t>.1-1  厂区主要环保设施照片</w:t>
      </w:r>
    </w:p>
    <w:p>
      <w:pPr>
        <w:pStyle w:val="27"/>
        <w:keepNext w:val="0"/>
        <w:keepLines w:val="0"/>
        <w:pageBreakBefore w:val="0"/>
        <w:kinsoku/>
        <w:wordWrap/>
        <w:bidi w:val="0"/>
        <w:snapToGrid/>
        <w:spacing w:before="156" w:after="156" w:line="360" w:lineRule="auto"/>
        <w:rPr>
          <w:rFonts w:ascii="Times New Roman"/>
          <w:b w:val="0"/>
        </w:rPr>
      </w:pPr>
      <w:r>
        <w:rPr>
          <w:rFonts w:hint="eastAsia" w:ascii="Times New Roman"/>
          <w:b w:val="0"/>
          <w:lang w:val="en-US" w:eastAsia="zh-CN"/>
        </w:rPr>
        <w:t>7</w:t>
      </w:r>
      <w:r>
        <w:rPr>
          <w:rFonts w:ascii="Times New Roman"/>
          <w:b w:val="0"/>
        </w:rPr>
        <w:t>.2废气污染防治措施后评价</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.2.1烧结工艺废气污染控制措施</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.2.1.1烧结机机头烟气除尘</w:t>
      </w:r>
    </w:p>
    <w:p>
      <w:pPr>
        <w:keepNext w:val="0"/>
        <w:keepLines w:val="0"/>
        <w:pageBreakBefore w:val="0"/>
        <w:kinsoku/>
        <w:wordWrap/>
        <w:bidi w:val="0"/>
        <w:snapToGrid/>
        <w:spacing w:line="360" w:lineRule="auto"/>
        <w:ind w:firstLine="480" w:firstLineChars="200"/>
        <w:jc w:val="left"/>
        <w:textAlignment w:val="baseline"/>
        <w:rPr>
          <w:rFonts w:ascii="Times New Roman" w:hAnsi="Times New Roman" w:eastAsia="宋体" w:cs="Times New Roman"/>
          <w:kern w:val="0"/>
          <w:sz w:val="24"/>
          <w:szCs w:val="24"/>
        </w:rPr>
      </w:pPr>
      <w:r>
        <w:rPr>
          <w:rFonts w:ascii="Times New Roman" w:hAnsi="Times New Roman" w:eastAsia="宋体" w:cs="Times New Roman"/>
          <w:sz w:val="24"/>
          <w:szCs w:val="24"/>
        </w:rPr>
        <w:t>烧结机机头</w:t>
      </w:r>
      <w:r>
        <w:rPr>
          <w:rFonts w:ascii="Times New Roman" w:hAnsi="Times New Roman" w:eastAsia="宋体" w:cs="Times New Roman"/>
          <w:kern w:val="0"/>
          <w:sz w:val="24"/>
          <w:szCs w:val="24"/>
        </w:rPr>
        <w:t>是钢铁联合企业的主要尘源之一，是钢铁行业大气污染治理重点工序。烧结含尘废气的净化设备经过了一系列的发展过程，从小型分散的旋风除尘器到湿式除尘器再发展到袋式除尘器和电除尘器。</w:t>
      </w:r>
    </w:p>
    <w:p>
      <w:pPr>
        <w:keepNext w:val="0"/>
        <w:keepLines w:val="0"/>
        <w:pageBreakBefore w:val="0"/>
        <w:kinsoku/>
        <w:wordWrap/>
        <w:bidi w:val="0"/>
        <w:snapToGrid/>
        <w:spacing w:line="360" w:lineRule="auto"/>
        <w:ind w:firstLine="480" w:firstLineChars="200"/>
        <w:jc w:val="left"/>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电除尘器与袋式除尘器均具有除尘效率高的特点，且电除尘器还具有设备运行阻力小、能处理高温废气、设备检修维护的工作环境较袋式除尘器好等优点。从设备运行维护费用和设备总投资等方面看，在排放浓度不变的情况下，电除尘器在设备初投资方面略高于袋式除尘器，从动力消耗和维护费用方面看，电除尘器则优于袋式除尘器。</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根据《钢铁行业污染防治最佳可行技术导则—烧结及球团工艺》（征求意见稿），烧结机机头除尘宜选用电除尘器，电除尘器运行时电场数不少于三个，排放废气的粉尘浓度可控制在</w:t>
      </w:r>
      <w:r>
        <w:rPr>
          <w:rFonts w:ascii="Times New Roman" w:hAnsi="Times New Roman" w:eastAsia="宋体" w:cs="Times New Roman"/>
          <w:kern w:val="0"/>
          <w:sz w:val="24"/>
          <w:szCs w:val="24"/>
        </w:rPr>
        <w:t>50mg/</w:t>
      </w:r>
      <w:r>
        <w:rPr>
          <w:rFonts w:ascii="Times New Roman" w:hAnsi="Times New Roman" w:eastAsia="宋体" w:cs="Times New Roman"/>
          <w:iCs/>
          <w:kern w:val="0"/>
          <w:sz w:val="24"/>
          <w:szCs w:val="24"/>
        </w:rPr>
        <w:t>N</w:t>
      </w:r>
      <w:r>
        <w:rPr>
          <w:rFonts w:ascii="Times New Roman" w:hAnsi="Times New Roman" w:eastAsia="宋体" w:cs="Times New Roman"/>
          <w:kern w:val="0"/>
          <w:sz w:val="24"/>
          <w:szCs w:val="24"/>
        </w:rPr>
        <w:t>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以下。</w:t>
      </w:r>
      <w:r>
        <w:rPr>
          <w:rFonts w:ascii="Times New Roman" w:hAnsi="Times New Roman" w:eastAsia="宋体" w:cs="Times New Roman"/>
          <w:sz w:val="24"/>
          <w:szCs w:val="24"/>
        </w:rPr>
        <w:t>目前我国钢铁联合企业的烧结机机头除尘也普遍采用电除尘器。例如宝钢一期~三期工程1#～3#烧结机机头烟气均采用电除尘器净化，</w:t>
      </w:r>
      <w:r>
        <w:rPr>
          <w:rFonts w:ascii="Times New Roman" w:hAnsi="Times New Roman" w:eastAsia="宋体" w:cs="Times New Roman"/>
          <w:kern w:val="0"/>
          <w:sz w:val="24"/>
          <w:szCs w:val="24"/>
        </w:rPr>
        <w:t>其中经过电除尘+湿法脱硫后烟尘排放浓度达到40mg/</w:t>
      </w:r>
      <w:r>
        <w:rPr>
          <w:rFonts w:ascii="Times New Roman" w:hAnsi="Times New Roman" w:eastAsia="宋体" w:cs="Times New Roman"/>
          <w:iCs/>
          <w:kern w:val="0"/>
          <w:sz w:val="24"/>
          <w:szCs w:val="24"/>
        </w:rPr>
        <w:t>N</w:t>
      </w:r>
      <w:r>
        <w:rPr>
          <w:rFonts w:ascii="Times New Roman" w:hAnsi="Times New Roman" w:eastAsia="宋体" w:cs="Times New Roman"/>
          <w:kern w:val="0"/>
          <w:sz w:val="24"/>
          <w:szCs w:val="24"/>
        </w:rPr>
        <w:t>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以下，经过电除尘+干法脱硫后烟尘排放浓度达到20mg/</w:t>
      </w:r>
      <w:r>
        <w:rPr>
          <w:rFonts w:ascii="Times New Roman" w:hAnsi="Times New Roman" w:eastAsia="宋体" w:cs="Times New Roman"/>
          <w:iCs/>
          <w:kern w:val="0"/>
          <w:sz w:val="24"/>
          <w:szCs w:val="24"/>
        </w:rPr>
        <w:t>N</w:t>
      </w:r>
      <w:r>
        <w:rPr>
          <w:rFonts w:ascii="Times New Roman" w:hAnsi="Times New Roman" w:eastAsia="宋体" w:cs="Times New Roman"/>
          <w:kern w:val="0"/>
          <w:sz w:val="24"/>
          <w:szCs w:val="24"/>
        </w:rPr>
        <w:t>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以下</w:t>
      </w:r>
      <w:r>
        <w:rPr>
          <w:rFonts w:ascii="Times New Roman" w:hAnsi="Times New Roman" w:eastAsia="宋体" w:cs="Times New Roman"/>
          <w:sz w:val="24"/>
          <w:szCs w:val="24"/>
        </w:rPr>
        <w:t>。江苏淮钢144m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和180m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烧结机机头烟气采用的电除尘器净化，烟尘排放浓度约35mg/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；邯钢东区435m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烧结机机头主电除尘系统采用2台390m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四电场电除尘器，烟尘排放浓度约49mg/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。由此可见，烧结机机头采用电除尘器净化，其外排烟气含尘浓度可达到《钢铁烧结、球团工业大气污染物排放标准》（GB28662-2012）的排放限值要求（50mg/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），但均不能满足</w:t>
      </w:r>
      <w:r>
        <w:rPr>
          <w:rFonts w:ascii="Times New Roman" w:hAnsi="Times New Roman" w:eastAsia="宋体" w:cs="Times New Roman"/>
          <w:sz w:val="24"/>
        </w:rPr>
        <w:t>《关于推进实施钢铁行业超低排放的意见》中超低排放限值要求（</w:t>
      </w:r>
      <w:r>
        <w:rPr>
          <w:rFonts w:ascii="Times New Roman" w:hAnsi="Times New Roman" w:eastAsia="宋体" w:cs="Times New Roman"/>
          <w:sz w:val="24"/>
          <w:szCs w:val="24"/>
        </w:rPr>
        <w:t>10mg/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rPr>
        <w:t>）</w:t>
      </w:r>
      <w:r>
        <w:rPr>
          <w:rFonts w:ascii="Times New Roman" w:hAnsi="Times New Roman" w:eastAsia="宋体" w:cs="Times New Roman"/>
          <w:sz w:val="24"/>
          <w:szCs w:val="24"/>
        </w:rPr>
        <w:t>。</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厂区现有2×265m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烧结机机头烟气采用1套双室四电场静电除尘器净化，再经石灰石-石膏湿法脱硫后由高70m烟囱排放。根据安徽基越环境监测公司2018年12月12日~12月14日及安徽世标检测技术有限公司2019年4月9日对2×265m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烧结机机头废气排放口、烧结机机尾废气排放口、烧结破碎除尘器出口、烧结配料除尘器出口的监测，外排废气含尘浓度≤20mg/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，满足</w:t>
      </w:r>
      <w:r>
        <w:fldChar w:fldCharType="begin"/>
      </w:r>
      <w:r>
        <w:instrText xml:space="preserve"> HYPERLINK "http://kjs.mep.gov.cn/hjbhbz/bzwb/dqhjbh/dqgdwrywrwpfbz/201207/t20120731_234140.htm" </w:instrText>
      </w:r>
      <w:r>
        <w:fldChar w:fldCharType="separate"/>
      </w:r>
      <w:r>
        <w:rPr>
          <w:rFonts w:ascii="Times New Roman" w:hAnsi="Times New Roman" w:eastAsia="宋体" w:cs="Times New Roman"/>
          <w:sz w:val="24"/>
          <w:szCs w:val="24"/>
        </w:rPr>
        <w:t>《钢铁烧结、球团工业大气污染物排放标准》（GB28662-2012）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表2的50mg/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排放限值要求。其中仅烧结机机尾废气排放口外排废气含尘浓度≤10mg/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，满足</w:t>
      </w:r>
      <w:r>
        <w:fldChar w:fldCharType="begin"/>
      </w:r>
      <w:r>
        <w:instrText xml:space="preserve"> HYPERLINK "http://kjs.mep.gov.cn/hjbhbz/bzwb/dqhjbh/dqgdwrywrwpfbz/201207/t20120731_234140.htm" </w:instrText>
      </w:r>
      <w:r>
        <w:fldChar w:fldCharType="separate"/>
      </w:r>
      <w:r>
        <w:rPr>
          <w:rFonts w:ascii="Times New Roman" w:hAnsi="Times New Roman" w:eastAsia="宋体" w:cs="Times New Roman"/>
          <w:sz w:val="24"/>
          <w:szCs w:val="24"/>
        </w:rPr>
        <w:t>《</w:t>
      </w:r>
      <w:r>
        <w:rPr>
          <w:rFonts w:ascii="Times New Roman" w:hAnsi="Times New Roman" w:eastAsia="宋体" w:cs="Times New Roman"/>
          <w:sz w:val="24"/>
        </w:rPr>
        <w:t>关于推进实施钢铁行业超低排放的意见</w:t>
      </w:r>
      <w:r>
        <w:rPr>
          <w:rFonts w:ascii="Times New Roman" w:hAnsi="Times New Roman" w:eastAsia="宋体" w:cs="Times New Roman"/>
          <w:sz w:val="24"/>
          <w:szCs w:val="24"/>
        </w:rPr>
        <w:t>》</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表1的10mg/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超低排放限值要求。</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.2.1.2烧结机头烟气脱硫</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目前脱硫工艺分为湿法、半干法和干法。根据《钢铁行业污染防治最佳可行技术导则—烧结及球团工艺》（征求意见稿），烧结机机头脱硫最佳可行技术推荐湿法工艺为石灰石-石膏法、氨-硫铵法及镁法，干（半干）法推荐活性炭吸附法脱硫工艺、旋转喷雾干燥（SDA）脱硫工艺、密相干塔脱硫工艺、MEROS脱硫工艺、循环流化床脱硫工艺、NID脱硫工艺等</w:t>
      </w:r>
      <w:r>
        <w:rPr>
          <w:rFonts w:ascii="Times New Roman" w:hAnsi="Times New Roman" w:eastAsia="宋体" w:cs="Times New Roman"/>
          <w:kern w:val="0"/>
          <w:sz w:val="24"/>
          <w:szCs w:val="24"/>
        </w:rPr>
        <w:t>。另外，</w:t>
      </w:r>
      <w:r>
        <w:rPr>
          <w:rFonts w:ascii="Times New Roman" w:hAnsi="Times New Roman" w:eastAsia="宋体" w:cs="Times New Roman"/>
          <w:sz w:val="24"/>
          <w:szCs w:val="24"/>
        </w:rPr>
        <w:t>根据中国钢铁工业协会烧结机脱硫统计，目前国内已配备脱硫系统的烧结机采用湿法工艺最多。其中，石灰石-石膏法约占湿法工艺的60~70%，其余为双碱法、氨法、氧化镁法、钢渣法、有机胺-离子液法等。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在湿法工艺中，石灰石-石膏法脱硫工艺技术成熟，应用最为广泛，脱硫效率高，一般可达97%以上，附带脱硝效率在20%-30%左右；对烟气适用范围宽，可处理高、低温度和含高、中、低浓度SO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、HCl的烟气；副产物为脱硫石膏，成分相对稳定，多由水泥厂收购，二次污染小。Ca/S=1.03-1.06，远低于半干法，有利于节约资源、降低运行费用和脱硫渣的利用。</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邯钢西区2台360m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烧结机、湘钢360m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烧结机等均采用石灰石-石膏法脱硫工艺。根据湖南省环境监测中心站2011年6月3日对湘钢360m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烧结机烟气脱硫系统的监测报告可知，脱硫系统SO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、烟尘、氟化物、氯化物的处理效率分别为96.9%、97.4%、98.7%、98.4%。</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sz w:val="24"/>
          <w:szCs w:val="24"/>
        </w:rPr>
        <w:t>2×265m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烧结机机头烟气</w:t>
      </w:r>
      <w:r>
        <w:rPr>
          <w:rFonts w:ascii="Times New Roman" w:hAnsi="Times New Roman" w:eastAsia="宋体" w:cs="Times New Roman"/>
          <w:kern w:val="0"/>
          <w:sz w:val="24"/>
          <w:szCs w:val="24"/>
        </w:rPr>
        <w:t>脱硫工艺采用石灰石-石膏法，入口SO</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浓度约500~800mg/m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，出口浓度≤120mg/m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，设计脱硫效率在85%~95%之间。</w:t>
      </w:r>
      <w:r>
        <w:rPr>
          <w:rFonts w:ascii="Times New Roman" w:hAnsi="Times New Roman" w:eastAsia="宋体" w:cs="Times New Roman"/>
          <w:sz w:val="24"/>
          <w:szCs w:val="24"/>
        </w:rPr>
        <w:t>根据安徽基越环境监测公司2018年12月12日~12月14日对2×265m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烧结机机头废气排放口的监测，外排废气</w:t>
      </w:r>
      <w:r>
        <w:rPr>
          <w:rFonts w:ascii="Times New Roman" w:hAnsi="Times New Roman" w:eastAsia="宋体" w:cs="Times New Roman"/>
          <w:kern w:val="0"/>
          <w:sz w:val="24"/>
          <w:szCs w:val="24"/>
        </w:rPr>
        <w:t>SO</w:t>
      </w:r>
      <w:r>
        <w:rPr>
          <w:rFonts w:ascii="Times New Roman" w:hAnsi="Times New Roman" w:eastAsia="宋体" w:cs="Times New Roman"/>
          <w:kern w:val="0"/>
          <w:sz w:val="24"/>
          <w:szCs w:val="24"/>
          <w:vertAlign w:val="subscript"/>
        </w:rPr>
        <w:t>2</w:t>
      </w:r>
      <w:r>
        <w:rPr>
          <w:rFonts w:ascii="Times New Roman" w:hAnsi="Times New Roman" w:eastAsia="宋体" w:cs="Times New Roman"/>
          <w:sz w:val="24"/>
          <w:szCs w:val="24"/>
        </w:rPr>
        <w:t>浓度≤37mg/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ascii="Times New Roman" w:hAnsi="Times New Roman" w:eastAsia="宋体" w:cs="Times New Roman"/>
          <w:kern w:val="0"/>
          <w:sz w:val="24"/>
          <w:szCs w:val="24"/>
        </w:rPr>
        <w:t>满足</w:t>
      </w:r>
      <w:r>
        <w:rPr>
          <w:rFonts w:ascii="Times New Roman" w:hAnsi="Times New Roman" w:eastAsia="宋体" w:cs="Times New Roman"/>
          <w:sz w:val="24"/>
          <w:szCs w:val="24"/>
        </w:rPr>
        <w:t>《钢铁烧结、球团工业大气污染物排放标准》（GB28662-2012）表2的排放限值要求（200mg/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），排放浓度均值（35mg/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）可满足</w:t>
      </w:r>
      <w:r>
        <w:rPr>
          <w:rFonts w:ascii="Times New Roman" w:hAnsi="Times New Roman" w:eastAsia="宋体" w:cs="Times New Roman"/>
          <w:sz w:val="24"/>
        </w:rPr>
        <w:t>《关于推进实施钢铁行业超低排放的意见》中超低排放限值要求（</w:t>
      </w:r>
      <w:r>
        <w:rPr>
          <w:rFonts w:ascii="Times New Roman" w:hAnsi="Times New Roman" w:eastAsia="宋体" w:cs="Times New Roman"/>
          <w:sz w:val="24"/>
          <w:szCs w:val="24"/>
        </w:rPr>
        <w:t>35mg/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rPr>
        <w:t>）</w:t>
      </w:r>
      <w:r>
        <w:rPr>
          <w:rFonts w:ascii="Times New Roman" w:hAnsi="Times New Roman" w:eastAsia="宋体" w:cs="Times New Roman"/>
          <w:kern w:val="0"/>
          <w:sz w:val="24"/>
          <w:szCs w:val="24"/>
        </w:rPr>
        <w:t>。</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.2.1.3烧结机机头烟气脱硝</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（1）烧结烟气脱硝工艺现状</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烧结过程中的NO</w:t>
      </w:r>
      <w:r>
        <w:rPr>
          <w:rFonts w:ascii="Times New Roman" w:hAnsi="Times New Roman" w:eastAsia="宋体" w:cs="Times New Roman"/>
          <w:kern w:val="0"/>
          <w:sz w:val="24"/>
          <w:szCs w:val="24"/>
          <w:vertAlign w:val="subscript"/>
        </w:rPr>
        <w:t>x</w:t>
      </w:r>
      <w:r>
        <w:rPr>
          <w:rFonts w:ascii="Times New Roman" w:hAnsi="Times New Roman" w:eastAsia="宋体" w:cs="Times New Roman"/>
          <w:kern w:val="0"/>
          <w:sz w:val="24"/>
          <w:szCs w:val="24"/>
        </w:rPr>
        <w:t>主要来源于烧结过程中燃料的燃烧。烧结生产中的燃料分为点火燃料和烧结燃料两种。一般情况下，燃烧过程中产生的氮氧化物主要是NO和NO</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，这二者统称为NO</w:t>
      </w:r>
      <w:r>
        <w:rPr>
          <w:rFonts w:ascii="Times New Roman" w:hAnsi="Times New Roman" w:eastAsia="宋体" w:cs="Times New Roman"/>
          <w:kern w:val="0"/>
          <w:sz w:val="24"/>
          <w:szCs w:val="24"/>
          <w:vertAlign w:val="subscript"/>
        </w:rPr>
        <w:t>x</w:t>
      </w:r>
      <w:r>
        <w:rPr>
          <w:rFonts w:ascii="Times New Roman" w:hAnsi="Times New Roman" w:eastAsia="宋体" w:cs="Times New Roman"/>
          <w:kern w:val="0"/>
          <w:sz w:val="24"/>
          <w:szCs w:val="24"/>
        </w:rPr>
        <w:t>，在低温条件下燃烧还会产生一定量的N</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O。燃烧过程中产生的NO</w:t>
      </w:r>
      <w:r>
        <w:rPr>
          <w:rFonts w:ascii="Times New Roman" w:hAnsi="Times New Roman" w:eastAsia="宋体" w:cs="Times New Roman"/>
          <w:kern w:val="0"/>
          <w:sz w:val="24"/>
          <w:szCs w:val="24"/>
          <w:vertAlign w:val="subscript"/>
        </w:rPr>
        <w:t>x</w:t>
      </w:r>
      <w:r>
        <w:rPr>
          <w:rFonts w:ascii="Times New Roman" w:hAnsi="Times New Roman" w:eastAsia="宋体" w:cs="Times New Roman"/>
          <w:kern w:val="0"/>
          <w:sz w:val="24"/>
          <w:szCs w:val="24"/>
        </w:rPr>
        <w:t>的种类和数量除了与燃料性质相关外，还与燃烧温度和过量空气系数等燃烧条件密切相关。在通常的燃烧温度下，煤燃烧产生的NO</w:t>
      </w:r>
      <w:r>
        <w:rPr>
          <w:rFonts w:ascii="Times New Roman" w:hAnsi="Times New Roman" w:eastAsia="宋体" w:cs="Times New Roman"/>
          <w:kern w:val="0"/>
          <w:sz w:val="24"/>
          <w:szCs w:val="24"/>
          <w:vertAlign w:val="subscript"/>
        </w:rPr>
        <w:t>x</w:t>
      </w:r>
      <w:r>
        <w:rPr>
          <w:rFonts w:ascii="Times New Roman" w:hAnsi="Times New Roman" w:eastAsia="宋体" w:cs="Times New Roman"/>
          <w:kern w:val="0"/>
          <w:sz w:val="24"/>
          <w:szCs w:val="24"/>
        </w:rPr>
        <w:t>中NO占90%以上，NO</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占5%～10%，N</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O占1%左右。</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对于工业烟气中NO</w:t>
      </w:r>
      <w:r>
        <w:rPr>
          <w:rFonts w:ascii="Times New Roman" w:hAnsi="Times New Roman" w:eastAsia="宋体" w:cs="Times New Roman"/>
          <w:kern w:val="0"/>
          <w:sz w:val="24"/>
          <w:szCs w:val="24"/>
          <w:vertAlign w:val="subscript"/>
        </w:rPr>
        <w:t>x</w:t>
      </w:r>
      <w:r>
        <w:rPr>
          <w:rFonts w:ascii="Times New Roman" w:hAnsi="Times New Roman" w:eastAsia="宋体" w:cs="Times New Roman"/>
          <w:kern w:val="0"/>
          <w:sz w:val="24"/>
          <w:szCs w:val="24"/>
        </w:rPr>
        <w:t>的处理，燃煤电厂最主要的处理工艺有SCR、SNCR以及脱硫脱硝一体化技术等。烧结烟气作为钢铁行业NO</w:t>
      </w:r>
      <w:r>
        <w:rPr>
          <w:rFonts w:ascii="Times New Roman" w:hAnsi="Times New Roman" w:eastAsia="宋体" w:cs="Times New Roman"/>
          <w:kern w:val="0"/>
          <w:sz w:val="24"/>
          <w:szCs w:val="24"/>
          <w:vertAlign w:val="subscript"/>
        </w:rPr>
        <w:t>x</w:t>
      </w:r>
      <w:r>
        <w:rPr>
          <w:rFonts w:ascii="Times New Roman" w:hAnsi="Times New Roman" w:eastAsia="宋体" w:cs="Times New Roman"/>
          <w:kern w:val="0"/>
          <w:sz w:val="24"/>
          <w:szCs w:val="24"/>
        </w:rPr>
        <w:t>的主要排放源，开发并推广应用各类高效能低投入的烟气脱硝技术，具有十分重要的意义。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传统的SNCR脱硝工艺，均是采用还原性的脱硝剂NH</w:t>
      </w:r>
      <w:r>
        <w:rPr>
          <w:rFonts w:ascii="Times New Roman" w:hAnsi="Times New Roman" w:eastAsia="宋体" w:cs="Times New Roman"/>
          <w:kern w:val="0"/>
          <w:sz w:val="24"/>
          <w:szCs w:val="24"/>
          <w:vertAlign w:val="subscript"/>
        </w:rPr>
        <w:t>3</w:t>
      </w:r>
      <w:r>
        <w:rPr>
          <w:rFonts w:ascii="Times New Roman" w:hAnsi="Times New Roman" w:eastAsia="宋体" w:cs="Times New Roman"/>
          <w:kern w:val="0"/>
          <w:sz w:val="24"/>
          <w:szCs w:val="24"/>
        </w:rPr>
        <w:t>与烟气中的NO</w:t>
      </w:r>
      <w:r>
        <w:rPr>
          <w:rFonts w:ascii="Times New Roman" w:hAnsi="Times New Roman" w:eastAsia="宋体" w:cs="Times New Roman"/>
          <w:kern w:val="0"/>
          <w:sz w:val="24"/>
          <w:szCs w:val="24"/>
          <w:vertAlign w:val="subscript"/>
        </w:rPr>
        <w:t>x</w:t>
      </w:r>
      <w:r>
        <w:rPr>
          <w:rFonts w:ascii="Times New Roman" w:hAnsi="Times New Roman" w:eastAsia="宋体" w:cs="Times New Roman"/>
          <w:kern w:val="0"/>
          <w:sz w:val="24"/>
          <w:szCs w:val="24"/>
        </w:rPr>
        <w:t>进行反应，将有毒有害的NO</w:t>
      </w:r>
      <w:r>
        <w:rPr>
          <w:rFonts w:ascii="Times New Roman" w:hAnsi="Times New Roman" w:eastAsia="宋体" w:cs="Times New Roman"/>
          <w:kern w:val="0"/>
          <w:sz w:val="24"/>
          <w:szCs w:val="24"/>
          <w:vertAlign w:val="subscript"/>
        </w:rPr>
        <w:t>x</w:t>
      </w:r>
      <w:r>
        <w:rPr>
          <w:rFonts w:ascii="Times New Roman" w:hAnsi="Times New Roman" w:eastAsia="宋体" w:cs="Times New Roman"/>
          <w:kern w:val="0"/>
          <w:sz w:val="24"/>
          <w:szCs w:val="24"/>
        </w:rPr>
        <w:t>转化为无毒无害的N</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，然后通过烟囱排放。由于SNCR工艺需要的反应温度高（850℃～1100℃），因此不适用于钢铁行业烧结烟气脱硝。</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sz w:val="24"/>
          <w:szCs w:val="24"/>
        </w:rPr>
        <w:t>根据《钢铁行业污染防治最佳可行技术导则—烧结及球团工艺》（征求意见稿），烧结机机头烟气脱硝最佳可行技术推荐SCR及活性炭吸附法加氨技术。而</w:t>
      </w:r>
      <w:r>
        <w:rPr>
          <w:rFonts w:ascii="Times New Roman" w:hAnsi="Times New Roman" w:eastAsia="宋体" w:cs="Times New Roman"/>
          <w:kern w:val="0"/>
          <w:sz w:val="24"/>
          <w:szCs w:val="24"/>
        </w:rPr>
        <w:t>传统的SCR脱硝工艺也是以氨基脱硝剂为原料（简称为NH</w:t>
      </w:r>
      <w:r>
        <w:rPr>
          <w:rFonts w:ascii="Times New Roman" w:hAnsi="Times New Roman" w:eastAsia="宋体" w:cs="Times New Roman"/>
          <w:kern w:val="0"/>
          <w:sz w:val="24"/>
          <w:szCs w:val="24"/>
          <w:vertAlign w:val="subscript"/>
        </w:rPr>
        <w:t>3</w:t>
      </w:r>
      <w:r>
        <w:rPr>
          <w:rFonts w:ascii="Times New Roman" w:hAnsi="Times New Roman" w:eastAsia="宋体" w:cs="Times New Roman"/>
          <w:kern w:val="0"/>
          <w:sz w:val="24"/>
          <w:szCs w:val="24"/>
        </w:rPr>
        <w:t>-SCR），在催化剂的作用下，利用氨气的选择性，在300℃～420℃的温度区间内优先与烟气中的NO</w:t>
      </w:r>
      <w:r>
        <w:rPr>
          <w:rFonts w:ascii="Times New Roman" w:hAnsi="Times New Roman" w:eastAsia="宋体" w:cs="Times New Roman"/>
          <w:kern w:val="0"/>
          <w:sz w:val="24"/>
          <w:szCs w:val="24"/>
          <w:vertAlign w:val="subscript"/>
        </w:rPr>
        <w:t>x</w:t>
      </w:r>
      <w:r>
        <w:rPr>
          <w:rFonts w:ascii="Times New Roman" w:hAnsi="Times New Roman" w:eastAsia="宋体" w:cs="Times New Roman"/>
          <w:kern w:val="0"/>
          <w:sz w:val="24"/>
          <w:szCs w:val="24"/>
        </w:rPr>
        <w:t>反应，因此理论上SCR脱硝工艺是烧结烟气脱硝工艺的一种技术选择之一。实际生产中，为了降低系统生产能耗，SCR脱硝工艺一般会安装在电除尘器之前，该工段烟气成分比较复杂，烟尘含量较高，再加SO</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含量也较高，因此传统的SCR脱硝催化剂寿命会大大降低，运行成本会大大增加，系统的可靠性也大大降低。这限制了传统的SCR工艺在烧结烟气脱硝领域的前景。而相比该工艺，活性炭法成本大大增加。</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（2）厂区烧结烟气脱硝工艺优势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按照现有厂区环评批复（</w:t>
      </w:r>
      <w:r>
        <w:rPr>
          <w:rFonts w:ascii="Times New Roman" w:hAnsi="Times New Roman" w:eastAsia="宋体" w:cs="Times New Roman"/>
          <w:sz w:val="24"/>
          <w:szCs w:val="24"/>
        </w:rPr>
        <w:t>环审[2013]300号文</w:t>
      </w:r>
      <w:r>
        <w:rPr>
          <w:rFonts w:ascii="Times New Roman" w:hAnsi="Times New Roman" w:eastAsia="宋体" w:cs="Times New Roman"/>
          <w:kern w:val="0"/>
          <w:sz w:val="24"/>
          <w:szCs w:val="24"/>
        </w:rPr>
        <w:t>）</w:t>
      </w:r>
      <w:r>
        <w:rPr>
          <w:rFonts w:ascii="Times New Roman" w:hAnsi="Times New Roman" w:eastAsia="宋体" w:cs="Times New Roman"/>
          <w:sz w:val="24"/>
          <w:szCs w:val="24"/>
        </w:rPr>
        <w:t>要求，</w:t>
      </w:r>
      <w:r>
        <w:rPr>
          <w:rFonts w:ascii="Times New Roman" w:hAnsi="Times New Roman" w:eastAsia="宋体" w:cs="Times New Roman"/>
          <w:kern w:val="0"/>
          <w:sz w:val="24"/>
          <w:szCs w:val="24"/>
        </w:rPr>
        <w:t>厂区</w:t>
      </w:r>
      <w:r>
        <w:rPr>
          <w:rFonts w:ascii="Times New Roman" w:hAnsi="Times New Roman" w:eastAsia="宋体" w:cs="Times New Roman"/>
          <w:sz w:val="24"/>
          <w:szCs w:val="24"/>
        </w:rPr>
        <w:t>2×265m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w:t>
      </w:r>
      <w:r>
        <w:rPr>
          <w:rFonts w:ascii="Times New Roman" w:hAnsi="Times New Roman" w:eastAsia="宋体" w:cs="Times New Roman"/>
          <w:kern w:val="0"/>
          <w:sz w:val="24"/>
          <w:szCs w:val="24"/>
        </w:rPr>
        <w:t>采用优化的H</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-SCR法脱硝工艺。相比SCR法，采用该工艺主要有几方面的优势：</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①可以有效降低脱硝系统的投资成本及运行陈本。以100000m³/h的处理烟气量为例，投资成本可以降低约三分之一，运行成本降低约二分之一。</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②就地取材，利用厂区的焦炉煤气作为原料，降低企业生产成本。</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③脱硝系统的特殊设计，可以最大限度的避免催化剂因附着烧结烟气粉尘而产生的中毒失活现象，可大大降低烧结烟气中复杂的粉尘成份给脱硝工艺带来的难度。</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④可以降低催化剂的成型要求，调整好催化剂配方后，在配方中添加一定的填充物载体，压制成球，然后将含湿的催化剂球体烘干即可使用，不用再像SCR催化剂那样需要压制成蜂窝状，还需要考虑耐磨及结构强度，降低了催化剂的制备成本。</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⑤可以保证催化剂循环使用，即使有小部分催化剂颗粒破裂，也可以通过催化剂的循环排出或直接落入反应器底部灰斗排出。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⑥系统运行简单，催化剂的更换方便，根据床层损失定期补充一部分催化剂颗粒，满足反应器设计空速即可，而不需要像SCR催化剂那样使用到一定的年限后就需要全部更换。</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⑦催化剂层可以根据床层的压降定期的进行清理催化剂层附着的烧结烟气粉尘，通过振动筛完成除尘，还可以在振动筛中通入煤气进行催化剂的预还原，提高催化剂的催化效能，同时吹扫后的煤气也可以得到换热，然后参与脱硝反应。</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（2）工艺参数及效率</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厂区烧结烟气脱硝系统处理对象为单台烧结机高温段的四条风道，最大设计风量为200000m³/h，烟气中NO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峰值含量约1200mg/</w:t>
      </w:r>
      <w:r>
        <w:rPr>
          <w:rFonts w:ascii="Times New Roman" w:hAnsi="Times New Roman" w:eastAsia="宋体" w:cs="Times New Roman"/>
          <w:iCs/>
          <w:sz w:val="24"/>
          <w:szCs w:val="24"/>
        </w:rPr>
        <w:t>N</w:t>
      </w:r>
      <w:r>
        <w:rPr>
          <w:rFonts w:ascii="Times New Roman" w:hAnsi="Times New Roman" w:eastAsia="宋体" w:cs="Times New Roman"/>
          <w:sz w:val="24"/>
          <w:szCs w:val="24"/>
        </w:rPr>
        <w:t>m³，脱硝系统设计效率≥50%，单台烧结机脱硝系统NO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处理量约66kg/h，整台烧结机烟气NO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浓度下降约80~100mg/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kern w:val="0"/>
          <w:sz w:val="24"/>
          <w:szCs w:val="24"/>
        </w:rPr>
        <w:t>，</w:t>
      </w:r>
      <w:r>
        <w:rPr>
          <w:rFonts w:ascii="Times New Roman" w:hAnsi="Times New Roman" w:eastAsia="宋体" w:cs="Times New Roman"/>
          <w:sz w:val="24"/>
          <w:szCs w:val="24"/>
        </w:rPr>
        <w:t>根据安徽基越环境监测公司2018年12月12日~12月14日对2×265m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烧结机机头废气排放口的监测，外排废气NO</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浓度≤172mg/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ascii="Times New Roman" w:hAnsi="Times New Roman" w:eastAsia="宋体" w:cs="Times New Roman"/>
          <w:kern w:val="0"/>
          <w:sz w:val="24"/>
          <w:szCs w:val="24"/>
        </w:rPr>
        <w:t>满足</w:t>
      </w:r>
      <w:r>
        <w:rPr>
          <w:rFonts w:ascii="Times New Roman" w:hAnsi="Times New Roman" w:eastAsia="宋体" w:cs="Times New Roman"/>
          <w:sz w:val="24"/>
          <w:szCs w:val="24"/>
        </w:rPr>
        <w:t>《钢铁烧结、球团工业大气污染物排放标准》（GB28662-2012）表2的排放限值要求</w:t>
      </w:r>
      <w:r>
        <w:rPr>
          <w:rFonts w:ascii="Times New Roman" w:hAnsi="Times New Roman" w:eastAsia="宋体" w:cs="Times New Roman"/>
          <w:sz w:val="24"/>
        </w:rPr>
        <w:t>（</w:t>
      </w:r>
      <w:r>
        <w:rPr>
          <w:rFonts w:ascii="Times New Roman" w:hAnsi="Times New Roman" w:eastAsia="宋体" w:cs="Times New Roman"/>
          <w:sz w:val="24"/>
          <w:szCs w:val="24"/>
        </w:rPr>
        <w:t>300mg/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rPr>
        <w:t>），</w:t>
      </w:r>
      <w:r>
        <w:rPr>
          <w:rFonts w:ascii="Times New Roman" w:hAnsi="Times New Roman" w:eastAsia="宋体" w:cs="Times New Roman"/>
          <w:sz w:val="24"/>
          <w:szCs w:val="24"/>
        </w:rPr>
        <w:t>排放浓度均值（170mg/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）不能满足</w:t>
      </w:r>
      <w:r>
        <w:rPr>
          <w:rFonts w:ascii="Times New Roman" w:hAnsi="Times New Roman" w:eastAsia="宋体" w:cs="Times New Roman"/>
          <w:sz w:val="24"/>
        </w:rPr>
        <w:t>《关于推进实施钢铁行业超低排放的意见》中超低排放限值要求（</w:t>
      </w:r>
      <w:r>
        <w:rPr>
          <w:rFonts w:ascii="Times New Roman" w:hAnsi="Times New Roman" w:eastAsia="宋体" w:cs="Times New Roman"/>
          <w:sz w:val="24"/>
          <w:szCs w:val="24"/>
        </w:rPr>
        <w:t>50mg/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rPr>
        <w:t>）</w:t>
      </w:r>
      <w:r>
        <w:rPr>
          <w:rFonts w:ascii="Times New Roman" w:hAnsi="Times New Roman" w:eastAsia="宋体" w:cs="Times New Roman"/>
          <w:sz w:val="24"/>
          <w:szCs w:val="24"/>
        </w:rPr>
        <w:t>。</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.2.2焦化工艺废气污染控制措施</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.2.2.1焦化地面除尘站</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钢铁行业焦化工艺污染防治最佳可行技术指南（试行）》（HJ-BAT-004），大型地面站干式净化除尘技术是在地面设立大型除尘一体化装置，在各工序产尘点设集气罩，将废气通过集尘管送入地面站，采用大型袋式除尘器净化。该技术运行可靠、稳定，除尘效果好；适用于大型钢铁企业焦化工艺装煤、出焦、干熄焦、筛贮焦等工序。</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电除尘器具有除尘效率高、设备运行阻力小、能处理高温废气、设备检修维护的工作环境较袋式除尘器好等特点。邯钢东区435m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烧结机机尾除尘系统采用2台270m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四电场电除尘器，烟尘排放浓度约24.2mg/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袋式除尘器具有除尘效率高（除尘效率可达99%以上）、适应性强（能处理不同类型的颗粒物，处理容量可大可小）、操作弹性大（入口气体含尘浓度变化较大时，对除尘效率影响不大）、结构简单、使用灵活等特点，广泛应用于钢铁联合企业中的非高温烟气的除尘净化。</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根据《钢铁行业污染防治最佳可行技术导则—烧结及球团工艺》（征求意见稿），现有电除尘器为了提高除尘效率可进行“电改袋”或电袋结合技术。厂区2×265m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烧结机机尾采用电袋复合除尘器（1电+3布袋）对烟气进行净化，可进一步提高除尘效率。根据安徽基越环境监测公司2018年12月12日~12月14日对2×265m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烧结机机尾废气排放口的监测，外排废气含尘浓度≤6mg/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，满足</w:t>
      </w:r>
      <w:r>
        <w:fldChar w:fldCharType="begin"/>
      </w:r>
      <w:r>
        <w:instrText xml:space="preserve"> HYPERLINK "http://kjs.mep.gov.cn/hjbhbz/bzwb/dqhjbh/dqgdwrywrwpfbz/201207/t20120731_234140.htm" </w:instrText>
      </w:r>
      <w:r>
        <w:fldChar w:fldCharType="separate"/>
      </w:r>
      <w:r>
        <w:rPr>
          <w:rFonts w:ascii="Times New Roman" w:hAnsi="Times New Roman" w:eastAsia="宋体" w:cs="Times New Roman"/>
          <w:sz w:val="24"/>
          <w:szCs w:val="24"/>
        </w:rPr>
        <w:t>《钢铁烧结、球团工业大气污染物排放标准》（GB 28662-2012）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表2排放限值要求</w:t>
      </w:r>
      <w:r>
        <w:rPr>
          <w:rFonts w:ascii="Times New Roman" w:hAnsi="Times New Roman" w:eastAsia="宋体" w:cs="Times New Roman"/>
          <w:sz w:val="24"/>
        </w:rPr>
        <w:t>（</w:t>
      </w:r>
      <w:r>
        <w:rPr>
          <w:rFonts w:ascii="Times New Roman" w:hAnsi="Times New Roman" w:eastAsia="宋体" w:cs="Times New Roman"/>
          <w:sz w:val="24"/>
          <w:szCs w:val="24"/>
        </w:rPr>
        <w:t>30mg/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rPr>
        <w:t>），</w:t>
      </w:r>
      <w:r>
        <w:rPr>
          <w:rFonts w:ascii="Times New Roman" w:hAnsi="Times New Roman" w:eastAsia="宋体" w:cs="Times New Roman"/>
          <w:sz w:val="24"/>
          <w:szCs w:val="24"/>
        </w:rPr>
        <w:t>排放浓度均值（5.7mg/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）能够满足</w:t>
      </w:r>
      <w:r>
        <w:rPr>
          <w:rFonts w:ascii="Times New Roman" w:hAnsi="Times New Roman" w:eastAsia="宋体" w:cs="Times New Roman"/>
          <w:sz w:val="24"/>
        </w:rPr>
        <w:t>《关于推进实施钢铁</w:t>
      </w:r>
      <w:r>
        <w:rPr>
          <w:rFonts w:ascii="Times New Roman" w:hAnsi="Times New Roman" w:eastAsia="宋体" w:cs="Times New Roman"/>
          <w:sz w:val="24"/>
          <w:szCs w:val="24"/>
        </w:rPr>
        <w:t>行业超低排放的意见》中超低排放限值要求（10mg/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.2.2.2干法熄焦</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厂区现有2座焦炉均采用干法熄焦工艺。</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与湿法熄焦相比，采用干法熄焦技术有以下优点：</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（1）有利于改善环境</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与传统湿法熄焦相比，可少排大气污染物80%。</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（2）有利于回收利用余热资源</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干法熄焦每处理1t红焦可回收3.82~9.8MPa中高压蒸汽0.45~0.6t。有利于降低企业生产成本，使企业具有更强的市场竞争力。</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（3）有利于提高焦炭质量</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干法熄焦可使焦炭强度M40提高3~5个百分点，M10降低0.3~0.5个百分点，CSR提高2~4个百分点，CRI降低2~4个百分点。并大为降低焦炭水分，使焦炭块度更加均匀。</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（4）有利于节约用水</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每吨干法熄焦可节约熄焦用水0.4~0.5m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由此可见，干熄焦配套装置系统的建设可实现节能降耗，改善环境，并提高焦炭质量。</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在干熄焦槽顶盖装焦、干熄槽顶部预存放散口、惰性气体循环风机放散口、干熄槽底部排焦两岔溜槽、回转密封阀入口及排焦胶带机落料点等处设置烟尘捕集装置，将捕集到的含尘烟气送入袋式除尘器净化。根据徽基越环境监测公司2018年12月12日~12月14日以及安徽世标检测技术有限公司2019年4月9日对干熄焦废气排放口的监测，其烟/粉尘排放浓度≤13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浓度≤30mg/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，满足《炼焦化学工业污染物排放标准》（GB16171-2012）表2排放限值要求</w:t>
      </w:r>
      <w:r>
        <w:rPr>
          <w:rFonts w:ascii="Times New Roman" w:hAnsi="Times New Roman" w:eastAsia="宋体" w:cs="Times New Roman"/>
          <w:sz w:val="24"/>
        </w:rPr>
        <w:t>（颗粒物</w:t>
      </w:r>
      <w:r>
        <w:rPr>
          <w:rFonts w:ascii="Times New Roman" w:hAnsi="Times New Roman" w:eastAsia="宋体" w:cs="Times New Roman"/>
          <w:sz w:val="24"/>
          <w:szCs w:val="24"/>
        </w:rPr>
        <w:t>50mg/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、二氧化硫100mg/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rPr>
        <w:t>），颗粒物</w:t>
      </w:r>
      <w:r>
        <w:rPr>
          <w:rFonts w:ascii="Times New Roman" w:hAnsi="Times New Roman" w:eastAsia="宋体" w:cs="Times New Roman"/>
          <w:sz w:val="24"/>
          <w:szCs w:val="24"/>
        </w:rPr>
        <w:t>排放浓度均值（11.6mg/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）不能满足</w:t>
      </w:r>
      <w:r>
        <w:rPr>
          <w:rFonts w:ascii="Times New Roman" w:hAnsi="Times New Roman" w:eastAsia="宋体" w:cs="Times New Roman"/>
          <w:sz w:val="24"/>
        </w:rPr>
        <w:t>《关于推进实施钢铁</w:t>
      </w:r>
      <w:r>
        <w:rPr>
          <w:rFonts w:ascii="Times New Roman" w:hAnsi="Times New Roman" w:eastAsia="宋体" w:cs="Times New Roman"/>
          <w:sz w:val="24"/>
          <w:szCs w:val="24"/>
        </w:rPr>
        <w:t>行业超低排放的意见》中超低排放限值要求（</w:t>
      </w:r>
      <w:r>
        <w:rPr>
          <w:rFonts w:ascii="Times New Roman" w:hAnsi="Times New Roman" w:eastAsia="宋体" w:cs="Times New Roman"/>
          <w:sz w:val="24"/>
        </w:rPr>
        <w:t>颗粒物</w:t>
      </w:r>
      <w:r>
        <w:rPr>
          <w:rFonts w:ascii="Times New Roman" w:hAnsi="Times New Roman" w:eastAsia="宋体" w:cs="Times New Roman"/>
          <w:sz w:val="24"/>
          <w:szCs w:val="24"/>
        </w:rPr>
        <w:t>10mg/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ascii="Times New Roman" w:hAnsi="Times New Roman" w:eastAsia="宋体" w:cs="Times New Roman"/>
          <w:sz w:val="24"/>
        </w:rPr>
        <w:t>二氧化硫</w:t>
      </w:r>
      <w:r>
        <w:rPr>
          <w:rFonts w:ascii="Times New Roman" w:hAnsi="Times New Roman" w:eastAsia="宋体" w:cs="Times New Roman"/>
          <w:sz w:val="24"/>
          <w:szCs w:val="24"/>
        </w:rPr>
        <w:t>排放浓度均值（27mg/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）能够满足</w:t>
      </w:r>
      <w:r>
        <w:rPr>
          <w:rFonts w:ascii="Times New Roman" w:hAnsi="Times New Roman" w:eastAsia="宋体" w:cs="Times New Roman"/>
          <w:sz w:val="24"/>
        </w:rPr>
        <w:t>《关于推进实施钢铁</w:t>
      </w:r>
      <w:r>
        <w:rPr>
          <w:rFonts w:ascii="Times New Roman" w:hAnsi="Times New Roman" w:eastAsia="宋体" w:cs="Times New Roman"/>
          <w:sz w:val="24"/>
          <w:szCs w:val="24"/>
        </w:rPr>
        <w:t>行业超低排放的意见》中超低排放限值要求（二氧化硫50mg/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.2.2.3焦炉煤气脱硫工艺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厂区焦化煤气净化中脱硫提盐采用KXTT工艺</w:t>
      </w:r>
      <w:r>
        <w:rPr>
          <w:rFonts w:hint="eastAsia" w:ascii="Times New Roman" w:hAnsi="Times New Roman" w:eastAsia="宋体" w:cs="Times New Roman"/>
          <w:sz w:val="24"/>
          <w:szCs w:val="24"/>
        </w:rPr>
        <w:t>，</w:t>
      </w:r>
      <w:r>
        <w:rPr>
          <w:rFonts w:ascii="Times New Roman" w:hAnsi="Times New Roman" w:eastAsia="宋体" w:cs="Times New Roman"/>
          <w:sz w:val="24"/>
          <w:szCs w:val="24"/>
        </w:rPr>
        <w:t>焦炉煤气脱硫工艺的选择是困扰焦化行业的难题。目前新建项目使用较多的工艺主要有三种：HPF、真空碳酸盐、FRC。KXTT脱硫提盐工艺在杭钢成功实施后，通过两级脱硫，能稳定的运行在塔后硫化氢100mg/m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以下，HCN低于150mg/m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。KXTT脱硫提盐工艺不产生硫磺或硫膏、脱硫塔阻力低，废液全部提盐，生产硫代硫酸铵和硫氰酸铵，实现变废为宝。</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厂区焦炉自投产以来采用KXTT煤气脱硫工艺一直稳定运行，经检测煤气中H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S含量可降到100mg/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以下，说明采用此方式进行煤气脱硫是可行的。</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.2.2.4逸散烟尘捕集处理装置</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焦炉逸散烟尘收集处理装置主要用于控制炉门、集气管、装煤孔等处泄漏的烟尘、SO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BaP等有害物质，即在2座焦炉顶部设置2个烟气收集装置，即排烟罩，将其收集到的含尘烟气通过除尘管道送入除尘地面站。根据芜湖市环境监测中心站2016年12月7日~12月8日对其的监测结果，净化后烟气含尘浓度≤25mg/N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，同时还可减少BaP的无组织排放。</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焦炉逸散烟尘收集处理装置由焦炉烟尘收集罩、烟尘收集处理设施组成。焦炉烟尘收集罩纵向覆盖收集烟尘范围为：煤塔和端台抵抗墙之间；横向覆盖收集烟尘范围为：焦炉本体和焦炉两侧炉门外2m。烟尘收集处理设施包括：装于焦炉烟尘收集设施顶上的吸尘罩、连接管道、液压快速切断阀、预喷涂装置、烟气净化袋式除尘器、通风机组、消声器、烟囱等。</w:t>
      </w:r>
    </w:p>
    <w:p>
      <w:pPr>
        <w:keepNext w:val="0"/>
        <w:keepLines w:val="0"/>
        <w:pageBreakBefore w:val="0"/>
        <w:kinsoku/>
        <w:wordWrap/>
        <w:bidi w:val="0"/>
        <w:adjustRightInd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焦炉正常生产时，焦炉逸散烟气在热压作用下上升至焦炉烟尘收集罩顶部，然后由烟尘收集设施顶部吸尘罩吸入排烟管道，并通过连接管道输送至除尘地面站。净化设备选用带有预喷涂装置的脉冲袋式除尘器，除尘器滤料采用防静电材质，布袋过滤净化单元采用离线清灰方式。除尘系统收集下来的粉尘通过刮板机收集至粉尘仓，经过加湿处理后用汽车外运至备煤系统。</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.2.2.5焦炉烟气处置装置</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为响应《国务院关于印发打赢蓝天保卫战三年行动计划的通知》（国发[2018]22号文）和《钢铁企业超低排放改造工作方案（征求意见稿）》（环办大气函[2018]242号文），芜湖新兴铸管有限责任公司拟投资6000万元，在现有焦化厂区内建设焦炉烟气控硝及脱硫脱硝项目，项目已于2018年10月15日获得芜湖市环境保护局环评批复（芜环评审[2018]527号），目前项目处于建设中，暂未验收。</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改造完成后焦炉废气处理装置：将控硝后的焦炉烟道气从焦炉焦侧和机侧的地下烟道翻板阀上游引出，共设有6个倒U型支路烟道，每个支路烟道上设置一台电动蝶阀，同时内设有1个液封池（95m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将液封池内的水注入倒U型支路烟道可阻碍烟气通过。焦炉烟道气入口温度为180-220℃，经GGH换热器和调质管段雾化喷淋（5t/h）装置将温度降低至120℃左右，由增压风机引至新型催化法脱硫系统脱除烟气中的二氧化硫。GGH换热器将脱硫后的烟气温度升至150℃-180℃，引至低温SCR脱硝反应器完成脱硝反应，最后不小于150℃的烟气引至原焦炉烟囱排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sz w:val="24"/>
          <w:szCs w:val="24"/>
        </w:rPr>
        <w:t>根据安徽基越环境监测公司2018年12月12日~12月14日对焦化焦炉烟囱排放口的监测，其烟/粉尘排放浓度≤15mg/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浓度≤30mg/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、NOx浓度≤250mg/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，满足《炼焦化学工业污染物排放标准》（GB16171-2012）表2排放限值要求</w:t>
      </w:r>
      <w:r>
        <w:rPr>
          <w:rFonts w:ascii="Times New Roman" w:hAnsi="Times New Roman" w:eastAsia="宋体" w:cs="Times New Roman"/>
          <w:sz w:val="24"/>
        </w:rPr>
        <w:t>（颗粒物</w:t>
      </w:r>
      <w:r>
        <w:rPr>
          <w:rFonts w:ascii="Times New Roman" w:hAnsi="Times New Roman" w:eastAsia="宋体" w:cs="Times New Roman"/>
          <w:sz w:val="24"/>
          <w:szCs w:val="24"/>
        </w:rPr>
        <w:t>30mg/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、二氧化硫50mg/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、氮氧化物500mg/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rPr>
        <w:t>），颗粒物、氮氧化物</w:t>
      </w:r>
      <w:r>
        <w:rPr>
          <w:rFonts w:ascii="Times New Roman" w:hAnsi="Times New Roman" w:eastAsia="宋体" w:cs="Times New Roman"/>
          <w:sz w:val="24"/>
          <w:szCs w:val="24"/>
        </w:rPr>
        <w:t>排放浓度均值（10.6mg/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、217mg/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）不能满足</w:t>
      </w:r>
      <w:r>
        <w:rPr>
          <w:rFonts w:ascii="Times New Roman" w:hAnsi="Times New Roman" w:eastAsia="宋体" w:cs="Times New Roman"/>
          <w:sz w:val="24"/>
        </w:rPr>
        <w:t>《关于推进实施钢铁</w:t>
      </w:r>
      <w:r>
        <w:rPr>
          <w:rFonts w:ascii="Times New Roman" w:hAnsi="Times New Roman" w:eastAsia="宋体" w:cs="Times New Roman"/>
          <w:sz w:val="24"/>
          <w:szCs w:val="24"/>
        </w:rPr>
        <w:t>行业超低排放的意见》中超低排放限值要求（</w:t>
      </w:r>
      <w:r>
        <w:rPr>
          <w:rFonts w:ascii="Times New Roman" w:hAnsi="Times New Roman" w:eastAsia="宋体" w:cs="Times New Roman"/>
          <w:sz w:val="24"/>
        </w:rPr>
        <w:t>颗粒物</w:t>
      </w:r>
      <w:r>
        <w:rPr>
          <w:rFonts w:ascii="Times New Roman" w:hAnsi="Times New Roman" w:eastAsia="宋体" w:cs="Times New Roman"/>
          <w:sz w:val="24"/>
          <w:szCs w:val="24"/>
        </w:rPr>
        <w:t>10mg/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、氮氧化物150mg/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ascii="Times New Roman" w:hAnsi="Times New Roman" w:eastAsia="宋体" w:cs="Times New Roman"/>
          <w:sz w:val="24"/>
        </w:rPr>
        <w:t>二氧化硫</w:t>
      </w:r>
      <w:r>
        <w:rPr>
          <w:rFonts w:ascii="Times New Roman" w:hAnsi="Times New Roman" w:eastAsia="宋体" w:cs="Times New Roman"/>
          <w:sz w:val="24"/>
          <w:szCs w:val="24"/>
        </w:rPr>
        <w:t>排放浓度均值（26mg/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）能够满足</w:t>
      </w:r>
      <w:r>
        <w:rPr>
          <w:rFonts w:ascii="Times New Roman" w:hAnsi="Times New Roman" w:eastAsia="宋体" w:cs="Times New Roman"/>
          <w:sz w:val="24"/>
        </w:rPr>
        <w:t>《关于推进实施钢铁</w:t>
      </w:r>
      <w:r>
        <w:rPr>
          <w:rFonts w:ascii="Times New Roman" w:hAnsi="Times New Roman" w:eastAsia="宋体" w:cs="Times New Roman"/>
          <w:sz w:val="24"/>
          <w:szCs w:val="24"/>
        </w:rPr>
        <w:t>行业超低排放的意见》中超低排放限值要求（二氧化硫30mg/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.2.3炼铁工艺废气污染控制措施</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.2.3.1高炉出铁场除尘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目前大型高炉出铁场除尘系统早已摆脱一次除尘和二次除尘的概念，将整个出铁周期视为一个过程。高炉出铁场除尘系统主要捕集高炉开铁口、出铁、堵铁口及铁水装罐等整个过程所产生的烟气。1994年投产的宝钢3＃高炉，分别在主铁沟及撇渣器、铁口（设顶吸罩和侧吸罩）、摆动流嘴、铁沟、渣沟等处设除尘罩、盖，将烟气抽至除尘系统并进行净化，净化后排放废气含烟尘浓度小于16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kern w:val="24"/>
          <w:sz w:val="24"/>
          <w:szCs w:val="24"/>
        </w:rPr>
        <w:t>厂区现有</w:t>
      </w:r>
      <w:r>
        <w:rPr>
          <w:rFonts w:ascii="Times New Roman" w:hAnsi="Times New Roman" w:eastAsia="宋体" w:cs="Times New Roman"/>
          <w:sz w:val="24"/>
          <w:szCs w:val="24"/>
        </w:rPr>
        <w:t>2座高炉出铁场出铁时出铁口、铁沟、渣沟、摆动流槽等处散发的烟尘，设计采用排烟罩方式捕集，经袋式除尘器净化后由烟囱排放；此外，在高炉出铁口还在移动式顶吸罩下设置两块导流板，提高出铁口烟气捕集率；铁沟设计为罐位全封闭，在四个铁水罐停放位置上方分别设置伞形顶吸罩，某个罐位受铁时对应伞形顶吸罩开始抽风，以改善出铁场劳动条件和附近区域的环境卫生。根据安徽基越环境监测公司2018年12月12日~12月14日的监测结果，1#高炉、2#高炉外排烟气含尘浓度均≤10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，满足</w:t>
      </w:r>
      <w:r>
        <w:fldChar w:fldCharType="begin"/>
      </w:r>
      <w:r>
        <w:instrText xml:space="preserve"> HYPERLINK "http://kjs.mep.gov.cn/hjbhbz/bzwb/dqhjbh/dqgdwrywrwpfbz/201207/t20120731_234141.htm" </w:instrText>
      </w:r>
      <w:r>
        <w:fldChar w:fldCharType="separate"/>
      </w:r>
      <w:r>
        <w:rPr>
          <w:rFonts w:ascii="Times New Roman" w:hAnsi="Times New Roman" w:eastAsia="宋体" w:cs="Times New Roman"/>
          <w:sz w:val="24"/>
          <w:szCs w:val="24"/>
        </w:rPr>
        <w:t>《炼铁工业大气污染物排放标准》（GB28663-2012）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表2排放限值的要求（25mg/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ascii="Times New Roman" w:hAnsi="Times New Roman" w:eastAsia="宋体" w:cs="Times New Roman"/>
          <w:sz w:val="24"/>
        </w:rPr>
        <w:t>，</w:t>
      </w:r>
      <w:r>
        <w:rPr>
          <w:rFonts w:ascii="Times New Roman" w:hAnsi="Times New Roman" w:eastAsia="宋体" w:cs="Times New Roman"/>
          <w:sz w:val="24"/>
          <w:szCs w:val="24"/>
        </w:rPr>
        <w:t>排放浓度均值（1#高炉6.75mg/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、2#高炉9.37mg/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）均能够满足</w:t>
      </w:r>
      <w:r>
        <w:rPr>
          <w:rFonts w:ascii="Times New Roman" w:hAnsi="Times New Roman" w:eastAsia="宋体" w:cs="Times New Roman"/>
          <w:sz w:val="24"/>
        </w:rPr>
        <w:t>《关于推进实施钢铁</w:t>
      </w:r>
      <w:r>
        <w:rPr>
          <w:rFonts w:ascii="Times New Roman" w:hAnsi="Times New Roman" w:eastAsia="宋体" w:cs="Times New Roman"/>
          <w:sz w:val="24"/>
          <w:szCs w:val="24"/>
        </w:rPr>
        <w:t>行业超低排放的意见》中超低排放限值要求（10mg/</w:t>
      </w:r>
      <w:r>
        <w:rPr>
          <w:rFonts w:ascii="Times New Roman" w:hAnsi="Times New Roman" w:eastAsia="宋体" w:cs="Times New Roman"/>
          <w:iCs/>
          <w:sz w:val="24"/>
          <w:szCs w:val="24"/>
        </w:rPr>
        <w:t>N</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.2.3.2高炉煤气的净化回收</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高炉煤气净化是炼铁生产的重要环节，高炉煤气是钢铁企业重要的二次能源，吨铁煤气热量相当于170~180kgce。目前高炉煤气净化所采用的工艺分为干式和湿式两大类。常用的干式除尘有布袋除尘器和干式电除尘器两种；湿式除尘器有串联双文系统和环缝洗涤塔系统两种。高炉煤气干式除尘与传统的湿法除尘相比，具有占地小、自动化程度高、无二次污染、节能等优点。</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厂区现有2座高炉的高炉煤气净化采用采用干式煤气除尘工艺，与湿式除尘相比，干法除尘可简化工艺系统，合理利用煤气显热，提高煤气热效率，该技术与传统湿法除尘技术相比，可增加煤气热值约100kJ/m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，BPRT多发电30~40%，可节水约8m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/t铁；解决二次水污染及污泥的处理问题。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莱芜钢铁1880m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高炉和1000m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高炉均采用干法煤气净化技术，从其实际应用效果来看，除尘效率可达99%，净煤气含尘量低，含尘量一般保持在1.2~3.3mg/m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，确保了煤气供应的优质、高效；净煤气温度保持在120~180℃，含物理热高，有利于提高高炉风温，降低焦比；另外，净煤气含湿量低，减少了对煤气输配设施的腐蚀。</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厂区现有2座1280m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高炉采用干式煤气净化工艺，煤气含尘浓度≤10mg/Nm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S浓度≤30mg/Nm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.2.4炼钢工艺废气污染控制措施</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.2.4.1炼钢转炉煤气净化回收</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煤气净化回收系统是实现转炉负能炼钢的重要系统，大中型转炉煤气回收量达85m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/t（热值7524kJ/m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）以上。目前部分炼钢厂已经实现了负能炼钢，取得了良好的经济效益和环保效果。</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转炉煤气回收主要有两种方式，一种为两级文氏管湿法除尘方式（OG法）；另一种是八十年代德国鲁奇和蒂森公司合作开发的，称为LT干法静电除尘。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厂区现有转炉一次烟气采用LT干法静电除尘技术，LT法与OG法的主要工艺区别是干法与湿法。与OG湿法流程相比，LT法有以下一些特点：</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（1）由LT流程送出的转炉煤气（LDG）含尘量</w:t>
      </w:r>
      <w:r>
        <w:rPr>
          <w:rFonts w:ascii="Times New Roman" w:hAnsi="Times New Roman" w:eastAsia="宋体" w:cs="Times New Roman"/>
          <w:sz w:val="24"/>
          <w:szCs w:val="24"/>
        </w:rPr>
        <w:sym w:font="Symbol" w:char="F0A3"/>
      </w:r>
      <w:r>
        <w:rPr>
          <w:rFonts w:ascii="Times New Roman" w:hAnsi="Times New Roman" w:eastAsia="宋体" w:cs="Times New Roman"/>
          <w:sz w:val="24"/>
          <w:szCs w:val="24"/>
        </w:rPr>
        <w:t>20mg/m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，OG流程送出的LDG含尘量</w:t>
      </w:r>
      <w:r>
        <w:rPr>
          <w:rFonts w:ascii="Times New Roman" w:hAnsi="Times New Roman" w:eastAsia="宋体" w:cs="Times New Roman"/>
          <w:sz w:val="24"/>
          <w:szCs w:val="24"/>
        </w:rPr>
        <w:sym w:font="Symbol" w:char="F0A3"/>
      </w:r>
      <w:r>
        <w:rPr>
          <w:rFonts w:ascii="Times New Roman" w:hAnsi="Times New Roman" w:eastAsia="宋体" w:cs="Times New Roman"/>
          <w:sz w:val="24"/>
          <w:szCs w:val="24"/>
        </w:rPr>
        <w:t>100mg/m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（2）LT法采用干式除尘，不仅可节约水耗，还可节省电耗（水泵耗电）。</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（3）由于LT法省去了一文、二文，减少了压力损失，可选择功率较小风机，又因采用轴流式变频调速风机，节能效果明显。</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OG法回收工艺中，由于吹炼过程中风机转速不变，而烟气流量随吹炼的进行有较大的变化，因此当烟气流量较小时，风机调节特性变坏，易产生喘振现象。而在LT法回收工艺中，由于采用变频调速技术，因此不会产生喘振，风机控制较为稳定。</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（5）就设备的一次性投资而言，LT法比OG法高10%，但由于前者节能明显及将转炉煤气净化系统回收的尘进行压块替代冷却材料或废钢，所以LT法的运行成本比OG法低20~30%。</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宝钢转炉二分厂投产时，据相关报道：LT法净化回收系统一投产即达到设计的保证值：净煤气含尘量为10mg/m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，回收蒸汽60kg/t钢，回收煤气75m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/t钢，热值8000kJ/m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；目前实际情况是：回收煤气95m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/t钢，高时可达110m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/t钢，热值8360kJ/m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，年回收粉尘压块产量约6万t/a，全部回收作为转炉的原料（约450元/t），效益显著。</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厂区现有转炉一次烟气采用LT干法静电除尘技术，回收煤气100m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/t钢，具有较好的经济效益和处理效果。</w:t>
      </w:r>
    </w:p>
    <w:p>
      <w:pPr>
        <w:pStyle w:val="27"/>
        <w:keepNext w:val="0"/>
        <w:keepLines w:val="0"/>
        <w:pageBreakBefore w:val="0"/>
        <w:kinsoku/>
        <w:wordWrap/>
        <w:bidi w:val="0"/>
        <w:snapToGrid/>
        <w:spacing w:before="156" w:after="156" w:line="360" w:lineRule="auto"/>
        <w:rPr>
          <w:rFonts w:ascii="Times New Roman"/>
          <w:b w:val="0"/>
        </w:rPr>
      </w:pPr>
      <w:r>
        <w:rPr>
          <w:rFonts w:hint="eastAsia" w:ascii="Times New Roman"/>
          <w:b w:val="0"/>
          <w:lang w:val="en-US" w:eastAsia="zh-CN"/>
        </w:rPr>
        <w:t>7</w:t>
      </w:r>
      <w:r>
        <w:rPr>
          <w:rFonts w:ascii="Times New Roman"/>
          <w:b w:val="0"/>
        </w:rPr>
        <w:t>.3废水污染防治措施后评价</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.3.1焦化酚氰废水处理工艺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根据《钢铁行业焦化工艺污染防治最佳可行技术指南（试行）》（HJ-BAT-004），推荐焦化酚氰废水采用预处理+生化法处理+混凝沉淀法/吸附过滤法处理工艺。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厂区焦化建设有独立的酚氰废水处理站。剩余氨水、</w:t>
      </w:r>
      <w:r>
        <w:rPr>
          <w:rFonts w:hint="eastAsia" w:ascii="Times New Roman" w:hAnsi="Times New Roman" w:eastAsia="宋体" w:cs="Times New Roman"/>
          <w:sz w:val="24"/>
          <w:szCs w:val="24"/>
          <w:lang w:eastAsia="zh-CN"/>
        </w:rPr>
        <w:t>焦</w:t>
      </w:r>
      <w:r>
        <w:rPr>
          <w:rFonts w:ascii="Times New Roman" w:hAnsi="Times New Roman" w:eastAsia="宋体" w:cs="Times New Roman"/>
          <w:sz w:val="24"/>
          <w:szCs w:val="24"/>
        </w:rPr>
        <w:t>化产品回收及精制过程中产生的高浓度废水混合后一同送入蒸氨，最终以蒸氨废水形式由管道送至酚氰废水处理站进行集中处理；同时，焦化工序产生的轴承冷却水、地坪冲洗水等亦送入酚氰废水处理站进行处理。酚氰废水处理站处理能力100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/h，其处理工艺水采用的是“预处理+废水生化处理+废水深度净化处理”联合处理工艺。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企业实际运行情况，处理后的焦化废水虽然满足高炉冲渣用水、湿法熄焦补充水和烧结配料用水要求，但是还达不到中水的水质要求，在阴雨天气情况下，高炉冲渣与烧结配料用水不能完全消化这些处理后的焦化废水，只得暂时储存在废水调节池中等待以后消化。因此，企业需要对焦化废水处理工艺进行升级提标改造（改造内容为：在现有焦化废水预处理工序后面新增XL-强化预处理系统（AS装置）1套，将现有焦化废水处理的曝气头全部更换为XL-H悬插管式曝气装置；在现有焦化废水处理站最终出水处扩建1套100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的焦化废水中水处理系统，年产再生水57.6万吨），提标改造后，出水水质符合GB50335-2002《污水再生利用工程设计规范》中的再生水相关标准要求，其中处理后30%的浓盐水作为高炉冲渣水的补充水使用，其余70%的中水进入焦化新水管网，作为循环水系统的补充水使用。升级提标改造后的焦化废水仍然全部零排放。厂区于2017年5月26日获得芜湖市环境保护局环评批复（环内审[2017]169号），项目已建设完成，于2018年9月15日，通过企业自主验收。</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提标改造后酚氰废水处理站工艺流程如图</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.3-1所示。</w:t>
      </w:r>
    </w:p>
    <w:p>
      <w:pPr>
        <w:keepNext w:val="0"/>
        <w:keepLines w:val="0"/>
        <w:pageBreakBefore w:val="0"/>
        <w:kinsoku/>
        <w:wordWrap/>
        <w:bidi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object>
          <v:shape id="_x0000_i1047" o:spt="75" type="#_x0000_t75" style="height:584.4pt;width:402.6pt;" o:ole="t" filled="f" o:preferrelative="t" stroked="f" coordsize="21600,21600">
            <v:path/>
            <v:fill on="f" focussize="0,0"/>
            <v:stroke on="f" joinstyle="miter"/>
            <v:imagedata r:id="rId146" o:title=""/>
            <o:lock v:ext="edit" aspectratio="t"/>
            <w10:wrap type="none"/>
            <w10:anchorlock/>
          </v:shape>
          <o:OLEObject Type="Embed" ProgID="RFFlow4" ShapeID="_x0000_i1047" DrawAspect="Content" ObjectID="_1468075747" r:id="rId145">
            <o:LockedField>false</o:LockedField>
          </o:OLEObject>
        </w:object>
      </w:r>
    </w:p>
    <w:p>
      <w:pPr>
        <w:pStyle w:val="2"/>
        <w:keepNext w:val="0"/>
        <w:keepLines w:val="0"/>
        <w:pageBreakBefore w:val="0"/>
        <w:kinsoku/>
        <w:wordWrap/>
        <w:bidi w:val="0"/>
        <w:snapToGrid/>
        <w:spacing w:after="0" w:line="360" w:lineRule="auto"/>
        <w:jc w:val="center"/>
        <w:rPr>
          <w:rFonts w:ascii="Times New Roman" w:hAnsi="Times New Roman" w:eastAsia="黑体" w:cs="Times New Roman"/>
          <w:sz w:val="24"/>
        </w:rPr>
      </w:pPr>
      <w:r>
        <w:rPr>
          <w:rFonts w:ascii="Times New Roman" w:hAnsi="Times New Roman" w:eastAsia="黑体" w:cs="Times New Roman"/>
          <w:sz w:val="24"/>
        </w:rPr>
        <w:t>图</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.3-1  厂区改造后焦化酚氰废水处理站处理工艺流程图</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工艺说明：</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（1）预处理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主要目的是废水除油和水量调节，主要内容包括废水重力除油、浮选除油、水量调节、废油收集与处置等。来自蒸氨工段的蒸氨废水，直接送入除油池。其它污水，由其它污水泵提升后送入除油池。除油池出水，进入浮选装置进行气浮除油。</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（2）新增AS强化预处理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调节池出水进入新增的AS强化预处理系统，进一步的水解酸化和预处理高效菌种的训化，从而减轻后续主生化系统的处理负荷，提高整个系统的抗冲击能力，且能提高COD的总的去除率。</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（3）废水生化处理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废水生化处理由厌氧池、缺氧池、好氧池、二沉池、鼓风机室等设施组成。生化处理的主要目的是脱除废水中所含COD和氨氮，废水生化处理采用的是“厌氧/兼（缺）氧/好氧”（即A/F/O或称A/A/O）的双生物膜法/活性污泥法生物水解-前置反硝化生物脱氮工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厌氧和兼（缺）氧生化处理段采用的是上流式分区交替均与布水组合软填料生物膜兼氧异养菌厌氧反硝化脱氮工艺。厌氧段的主要功能是实现焦化废水水中某些化合物的生物水解。兼（缺）氧段的主要功能是实现硝化液的反硝化同时脱除废水中的部分有机物。在厌氧状态下，兼氧异养微生物在兼（缺）氧段，以焦化废水中的有机物为食物（供氢体），以回流硝化液中的NO</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vertAlign w:val="superscript"/>
        </w:rPr>
        <w:t>-</w:t>
      </w:r>
      <w:r>
        <w:rPr>
          <w:rFonts w:ascii="Times New Roman" w:hAnsi="Times New Roman" w:eastAsia="宋体" w:cs="Times New Roman"/>
          <w:bCs/>
          <w:sz w:val="24"/>
          <w:szCs w:val="24"/>
        </w:rPr>
        <w:t>为供氧体（即受氢体），进行厌氧呼吸，最终把有机物和NO</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vertAlign w:val="superscript"/>
        </w:rPr>
        <w:t>-</w:t>
      </w:r>
      <w:r>
        <w:rPr>
          <w:rFonts w:ascii="Times New Roman" w:hAnsi="Times New Roman" w:eastAsia="宋体" w:cs="Times New Roman"/>
          <w:bCs/>
          <w:sz w:val="24"/>
          <w:szCs w:val="24"/>
        </w:rPr>
        <w:t>分解成CO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、H</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O和N</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，实现了焦化废水的生物厌氧反硝化脱氮。因为该工艺的反硝化在硝化的前面，故称为前置反硝化。</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好氧段采用的是推流式延时微孔曝气活性污泥法好氧异养菌好氧氧化及好氧自养菌好氧硝化工艺。好氧段的主要作用是氧化兼（缺）氧反硝化段残留的COD类物质和实现氨氮的完全硝化。在好氧状态下，有如下两大生物过程：①好氧异养微生物和兼氧异养微生物利用厌氧反硝化段残留的有机物和含碳无机物为食物（即受氢体），以外界提供的空气中的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为供氧体（即受氢体），进行好氧呼吸，最终把残留的有机物和含碳无机物分解成CO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和H</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O，实现了焦化废水中残留COD类物质的好氧氧化；②化能好氧自养类微生物，利用NH</w:t>
      </w:r>
      <w:r>
        <w:rPr>
          <w:rFonts w:ascii="Times New Roman" w:hAnsi="Times New Roman" w:eastAsia="宋体" w:cs="Times New Roman"/>
          <w:bCs/>
          <w:sz w:val="24"/>
          <w:szCs w:val="24"/>
          <w:vertAlign w:val="subscript"/>
        </w:rPr>
        <w:t>4</w:t>
      </w:r>
      <w:r>
        <w:rPr>
          <w:rFonts w:ascii="Times New Roman" w:hAnsi="Times New Roman" w:eastAsia="宋体" w:cs="Times New Roman"/>
          <w:bCs/>
          <w:sz w:val="24"/>
          <w:szCs w:val="24"/>
          <w:vertAlign w:val="superscript"/>
        </w:rPr>
        <w:t>+</w:t>
      </w:r>
      <w:r>
        <w:rPr>
          <w:rFonts w:ascii="Times New Roman" w:hAnsi="Times New Roman" w:eastAsia="宋体" w:cs="Times New Roman"/>
          <w:bCs/>
          <w:sz w:val="24"/>
          <w:szCs w:val="24"/>
        </w:rPr>
        <w:t>或NO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vertAlign w:val="superscript"/>
        </w:rPr>
        <w:t>-</w:t>
      </w:r>
      <w:r>
        <w:rPr>
          <w:rFonts w:ascii="Times New Roman" w:hAnsi="Times New Roman" w:eastAsia="宋体" w:cs="Times New Roman"/>
          <w:bCs/>
          <w:sz w:val="24"/>
          <w:szCs w:val="24"/>
        </w:rPr>
        <w:t>作为供能体（即供能体或电子受体），以外界提供的O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为供氧体（即受氢体或电子受体），进行好氧呼吸，最终把NH</w:t>
      </w:r>
      <w:r>
        <w:rPr>
          <w:rFonts w:ascii="Times New Roman" w:hAnsi="Times New Roman" w:eastAsia="宋体" w:cs="Times New Roman"/>
          <w:bCs/>
          <w:sz w:val="24"/>
          <w:szCs w:val="24"/>
          <w:vertAlign w:val="subscript"/>
        </w:rPr>
        <w:t>4</w:t>
      </w:r>
      <w:r>
        <w:rPr>
          <w:rFonts w:ascii="Times New Roman" w:hAnsi="Times New Roman" w:eastAsia="宋体" w:cs="Times New Roman"/>
          <w:bCs/>
          <w:sz w:val="24"/>
          <w:szCs w:val="24"/>
          <w:vertAlign w:val="superscript"/>
        </w:rPr>
        <w:t>+</w:t>
      </w:r>
      <w:r>
        <w:rPr>
          <w:rFonts w:ascii="Times New Roman" w:hAnsi="Times New Roman" w:eastAsia="宋体" w:cs="Times New Roman"/>
          <w:bCs/>
          <w:sz w:val="24"/>
          <w:szCs w:val="24"/>
        </w:rPr>
        <w:t>和NO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vertAlign w:val="superscript"/>
        </w:rPr>
        <w:t>-</w:t>
      </w:r>
      <w:r>
        <w:rPr>
          <w:rFonts w:ascii="Times New Roman" w:hAnsi="Times New Roman" w:eastAsia="宋体" w:cs="Times New Roman"/>
          <w:bCs/>
          <w:sz w:val="24"/>
          <w:szCs w:val="24"/>
        </w:rPr>
        <w:t>分别转化为NO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vertAlign w:val="superscript"/>
        </w:rPr>
        <w:t>-</w:t>
      </w:r>
      <w:r>
        <w:rPr>
          <w:rFonts w:ascii="Times New Roman" w:hAnsi="Times New Roman" w:eastAsia="宋体" w:cs="Times New Roman"/>
          <w:bCs/>
          <w:sz w:val="24"/>
          <w:szCs w:val="24"/>
        </w:rPr>
        <w:t>和NO</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vertAlign w:val="superscript"/>
        </w:rPr>
        <w:t>-</w:t>
      </w:r>
      <w:r>
        <w:rPr>
          <w:rFonts w:ascii="Times New Roman" w:hAnsi="Times New Roman" w:eastAsia="宋体" w:cs="Times New Roman"/>
          <w:bCs/>
          <w:sz w:val="24"/>
          <w:szCs w:val="24"/>
        </w:rPr>
        <w:t>，从而实现了NH</w:t>
      </w:r>
      <w:r>
        <w:rPr>
          <w:rFonts w:ascii="Times New Roman" w:hAnsi="Times New Roman" w:eastAsia="宋体" w:cs="Times New Roman"/>
          <w:bCs/>
          <w:sz w:val="24"/>
          <w:szCs w:val="24"/>
          <w:vertAlign w:val="subscript"/>
        </w:rPr>
        <w:t>4</w:t>
      </w:r>
      <w:r>
        <w:rPr>
          <w:rFonts w:ascii="Times New Roman" w:hAnsi="Times New Roman" w:eastAsia="宋体" w:cs="Times New Roman"/>
          <w:bCs/>
          <w:sz w:val="24"/>
          <w:szCs w:val="24"/>
          <w:vertAlign w:val="superscript"/>
        </w:rPr>
        <w:t>+</w:t>
      </w:r>
      <w:r>
        <w:rPr>
          <w:rFonts w:ascii="Times New Roman" w:hAnsi="Times New Roman" w:eastAsia="宋体" w:cs="Times New Roman"/>
          <w:bCs/>
          <w:sz w:val="24"/>
          <w:szCs w:val="24"/>
        </w:rPr>
        <w:t>的完全硝化。</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好氧池出水进入二沉池进行泥水分离，分离后的活性污泥大部分返回到好氧生物处理系统，少量的剩余污泥送污泥处理系统。二沉池出水大部分送回到兼（缺）氧段为生物反硝化提供硝化液，多余部分送到混凝沉淀进行处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硝化液回流量为生化处理水量的300%以上，故脱氮率大于67%。 </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（4）新增HOK生物流化床</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双系二沉池出水进入以砂（或无烟煤、活性炭等）作</w:t>
      </w:r>
      <w:r>
        <w:fldChar w:fldCharType="begin"/>
      </w:r>
      <w:r>
        <w:instrText xml:space="preserve"> HYPERLINK "http://baike.baidu.com/item/%E5%A1%AB%E6%96%99" \t "_blank" </w:instrText>
      </w:r>
      <w:r>
        <w:fldChar w:fldCharType="separate"/>
      </w:r>
      <w:r>
        <w:rPr>
          <w:rFonts w:ascii="Times New Roman" w:hAnsi="Times New Roman" w:eastAsia="宋体" w:cs="Times New Roman"/>
          <w:bCs/>
          <w:sz w:val="24"/>
          <w:szCs w:val="24"/>
        </w:rPr>
        <w:t>填料</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的生物流化床，废水自下向上流过砂床使载体层呈流动状态，从而在单位时间加大生物膜同废水的接触面积和充分供氧，并利用填料沸腾状态强化废水生物处理效果。</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（5）混凝沉淀处理</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絮凝沉淀处理是将高效絮凝剂加入污水中，通过絮凝剂对污水进行脱色，絮凝，降解COD</w:t>
      </w:r>
      <w:r>
        <w:rPr>
          <w:rFonts w:ascii="Times New Roman" w:hAnsi="Times New Roman" w:eastAsia="宋体" w:cs="Times New Roman"/>
          <w:bCs/>
          <w:sz w:val="24"/>
          <w:szCs w:val="24"/>
          <w:vertAlign w:val="subscript"/>
        </w:rPr>
        <w:t>Cr</w:t>
      </w:r>
      <w:r>
        <w:rPr>
          <w:rFonts w:ascii="Times New Roman" w:hAnsi="Times New Roman" w:eastAsia="宋体" w:cs="Times New Roman"/>
          <w:bCs/>
          <w:sz w:val="24"/>
          <w:szCs w:val="24"/>
        </w:rPr>
        <w:t>，以保证污水达标排放。絮凝沉淀处理由加药池、机械混合池、混凝沉淀池组成。二沉池处理后出水自流进入加药池，在此加入高效絮凝剂，通过机械搅拌，在混合池内将高效絮凝剂与污水充分混合，混合后的出水自流至混凝沉淀池中，通过自然沉淀达到固液分离的目的，同时去除了一部分有机污染物。经过混凝沉淀池后的出水由泵加压外送至高炉冲渣及烧结配料。</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（6）新增超滤与反渗透</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经生化工艺和HOK处理及沉淀后的焦化废水进入清水池，再经过自清洗过滤器、浸没式超滤、反渗透等装置，最终产水进入焦化循环水补充水系统，反渗透后的浓盐水由管道接入高炉冲渣水的补充水系统。</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（7）水质指标及处理效果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①生化处理系统水质指标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a.高浓度原废水（蒸氨废水）水质如下：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COD</w:t>
      </w:r>
      <w:r>
        <w:rPr>
          <w:rFonts w:ascii="Times New Roman" w:hAnsi="Times New Roman" w:eastAsia="宋体" w:cs="Times New Roman"/>
          <w:sz w:val="24"/>
          <w:szCs w:val="24"/>
          <w:vertAlign w:val="subscript"/>
        </w:rPr>
        <w:t xml:space="preserve">Cr </w:t>
      </w:r>
      <w:r>
        <w:rPr>
          <w:rFonts w:ascii="Times New Roman" w:hAnsi="Times New Roman" w:eastAsia="宋体" w:cs="Times New Roman"/>
          <w:sz w:val="24"/>
          <w:szCs w:val="24"/>
        </w:rPr>
        <w:t xml:space="preserve">              3000~4000 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 xml:space="preserve">-N               100~200mg/L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油                   80~100 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氰化物               5~20mg/L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挥发酚               300~500 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b.生化处理后水质如下：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pH                    6.5~7.5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COD</w:t>
      </w:r>
      <w:r>
        <w:rPr>
          <w:rFonts w:ascii="Times New Roman" w:hAnsi="Times New Roman" w:eastAsia="宋体" w:cs="Times New Roman"/>
          <w:sz w:val="24"/>
          <w:szCs w:val="24"/>
          <w:vertAlign w:val="subscript"/>
        </w:rPr>
        <w:t>Cr</w:t>
      </w:r>
      <w:r>
        <w:rPr>
          <w:rFonts w:ascii="Times New Roman" w:hAnsi="Times New Roman" w:eastAsia="宋体" w:cs="Times New Roman"/>
          <w:sz w:val="24"/>
          <w:szCs w:val="24"/>
        </w:rPr>
        <w:t xml:space="preserve">                 150~160 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 xml:space="preserve">-N                 ≤5mg/L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油                    ≤5 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氰化物                ≤0.2mg/L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挥发酚                ≤0.5 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硫化物                ≤1mg/L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SS                    ≤70 mg/L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②混凝沉淀处理水质指标 </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混凝沉淀处理后出水水质可达到《炼焦化学工业污染物排放标准》（GB16171-2012）规定的排放标准，即焦化废水经废水处理后用于高炉冲渣和烧结混料等的水质。</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sz w:val="24"/>
          <w:szCs w:val="24"/>
        </w:rPr>
        <w:t>为避免焦化废水非正常排放，焦化设调节事故池，</w:t>
      </w:r>
      <w:r>
        <w:rPr>
          <w:rFonts w:ascii="Times New Roman" w:hAnsi="Times New Roman" w:eastAsia="宋体" w:cs="Times New Roman"/>
          <w:kern w:val="0"/>
          <w:sz w:val="24"/>
          <w:szCs w:val="24"/>
        </w:rPr>
        <w:t>储存时间约23h。</w:t>
      </w:r>
    </w:p>
    <w:p>
      <w:pPr>
        <w:keepNext w:val="0"/>
        <w:keepLines w:val="0"/>
        <w:pageBreakBefore w:val="0"/>
        <w:kinsoku/>
        <w:wordWrap/>
        <w:bidi w:val="0"/>
        <w:snapToGrid/>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sz w:val="24"/>
          <w:szCs w:val="24"/>
        </w:rPr>
        <w:t>改造后酚氰废水处理站出水水质符合《污水再生利用工程设计规范》（GB50335-2002）中的再生水相关标准要求，中水可全部作为焦化循环水系统的补充水使用，超滤、反渗透后的产生的浓盐水作为高炉冲渣水的补充水使用，不外排。</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.3.2全厂废水处理工艺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厂区废水现状实行“零”排放，厂区根据各生产工序生产过程中排出的生产废水、生活污水的水量、水质条件，设全厂综合污水处理站1座，其中生活污水的小时平均处理能力为100m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/h，生产废水的小时平均处理能力为400m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/h，污水深度除盐处理规模150m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/h；为减少厂区浓盐水产生量，设置浓水反渗透系统，其处理规模为100m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1</w:t>
      </w:r>
      <w:r>
        <w:rPr>
          <w:rFonts w:ascii="Times New Roman" w:hAnsi="Times New Roman" w:eastAsia="宋体" w:cs="Times New Roman"/>
          <w:sz w:val="24"/>
          <w:szCs w:val="24"/>
        </w:rPr>
        <w:t>）生产废水综合物化处理系统</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废水经格栅进入调节池与经</w:t>
      </w:r>
      <w:r>
        <w:rPr>
          <w:rFonts w:hint="eastAsia" w:ascii="Times New Roman" w:hAnsi="Times New Roman" w:eastAsia="宋体" w:cs="Times New Roman"/>
          <w:sz w:val="24"/>
          <w:szCs w:val="24"/>
          <w:lang w:eastAsia="zh-CN"/>
        </w:rPr>
        <w:t>化粪池</w:t>
      </w:r>
      <w:r>
        <w:rPr>
          <w:rFonts w:ascii="Times New Roman" w:hAnsi="Times New Roman" w:eastAsia="宋体" w:cs="Times New Roman"/>
          <w:sz w:val="24"/>
          <w:szCs w:val="24"/>
        </w:rPr>
        <w:t>处理后的生活污水混合，由潜污泵提升至混凝池，投加混凝剂、石灰（去除暂硬），再进入絮凝池，投加絮凝剂，采用机械搅拌进行混合反应后，进入高效澄清池，经沉淀分离后的水进入出水槽，投加硫酸调整pH到7~8.5，再进入滤池进行过滤，经消毒剂消毒后，滤池出水进入回用水池，经供水泵加压送至厂区回用水管网，作为原料场抑尘、烧结皮带除尘、地坪冲洗、高炉冲渣、炼钢/轧钢浊环水系统补水、铸管沙浆制备系统补水等；进入深度除盐处理系统，制备除盐水。生产废水综合物化处理系统工艺配备污水调节池1座、混凝池1座、高效澄清池2座、pH调节池1座、滤池4座、反冲洗水池1座。</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高效澄清池底部沉淀泥浆送入污泥处理系统处理，泥浆用泵送至污泥脱水间调节池，通过给料泵，送至压滤机进行脱水。压滤机滤液和冲洗水通过生产排水管自流返回至生产污水调节池进行处理。该套工艺配备污泥调节池2座、压滤机2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生产废水处理系统工艺流程见图</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，污泥处理系统见图</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3</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ind w:left="-420" w:leftChars="-200"/>
        <w:jc w:val="center"/>
        <w:rPr>
          <w:rFonts w:ascii="Times New Roman" w:hAnsi="Times New Roman" w:eastAsia="宋体" w:cs="Times New Roman"/>
          <w:sz w:val="24"/>
          <w:szCs w:val="24"/>
        </w:rPr>
      </w:pPr>
      <w:r>
        <w:rPr>
          <w:rFonts w:ascii="Times New Roman" w:hAnsi="Times New Roman" w:eastAsia="宋体" w:cs="Times New Roman"/>
          <w:sz w:val="24"/>
          <w:szCs w:val="24"/>
        </w:rPr>
        <w:object>
          <v:shape id="_x0000_i1048" o:spt="75" type="#_x0000_t75" style="height:219.6pt;width:487.2pt;" o:ole="t" filled="f" o:preferrelative="t" stroked="f" coordsize="21600,21600">
            <v:path/>
            <v:fill on="f" focussize="0,0"/>
            <v:stroke on="f" joinstyle="miter"/>
            <v:imagedata r:id="rId148" o:title=""/>
            <o:lock v:ext="edit" aspectratio="t"/>
            <w10:wrap type="none"/>
            <w10:anchorlock/>
          </v:shape>
          <o:OLEObject Type="Embed" ProgID="RFFlow4" ShapeID="_x0000_i1048" DrawAspect="Content" ObjectID="_1468075748" r:id="rId147">
            <o:LockedField>false</o:LockedField>
          </o:OLEObject>
        </w:object>
      </w:r>
      <w:r>
        <w:rPr>
          <w:rFonts w:ascii="Times New Roman" w:hAnsi="Times New Roman" w:eastAsia="黑体" w:cs="Times New Roman"/>
          <w:sz w:val="24"/>
        </w:rPr>
        <w:t>图</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w:t>
      </w:r>
      <w:r>
        <w:rPr>
          <w:rFonts w:hint="eastAsia" w:ascii="Times New Roman" w:hAnsi="Times New Roman" w:eastAsia="黑体" w:cs="Times New Roman"/>
          <w:sz w:val="24"/>
          <w:lang w:val="en-US" w:eastAsia="zh-CN"/>
        </w:rPr>
        <w:t>2</w:t>
      </w:r>
      <w:r>
        <w:rPr>
          <w:rFonts w:ascii="Times New Roman" w:hAnsi="Times New Roman" w:eastAsia="黑体" w:cs="Times New Roman"/>
          <w:sz w:val="24"/>
        </w:rPr>
        <w:t xml:space="preserve">  生产废水处理系统工艺流程图</w:t>
      </w:r>
    </w:p>
    <w:p>
      <w:pPr>
        <w:keepNext w:val="0"/>
        <w:keepLines w:val="0"/>
        <w:pageBreakBefore w:val="0"/>
        <w:kinsoku/>
        <w:wordWrap/>
        <w:bidi w:val="0"/>
        <w:snapToGrid/>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object>
          <v:shape id="_x0000_i1049" o:spt="75" type="#_x0000_t75" style="height:49.2pt;width:393pt;" o:ole="t" filled="f" o:preferrelative="t" stroked="f" coordsize="21600,21600">
            <v:path/>
            <v:fill on="f" focussize="0,0"/>
            <v:stroke on="f" joinstyle="miter"/>
            <v:imagedata r:id="rId150" o:title=""/>
            <o:lock v:ext="edit" aspectratio="t"/>
            <w10:wrap type="none"/>
            <w10:anchorlock/>
          </v:shape>
          <o:OLEObject Type="Embed" ProgID="RFFlow4" ShapeID="_x0000_i1049" DrawAspect="Content" ObjectID="_1468075749" r:id="rId149">
            <o:LockedField>false</o:LockedField>
          </o:OLEObject>
        </w:object>
      </w:r>
    </w:p>
    <w:p>
      <w:pPr>
        <w:keepNext w:val="0"/>
        <w:keepLines w:val="0"/>
        <w:pageBreakBefore w:val="0"/>
        <w:kinsoku/>
        <w:wordWrap/>
        <w:bidi w:val="0"/>
        <w:snapToGrid/>
        <w:spacing w:line="360" w:lineRule="auto"/>
        <w:jc w:val="center"/>
        <w:rPr>
          <w:rFonts w:ascii="Times New Roman" w:hAnsi="Times New Roman" w:eastAsia="宋体" w:cs="Times New Roman"/>
          <w:sz w:val="24"/>
          <w:szCs w:val="24"/>
        </w:rPr>
      </w:pPr>
      <w:r>
        <w:rPr>
          <w:rFonts w:ascii="Times New Roman" w:hAnsi="Times New Roman" w:eastAsia="黑体" w:cs="Times New Roman"/>
          <w:sz w:val="24"/>
        </w:rPr>
        <w:t>图</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w:t>
      </w:r>
      <w:r>
        <w:rPr>
          <w:rFonts w:hint="eastAsia" w:ascii="Times New Roman" w:hAnsi="Times New Roman" w:eastAsia="黑体" w:cs="Times New Roman"/>
          <w:sz w:val="24"/>
          <w:lang w:val="en-US" w:eastAsia="zh-CN"/>
        </w:rPr>
        <w:t>3</w:t>
      </w:r>
      <w:r>
        <w:rPr>
          <w:rFonts w:ascii="Times New Roman" w:hAnsi="Times New Roman" w:eastAsia="黑体" w:cs="Times New Roman"/>
          <w:sz w:val="24"/>
        </w:rPr>
        <w:t xml:space="preserve">  污泥处理系统工艺流程图</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）深度除盐处理系统及浓水反渗透系统</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深度除盐处理统进水，采用超滤+反渗透（UF+RO）双膜法工艺，污水经超滤装置预处理后，渗透液进入反渗透装置进一步脱盐、去污，制备成除盐水，同时产生浓盐水；该浓盐水同软水站、除盐水站产生的浓盐水，经专用管道送至浓水反渗透系统，该系统产水作为生产新水补水，最终产生浓盐水经专用管道送至原料场洒水、炼铁浊环系统、转炉炼钢焖渣、电炉炼钢泼渣。深度除盐处理系统工艺及浓水反渗透系统工艺流程见图</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4</w:t>
      </w:r>
      <w:r>
        <w:rPr>
          <w:rFonts w:ascii="Times New Roman" w:hAnsi="Times New Roman" w:eastAsia="宋体" w:cs="Times New Roman"/>
          <w:sz w:val="24"/>
          <w:szCs w:val="24"/>
        </w:rPr>
        <w:t>。</w:t>
      </w:r>
    </w:p>
    <w:p>
      <w:pPr>
        <w:keepNext w:val="0"/>
        <w:keepLines w:val="0"/>
        <w:pageBreakBefore w:val="0"/>
        <w:kinsoku/>
        <w:wordWrap/>
        <w:bidi w:val="0"/>
        <w:snapToGrid/>
        <w:spacing w:line="360" w:lineRule="auto"/>
        <w:ind w:left="-630" w:leftChars="-300"/>
        <w:jc w:val="center"/>
        <w:rPr>
          <w:rFonts w:ascii="Times New Roman" w:hAnsi="Times New Roman" w:eastAsia="宋体" w:cs="Times New Roman"/>
          <w:sz w:val="24"/>
          <w:szCs w:val="24"/>
        </w:rPr>
      </w:pPr>
      <w:r>
        <w:rPr>
          <w:rFonts w:ascii="Times New Roman" w:hAnsi="Times New Roman" w:eastAsia="宋体" w:cs="Times New Roman"/>
          <w:sz w:val="24"/>
          <w:szCs w:val="24"/>
        </w:rPr>
        <w:object>
          <v:shape id="_x0000_i1050" o:spt="75" type="#_x0000_t75" style="height:172.8pt;width:505.8pt;" o:ole="t" filled="f" o:preferrelative="t" stroked="f" coordsize="21600,21600">
            <v:path/>
            <v:fill on="f" focussize="0,0"/>
            <v:stroke on="f" joinstyle="miter"/>
            <v:imagedata r:id="rId152" o:title=""/>
            <o:lock v:ext="edit" aspectratio="t"/>
            <w10:wrap type="none"/>
            <w10:anchorlock/>
          </v:shape>
          <o:OLEObject Type="Embed" ProgID="RFFlow4" ShapeID="_x0000_i1050" DrawAspect="Content" ObjectID="_1468075750" r:id="rId151">
            <o:LockedField>false</o:LockedField>
          </o:OLEObject>
        </w:object>
      </w:r>
    </w:p>
    <w:p>
      <w:pPr>
        <w:keepNext w:val="0"/>
        <w:keepLines w:val="0"/>
        <w:pageBreakBefore w:val="0"/>
        <w:kinsoku/>
        <w:wordWrap/>
        <w:bidi w:val="0"/>
        <w:snapToGrid/>
        <w:spacing w:line="360" w:lineRule="auto"/>
        <w:jc w:val="center"/>
        <w:rPr>
          <w:rFonts w:ascii="Times New Roman" w:hAnsi="Times New Roman" w:eastAsia="宋体" w:cs="Times New Roman"/>
          <w:sz w:val="24"/>
          <w:szCs w:val="24"/>
        </w:rPr>
      </w:pPr>
      <w:r>
        <w:rPr>
          <w:rFonts w:ascii="Times New Roman" w:hAnsi="Times New Roman" w:eastAsia="黑体" w:cs="Times New Roman"/>
          <w:sz w:val="24"/>
        </w:rPr>
        <w:t>图</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w:t>
      </w:r>
      <w:r>
        <w:rPr>
          <w:rFonts w:hint="eastAsia" w:ascii="Times New Roman" w:hAnsi="Times New Roman" w:eastAsia="黑体" w:cs="Times New Roman"/>
          <w:sz w:val="24"/>
          <w:lang w:val="en-US" w:eastAsia="zh-CN"/>
        </w:rPr>
        <w:t>4</w:t>
      </w:r>
      <w:r>
        <w:rPr>
          <w:rFonts w:ascii="Times New Roman" w:hAnsi="Times New Roman" w:eastAsia="黑体" w:cs="Times New Roman"/>
          <w:sz w:val="24"/>
        </w:rPr>
        <w:t xml:space="preserve">  深度除盐处理系统及浓水反渗透系统工艺流程图</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7</w:t>
      </w:r>
      <w:r>
        <w:rPr>
          <w:rFonts w:ascii="Times New Roman" w:hAnsi="Times New Roman" w:eastAsia="黑体" w:cs="Times New Roman"/>
          <w:sz w:val="24"/>
          <w:szCs w:val="24"/>
        </w:rPr>
        <w:t>.3.3全厂废水达标处理分析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厂区生产新水（给水处理站处理后）水质见表</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.3-1，生产废水、生活污水处理前水质指标见表</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.3-2和表</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.3-3，生活污水</w:t>
      </w:r>
      <w:r>
        <w:rPr>
          <w:rFonts w:hint="eastAsia" w:ascii="Times New Roman" w:hAnsi="Times New Roman" w:eastAsia="宋体" w:cs="Times New Roman"/>
          <w:sz w:val="24"/>
          <w:szCs w:val="24"/>
          <w:lang w:eastAsia="zh-CN"/>
        </w:rPr>
        <w:t>经化粪池</w:t>
      </w:r>
      <w:r>
        <w:rPr>
          <w:rFonts w:ascii="Times New Roman" w:hAnsi="Times New Roman" w:eastAsia="宋体" w:cs="Times New Roman"/>
          <w:sz w:val="24"/>
          <w:szCs w:val="24"/>
        </w:rPr>
        <w:t>处理后出水水质指标见表</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.3-4，生产废水、生活污水混合物化处理水质达到回用水标准（水质指标见表</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.3-5），部分回用于各生产工序，部分进入深度处理除盐系统，除盐水水质指标见表</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.3-6</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浓盐水水质指标见表</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.3-7。</w:t>
      </w:r>
    </w:p>
    <w:p>
      <w:pPr>
        <w:keepNext w:val="0"/>
        <w:keepLines w:val="0"/>
        <w:pageBreakBefore w:val="0"/>
        <w:kinsoku/>
        <w:wordWrap/>
        <w:bidi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.3-1  厂区生产新水（给水处理站处理后）水质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49"/>
        <w:gridCol w:w="2972"/>
        <w:gridCol w:w="1751"/>
        <w:gridCol w:w="1750"/>
        <w:gridCol w:w="1749"/>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blHeader/>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序号</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项目</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单位</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生产新水</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备注</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pH</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7.0~8.5</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悬浮物</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＜5</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浊度</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NTU</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4</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总硬度(以CaCO</w:t>
            </w:r>
            <w:r>
              <w:rPr>
                <w:szCs w:val="21"/>
                <w:vertAlign w:val="subscript"/>
              </w:rPr>
              <w:t>3</w:t>
            </w:r>
            <w:r>
              <w:rPr>
                <w:szCs w:val="21"/>
              </w:rPr>
              <w:t>)</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100</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5</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碳酸盐硬度(以CaCO</w:t>
            </w:r>
            <w:r>
              <w:rPr>
                <w:szCs w:val="21"/>
                <w:vertAlign w:val="subscript"/>
              </w:rPr>
              <w:t>3</w:t>
            </w:r>
            <w:r>
              <w:rPr>
                <w:szCs w:val="21"/>
              </w:rPr>
              <w:t>)</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≤60</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6</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非碳酸盐硬度(以CaCO</w:t>
            </w:r>
            <w:r>
              <w:rPr>
                <w:szCs w:val="21"/>
                <w:vertAlign w:val="subscript"/>
              </w:rPr>
              <w:t>3</w:t>
            </w:r>
            <w:r>
              <w:rPr>
                <w:szCs w:val="21"/>
              </w:rPr>
              <w:t>)</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color w:val="FF0000"/>
                <w:szCs w:val="21"/>
              </w:rPr>
            </w:pPr>
            <w:r>
              <w:rPr>
                <w:szCs w:val="21"/>
              </w:rPr>
              <w:t>≤40</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color w:val="FF0000"/>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7</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钙硬度(以CaCO</w:t>
            </w:r>
            <w:r>
              <w:rPr>
                <w:szCs w:val="21"/>
                <w:vertAlign w:val="subscript"/>
              </w:rPr>
              <w:t>3</w:t>
            </w:r>
            <w:r>
              <w:rPr>
                <w:szCs w:val="21"/>
              </w:rPr>
              <w:t>)</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80</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8</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总碱度(以CaCO</w:t>
            </w:r>
            <w:r>
              <w:rPr>
                <w:szCs w:val="21"/>
                <w:vertAlign w:val="subscript"/>
              </w:rPr>
              <w:t>3</w:t>
            </w:r>
            <w:r>
              <w:rPr>
                <w:szCs w:val="21"/>
              </w:rPr>
              <w:t>)</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≤60</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9</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总鉄</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0.03</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10</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溶解总固体</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464</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11</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电导率</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μs/cm</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468</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12</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石油类</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0.1</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13</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溶解氧</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8.1</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14</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COD</w:t>
            </w:r>
            <w:r>
              <w:rPr>
                <w:szCs w:val="21"/>
                <w:vertAlign w:val="subscript"/>
              </w:rPr>
              <w:t>cr</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8</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15</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全硅(SiO</w:t>
            </w:r>
            <w:r>
              <w:rPr>
                <w:szCs w:val="21"/>
                <w:vertAlign w:val="subscript"/>
              </w:rPr>
              <w:t>2</w:t>
            </w:r>
            <w:r>
              <w:rPr>
                <w:szCs w:val="21"/>
              </w:rPr>
              <w:t>)</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5.10</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16</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总磷(以P计)</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0.029</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17</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Fe</w:t>
            </w:r>
            <w:r>
              <w:rPr>
                <w:szCs w:val="21"/>
                <w:vertAlign w:val="superscript"/>
              </w:rPr>
              <w:t>2+</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0</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18</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Fe</w:t>
            </w:r>
            <w:r>
              <w:rPr>
                <w:szCs w:val="21"/>
                <w:vertAlign w:val="superscript"/>
              </w:rPr>
              <w:t>3+</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＜0.03</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19</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Cl</w:t>
            </w:r>
            <w:r>
              <w:rPr>
                <w:szCs w:val="21"/>
                <w:vertAlign w:val="superscript"/>
              </w:rPr>
              <w:t>-</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5.01</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84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20</w:t>
            </w:r>
          </w:p>
        </w:tc>
        <w:tc>
          <w:tcPr>
            <w:tcW w:w="297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SO</w:t>
            </w:r>
            <w:r>
              <w:rPr>
                <w:szCs w:val="21"/>
                <w:vertAlign w:val="subscript"/>
              </w:rPr>
              <w:t>4</w:t>
            </w:r>
            <w:r>
              <w:rPr>
                <w:szCs w:val="21"/>
                <w:vertAlign w:val="superscript"/>
              </w:rPr>
              <w:t>2-</w:t>
            </w:r>
          </w:p>
        </w:tc>
        <w:tc>
          <w:tcPr>
            <w:tcW w:w="175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50" w:type="dxa"/>
            <w:tcBorders>
              <w:tl2br w:val="nil"/>
              <w:tr2bl w:val="nil"/>
            </w:tcBorders>
            <w:vAlign w:val="center"/>
          </w:tcPr>
          <w:p>
            <w:pPr>
              <w:pStyle w:val="41"/>
              <w:keepNext w:val="0"/>
              <w:keepLines w:val="0"/>
              <w:pageBreakBefore w:val="0"/>
              <w:kinsoku/>
              <w:wordWrap/>
              <w:bidi w:val="0"/>
              <w:snapToGrid/>
              <w:spacing w:line="240" w:lineRule="auto"/>
              <w:rPr>
                <w:color w:val="FF0000"/>
                <w:szCs w:val="21"/>
              </w:rPr>
            </w:pPr>
            <w:r>
              <w:rPr>
                <w:szCs w:val="21"/>
              </w:rPr>
              <w:t>43</w:t>
            </w:r>
          </w:p>
        </w:tc>
        <w:tc>
          <w:tcPr>
            <w:tcW w:w="1749" w:type="dxa"/>
            <w:tcBorders>
              <w:tl2br w:val="nil"/>
              <w:tr2bl w:val="nil"/>
            </w:tcBorders>
            <w:vAlign w:val="center"/>
          </w:tcPr>
          <w:p>
            <w:pPr>
              <w:pStyle w:val="41"/>
              <w:keepNext w:val="0"/>
              <w:keepLines w:val="0"/>
              <w:pageBreakBefore w:val="0"/>
              <w:kinsoku/>
              <w:wordWrap/>
              <w:bidi w:val="0"/>
              <w:snapToGrid/>
              <w:spacing w:line="240" w:lineRule="auto"/>
              <w:rPr>
                <w:color w:val="FF0000"/>
                <w:szCs w:val="21"/>
              </w:rPr>
            </w:pPr>
          </w:p>
        </w:tc>
      </w:tr>
    </w:tbl>
    <w:p>
      <w:pPr>
        <w:keepNext w:val="0"/>
        <w:keepLines w:val="0"/>
        <w:pageBreakBefore w:val="0"/>
        <w:kinsoku/>
        <w:wordWrap/>
        <w:bidi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.3-2  排入全厂综合污水处理站的生产废水水质指标</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
      <w:tblGrid>
        <w:gridCol w:w="839"/>
        <w:gridCol w:w="2985"/>
        <w:gridCol w:w="1755"/>
        <w:gridCol w:w="1740"/>
        <w:gridCol w:w="17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tblHeader/>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序号</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项目</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单位</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指标</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b/>
                <w:bCs/>
                <w:szCs w:val="21"/>
              </w:rPr>
            </w:pPr>
            <w:r>
              <w:rPr>
                <w:b/>
                <w:bCs/>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pH</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6.5～9.0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SS</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50～100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最大200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COD</w:t>
            </w:r>
            <w:r>
              <w:rPr>
                <w:szCs w:val="21"/>
                <w:vertAlign w:val="subscript"/>
              </w:rPr>
              <w:t>Cr</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＜100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4</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BOD</w:t>
            </w:r>
            <w:r>
              <w:rPr>
                <w:szCs w:val="21"/>
                <w:vertAlign w:val="subscript"/>
              </w:rPr>
              <w:t>5</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5</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油</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10～20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通常为下限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6</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总硬度</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300～500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以CaCO</w:t>
            </w:r>
            <w:r>
              <w:rPr>
                <w:szCs w:val="21"/>
                <w:vertAlign w:val="subscript"/>
              </w:rPr>
              <w:t>3</w:t>
            </w:r>
            <w:r>
              <w:rPr>
                <w:szCs w:val="21"/>
              </w:rP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7</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暂时硬度</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150～300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以CaCO</w:t>
            </w:r>
            <w:r>
              <w:rPr>
                <w:szCs w:val="21"/>
                <w:vertAlign w:val="subscript"/>
              </w:rPr>
              <w:t>3</w:t>
            </w:r>
            <w:r>
              <w:rPr>
                <w:szCs w:val="21"/>
              </w:rP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8</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钙硬度</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250～350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以CaCO</w:t>
            </w:r>
            <w:r>
              <w:rPr>
                <w:szCs w:val="21"/>
                <w:vertAlign w:val="subscript"/>
              </w:rPr>
              <w:t>3</w:t>
            </w:r>
            <w:r>
              <w:rPr>
                <w:szCs w:val="21"/>
              </w:rP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9</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镁硬度</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150～200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以CaCO</w:t>
            </w:r>
            <w:r>
              <w:rPr>
                <w:szCs w:val="21"/>
                <w:vertAlign w:val="subscript"/>
              </w:rPr>
              <w:t>3</w:t>
            </w:r>
            <w:r>
              <w:rPr>
                <w:szCs w:val="21"/>
              </w:rP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10</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总碱度</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150～300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以CaCO</w:t>
            </w:r>
            <w:r>
              <w:rPr>
                <w:szCs w:val="21"/>
                <w:vertAlign w:val="subscript"/>
              </w:rPr>
              <w:t>3</w:t>
            </w:r>
            <w:r>
              <w:rPr>
                <w:szCs w:val="21"/>
              </w:rP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11</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含盐量</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＜1200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12</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电导率</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bCs/>
                <w:szCs w:val="21"/>
              </w:rPr>
              <w:t>μs/cm</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1525</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13</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总铁</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＜0.2</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14</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Cl</w:t>
            </w:r>
            <w:r>
              <w:rPr>
                <w:szCs w:val="21"/>
                <w:vertAlign w:val="superscript"/>
              </w:rPr>
              <w:t>-</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＜25</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15</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SO</w:t>
            </w:r>
            <w:r>
              <w:rPr>
                <w:szCs w:val="21"/>
                <w:vertAlign w:val="subscript"/>
              </w:rPr>
              <w:t>4</w:t>
            </w:r>
            <w:r>
              <w:rPr>
                <w:szCs w:val="21"/>
                <w:vertAlign w:val="superscript"/>
              </w:rPr>
              <w:t>2-</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mg/L</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＜180</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16</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温度</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w:t>
            </w:r>
          </w:p>
        </w:tc>
        <w:tc>
          <w:tcPr>
            <w:tcW w:w="174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＜35</w:t>
            </w:r>
          </w:p>
        </w:tc>
        <w:tc>
          <w:tcPr>
            <w:tcW w:w="1752" w:type="dxa"/>
            <w:tcBorders>
              <w:tl2br w:val="nil"/>
              <w:tr2bl w:val="nil"/>
            </w:tcBorders>
            <w:vAlign w:val="center"/>
          </w:tcPr>
          <w:p>
            <w:pPr>
              <w:pStyle w:val="41"/>
              <w:keepNext w:val="0"/>
              <w:keepLines w:val="0"/>
              <w:pageBreakBefore w:val="0"/>
              <w:kinsoku/>
              <w:wordWrap/>
              <w:bidi w:val="0"/>
              <w:snapToGrid/>
              <w:spacing w:line="240" w:lineRule="auto"/>
              <w:rPr>
                <w:szCs w:val="21"/>
              </w:rPr>
            </w:pPr>
          </w:p>
        </w:tc>
      </w:tr>
    </w:tbl>
    <w:p>
      <w:pPr>
        <w:keepNext w:val="0"/>
        <w:keepLines w:val="0"/>
        <w:pageBreakBefore w:val="0"/>
        <w:kinsoku/>
        <w:wordWrap/>
        <w:bidi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.3-3  排入全厂污水处理站的生活污水主要水质指标</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
      <w:tblGrid>
        <w:gridCol w:w="839"/>
        <w:gridCol w:w="3015"/>
        <w:gridCol w:w="1755"/>
        <w:gridCol w:w="34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tblHeader/>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序号</w:t>
            </w:r>
          </w:p>
        </w:tc>
        <w:tc>
          <w:tcPr>
            <w:tcW w:w="301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项目</w:t>
            </w:r>
          </w:p>
        </w:tc>
        <w:tc>
          <w:tcPr>
            <w:tcW w:w="175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单位</w:t>
            </w:r>
          </w:p>
        </w:tc>
        <w:tc>
          <w:tcPr>
            <w:tcW w:w="3462"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3015" w:type="dxa"/>
            <w:tcBorders>
              <w:tl2br w:val="nil"/>
              <w:tr2bl w:val="nil"/>
            </w:tcBorders>
            <w:vAlign w:val="center"/>
          </w:tcPr>
          <w:p>
            <w:pPr>
              <w:pStyle w:val="41"/>
              <w:keepNext w:val="0"/>
              <w:keepLines w:val="0"/>
              <w:pageBreakBefore w:val="0"/>
              <w:kinsoku/>
              <w:wordWrap/>
              <w:bidi w:val="0"/>
              <w:snapToGrid/>
              <w:spacing w:line="240" w:lineRule="auto"/>
            </w:pPr>
            <w:r>
              <w:t>pH</w:t>
            </w:r>
          </w:p>
        </w:tc>
        <w:tc>
          <w:tcPr>
            <w:tcW w:w="1755"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3462" w:type="dxa"/>
            <w:tcBorders>
              <w:tl2br w:val="nil"/>
              <w:tr2bl w:val="nil"/>
            </w:tcBorders>
            <w:vAlign w:val="center"/>
          </w:tcPr>
          <w:p>
            <w:pPr>
              <w:pStyle w:val="41"/>
              <w:keepNext w:val="0"/>
              <w:keepLines w:val="0"/>
              <w:pageBreakBefore w:val="0"/>
              <w:kinsoku/>
              <w:wordWrap/>
              <w:bidi w:val="0"/>
              <w:snapToGrid/>
              <w:spacing w:line="240" w:lineRule="auto"/>
            </w:pPr>
            <w:r>
              <w:t>6.0～9.0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pPr>
            <w:r>
              <w:t>3</w:t>
            </w:r>
          </w:p>
        </w:tc>
        <w:tc>
          <w:tcPr>
            <w:tcW w:w="3015" w:type="dxa"/>
            <w:tcBorders>
              <w:tl2br w:val="nil"/>
              <w:tr2bl w:val="nil"/>
            </w:tcBorders>
            <w:vAlign w:val="center"/>
          </w:tcPr>
          <w:p>
            <w:pPr>
              <w:pStyle w:val="41"/>
              <w:keepNext w:val="0"/>
              <w:keepLines w:val="0"/>
              <w:pageBreakBefore w:val="0"/>
              <w:kinsoku/>
              <w:wordWrap/>
              <w:bidi w:val="0"/>
              <w:snapToGrid/>
              <w:spacing w:line="240" w:lineRule="auto"/>
            </w:pPr>
            <w:r>
              <w:t>SS</w:t>
            </w:r>
          </w:p>
        </w:tc>
        <w:tc>
          <w:tcPr>
            <w:tcW w:w="175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62" w:type="dxa"/>
            <w:tcBorders>
              <w:tl2br w:val="nil"/>
              <w:tr2bl w:val="nil"/>
            </w:tcBorders>
            <w:vAlign w:val="center"/>
          </w:tcPr>
          <w:p>
            <w:pPr>
              <w:pStyle w:val="41"/>
              <w:keepNext w:val="0"/>
              <w:keepLines w:val="0"/>
              <w:pageBreakBefore w:val="0"/>
              <w:kinsoku/>
              <w:wordWrap/>
              <w:bidi w:val="0"/>
              <w:snapToGrid/>
              <w:spacing w:line="240" w:lineRule="auto"/>
            </w:pPr>
            <w:r>
              <w:t>150～200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pPr>
            <w:r>
              <w:t>4</w:t>
            </w:r>
          </w:p>
        </w:tc>
        <w:tc>
          <w:tcPr>
            <w:tcW w:w="3015" w:type="dxa"/>
            <w:tcBorders>
              <w:tl2br w:val="nil"/>
              <w:tr2bl w:val="nil"/>
            </w:tcBorders>
            <w:vAlign w:val="center"/>
          </w:tcPr>
          <w:p>
            <w:pPr>
              <w:pStyle w:val="41"/>
              <w:keepNext w:val="0"/>
              <w:keepLines w:val="0"/>
              <w:pageBreakBefore w:val="0"/>
              <w:kinsoku/>
              <w:wordWrap/>
              <w:bidi w:val="0"/>
              <w:snapToGrid/>
              <w:spacing w:line="240" w:lineRule="auto"/>
            </w:pPr>
            <w:r>
              <w:t>COD</w:t>
            </w:r>
            <w:r>
              <w:rPr>
                <w:vertAlign w:val="subscript"/>
              </w:rPr>
              <w:t>Cr</w:t>
            </w:r>
          </w:p>
        </w:tc>
        <w:tc>
          <w:tcPr>
            <w:tcW w:w="175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62" w:type="dxa"/>
            <w:tcBorders>
              <w:tl2br w:val="nil"/>
              <w:tr2bl w:val="nil"/>
            </w:tcBorders>
            <w:vAlign w:val="center"/>
          </w:tcPr>
          <w:p>
            <w:pPr>
              <w:pStyle w:val="41"/>
              <w:keepNext w:val="0"/>
              <w:keepLines w:val="0"/>
              <w:pageBreakBefore w:val="0"/>
              <w:kinsoku/>
              <w:wordWrap/>
              <w:bidi w:val="0"/>
              <w:snapToGrid/>
              <w:spacing w:line="240" w:lineRule="auto"/>
            </w:pPr>
            <w:r>
              <w:t>350～400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pPr>
            <w:r>
              <w:t>5</w:t>
            </w:r>
          </w:p>
        </w:tc>
        <w:tc>
          <w:tcPr>
            <w:tcW w:w="3015" w:type="dxa"/>
            <w:tcBorders>
              <w:tl2br w:val="nil"/>
              <w:tr2bl w:val="nil"/>
            </w:tcBorders>
            <w:vAlign w:val="center"/>
          </w:tcPr>
          <w:p>
            <w:pPr>
              <w:pStyle w:val="41"/>
              <w:keepNext w:val="0"/>
              <w:keepLines w:val="0"/>
              <w:pageBreakBefore w:val="0"/>
              <w:kinsoku/>
              <w:wordWrap/>
              <w:bidi w:val="0"/>
              <w:snapToGrid/>
              <w:spacing w:line="240" w:lineRule="auto"/>
            </w:pPr>
            <w:r>
              <w:t>BOD</w:t>
            </w:r>
            <w:r>
              <w:rPr>
                <w:vertAlign w:val="subscript"/>
              </w:rPr>
              <w:t>5</w:t>
            </w:r>
          </w:p>
        </w:tc>
        <w:tc>
          <w:tcPr>
            <w:tcW w:w="175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62" w:type="dxa"/>
            <w:tcBorders>
              <w:tl2br w:val="nil"/>
              <w:tr2bl w:val="nil"/>
            </w:tcBorders>
            <w:vAlign w:val="center"/>
          </w:tcPr>
          <w:p>
            <w:pPr>
              <w:pStyle w:val="41"/>
              <w:keepNext w:val="0"/>
              <w:keepLines w:val="0"/>
              <w:pageBreakBefore w:val="0"/>
              <w:kinsoku/>
              <w:wordWrap/>
              <w:bidi w:val="0"/>
              <w:snapToGrid/>
              <w:spacing w:line="240" w:lineRule="auto"/>
            </w:pPr>
            <w:r>
              <w:t>150～200</w:t>
            </w:r>
          </w:p>
        </w:tc>
      </w:tr>
    </w:tbl>
    <w:p>
      <w:pPr>
        <w:keepNext w:val="0"/>
        <w:keepLines w:val="0"/>
        <w:pageBreakBefore w:val="0"/>
        <w:kinsoku/>
        <w:wordWrap/>
        <w:bidi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.3-4  生活污水</w:t>
      </w:r>
      <w:r>
        <w:rPr>
          <w:rFonts w:hint="eastAsia" w:ascii="Times New Roman" w:hAnsi="Times New Roman" w:eastAsia="黑体" w:cs="Times New Roman"/>
          <w:sz w:val="24"/>
          <w:lang w:eastAsia="zh-CN"/>
        </w:rPr>
        <w:t>化粪池</w:t>
      </w:r>
      <w:r>
        <w:rPr>
          <w:rFonts w:ascii="Times New Roman" w:hAnsi="Times New Roman" w:eastAsia="黑体" w:cs="Times New Roman"/>
          <w:sz w:val="24"/>
        </w:rPr>
        <w:t>处理后出水水质指标</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
      <w:tblGrid>
        <w:gridCol w:w="854"/>
        <w:gridCol w:w="3000"/>
        <w:gridCol w:w="1770"/>
        <w:gridCol w:w="34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tblHeader/>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序号</w:t>
            </w:r>
          </w:p>
        </w:tc>
        <w:tc>
          <w:tcPr>
            <w:tcW w:w="300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项目</w:t>
            </w:r>
          </w:p>
        </w:tc>
        <w:tc>
          <w:tcPr>
            <w:tcW w:w="177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单位</w:t>
            </w:r>
          </w:p>
        </w:tc>
        <w:tc>
          <w:tcPr>
            <w:tcW w:w="3447"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3000" w:type="dxa"/>
            <w:tcBorders>
              <w:tl2br w:val="nil"/>
              <w:tr2bl w:val="nil"/>
            </w:tcBorders>
            <w:vAlign w:val="center"/>
          </w:tcPr>
          <w:p>
            <w:pPr>
              <w:pStyle w:val="41"/>
              <w:keepNext w:val="0"/>
              <w:keepLines w:val="0"/>
              <w:pageBreakBefore w:val="0"/>
              <w:kinsoku/>
              <w:wordWrap/>
              <w:bidi w:val="0"/>
              <w:snapToGrid/>
              <w:spacing w:line="240" w:lineRule="auto"/>
            </w:pPr>
            <w:r>
              <w:t>pH</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3447" w:type="dxa"/>
            <w:tcBorders>
              <w:tl2br w:val="nil"/>
              <w:tr2bl w:val="nil"/>
            </w:tcBorders>
            <w:vAlign w:val="center"/>
          </w:tcPr>
          <w:p>
            <w:pPr>
              <w:pStyle w:val="41"/>
              <w:keepNext w:val="0"/>
              <w:keepLines w:val="0"/>
              <w:pageBreakBefore w:val="0"/>
              <w:kinsoku/>
              <w:wordWrap/>
              <w:bidi w:val="0"/>
              <w:snapToGrid/>
              <w:spacing w:line="240" w:lineRule="auto"/>
            </w:pPr>
            <w:r>
              <w:t>6.5～9.0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2</w:t>
            </w:r>
          </w:p>
        </w:tc>
        <w:tc>
          <w:tcPr>
            <w:tcW w:w="3000" w:type="dxa"/>
            <w:tcBorders>
              <w:tl2br w:val="nil"/>
              <w:tr2bl w:val="nil"/>
            </w:tcBorders>
            <w:vAlign w:val="center"/>
          </w:tcPr>
          <w:p>
            <w:pPr>
              <w:pStyle w:val="41"/>
              <w:keepNext w:val="0"/>
              <w:keepLines w:val="0"/>
              <w:pageBreakBefore w:val="0"/>
              <w:kinsoku/>
              <w:wordWrap/>
              <w:bidi w:val="0"/>
              <w:snapToGrid/>
              <w:spacing w:line="240" w:lineRule="auto"/>
            </w:pPr>
            <w:r>
              <w:t>SS</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47" w:type="dxa"/>
            <w:tcBorders>
              <w:tl2br w:val="nil"/>
              <w:tr2bl w:val="nil"/>
            </w:tcBorders>
            <w:vAlign w:val="center"/>
          </w:tcPr>
          <w:p>
            <w:pPr>
              <w:pStyle w:val="41"/>
              <w:keepNext w:val="0"/>
              <w:keepLines w:val="0"/>
              <w:pageBreakBefore w:val="0"/>
              <w:kinsoku/>
              <w:wordWrap/>
              <w:bidi w:val="0"/>
              <w:snapToGrid/>
              <w:spacing w:line="240" w:lineRule="auto"/>
            </w:pPr>
            <w: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3</w:t>
            </w:r>
          </w:p>
        </w:tc>
        <w:tc>
          <w:tcPr>
            <w:tcW w:w="3000" w:type="dxa"/>
            <w:tcBorders>
              <w:tl2br w:val="nil"/>
              <w:tr2bl w:val="nil"/>
            </w:tcBorders>
            <w:vAlign w:val="center"/>
          </w:tcPr>
          <w:p>
            <w:pPr>
              <w:pStyle w:val="41"/>
              <w:keepNext w:val="0"/>
              <w:keepLines w:val="0"/>
              <w:pageBreakBefore w:val="0"/>
              <w:kinsoku/>
              <w:wordWrap/>
              <w:bidi w:val="0"/>
              <w:snapToGrid/>
              <w:spacing w:line="240" w:lineRule="auto"/>
            </w:pPr>
            <w:r>
              <w:t>COD</w:t>
            </w:r>
            <w:r>
              <w:rPr>
                <w:vertAlign w:val="subscript"/>
              </w:rPr>
              <w:t>Cr</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47" w:type="dxa"/>
            <w:tcBorders>
              <w:tl2br w:val="nil"/>
              <w:tr2bl w:val="nil"/>
            </w:tcBorders>
            <w:vAlign w:val="center"/>
          </w:tcPr>
          <w:p>
            <w:pPr>
              <w:pStyle w:val="41"/>
              <w:keepNext w:val="0"/>
              <w:keepLines w:val="0"/>
              <w:pageBreakBefore w:val="0"/>
              <w:kinsoku/>
              <w:wordWrap/>
              <w:bidi w:val="0"/>
              <w:snapToGrid/>
              <w:spacing w:line="240" w:lineRule="auto"/>
              <w:rPr>
                <w:color w:val="0000FF"/>
              </w:rPr>
            </w:pPr>
            <w: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4</w:t>
            </w:r>
          </w:p>
        </w:tc>
        <w:tc>
          <w:tcPr>
            <w:tcW w:w="3000" w:type="dxa"/>
            <w:tcBorders>
              <w:tl2br w:val="nil"/>
              <w:tr2bl w:val="nil"/>
            </w:tcBorders>
            <w:vAlign w:val="center"/>
          </w:tcPr>
          <w:p>
            <w:pPr>
              <w:pStyle w:val="41"/>
              <w:keepNext w:val="0"/>
              <w:keepLines w:val="0"/>
              <w:pageBreakBefore w:val="0"/>
              <w:kinsoku/>
              <w:wordWrap/>
              <w:bidi w:val="0"/>
              <w:snapToGrid/>
              <w:spacing w:line="240" w:lineRule="auto"/>
            </w:pPr>
            <w:r>
              <w:t>BOD</w:t>
            </w:r>
            <w:r>
              <w:rPr>
                <w:vertAlign w:val="subscript"/>
              </w:rPr>
              <w:t>5</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47" w:type="dxa"/>
            <w:tcBorders>
              <w:tl2br w:val="nil"/>
              <w:tr2bl w:val="nil"/>
            </w:tcBorders>
            <w:vAlign w:val="center"/>
          </w:tcPr>
          <w:p>
            <w:pPr>
              <w:pStyle w:val="41"/>
              <w:keepNext w:val="0"/>
              <w:keepLines w:val="0"/>
              <w:pageBreakBefore w:val="0"/>
              <w:kinsoku/>
              <w:wordWrap/>
              <w:bidi w:val="0"/>
              <w:snapToGrid/>
              <w:spacing w:line="240" w:lineRule="auto"/>
              <w:rPr>
                <w:color w:val="0000FF"/>
              </w:rPr>
            </w:pPr>
            <w: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5</w:t>
            </w:r>
          </w:p>
        </w:tc>
        <w:tc>
          <w:tcPr>
            <w:tcW w:w="3000" w:type="dxa"/>
            <w:tcBorders>
              <w:tl2br w:val="nil"/>
              <w:tr2bl w:val="nil"/>
            </w:tcBorders>
            <w:vAlign w:val="center"/>
          </w:tcPr>
          <w:p>
            <w:pPr>
              <w:pStyle w:val="41"/>
              <w:keepNext w:val="0"/>
              <w:keepLines w:val="0"/>
              <w:pageBreakBefore w:val="0"/>
              <w:kinsoku/>
              <w:wordWrap/>
              <w:bidi w:val="0"/>
              <w:snapToGrid/>
              <w:spacing w:line="240" w:lineRule="auto"/>
            </w:pPr>
            <w:r>
              <w:t>总磷</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47" w:type="dxa"/>
            <w:tcBorders>
              <w:tl2br w:val="nil"/>
              <w:tr2bl w:val="nil"/>
            </w:tcBorders>
            <w:vAlign w:val="center"/>
          </w:tcPr>
          <w:p>
            <w:pPr>
              <w:pStyle w:val="41"/>
              <w:keepNext w:val="0"/>
              <w:keepLines w:val="0"/>
              <w:pageBreakBefore w:val="0"/>
              <w:kinsoku/>
              <w:wordWrap/>
              <w:bidi w:val="0"/>
              <w:snapToGrid/>
              <w:spacing w:line="240" w:lineRule="auto"/>
            </w:pPr>
            <w: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6</w:t>
            </w:r>
          </w:p>
        </w:tc>
        <w:tc>
          <w:tcPr>
            <w:tcW w:w="3000" w:type="dxa"/>
            <w:tcBorders>
              <w:tl2br w:val="nil"/>
              <w:tr2bl w:val="nil"/>
            </w:tcBorders>
            <w:vAlign w:val="center"/>
          </w:tcPr>
          <w:p>
            <w:pPr>
              <w:pStyle w:val="41"/>
              <w:keepNext w:val="0"/>
              <w:keepLines w:val="0"/>
              <w:pageBreakBefore w:val="0"/>
              <w:kinsoku/>
              <w:wordWrap/>
              <w:bidi w:val="0"/>
              <w:snapToGrid/>
              <w:spacing w:line="240" w:lineRule="auto"/>
            </w:pPr>
            <w:r>
              <w:t>氨氮</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47" w:type="dxa"/>
            <w:tcBorders>
              <w:tl2br w:val="nil"/>
              <w:tr2bl w:val="nil"/>
            </w:tcBorders>
            <w:vAlign w:val="center"/>
          </w:tcPr>
          <w:p>
            <w:pPr>
              <w:pStyle w:val="41"/>
              <w:keepNext w:val="0"/>
              <w:keepLines w:val="0"/>
              <w:pageBreakBefore w:val="0"/>
              <w:kinsoku/>
              <w:wordWrap/>
              <w:bidi w:val="0"/>
              <w:snapToGrid/>
              <w:spacing w:line="240" w:lineRule="auto"/>
            </w:pPr>
            <w:r>
              <w:t>＜15</w:t>
            </w:r>
          </w:p>
        </w:tc>
      </w:tr>
    </w:tbl>
    <w:p>
      <w:pPr>
        <w:keepNext w:val="0"/>
        <w:keepLines w:val="0"/>
        <w:pageBreakBefore w:val="0"/>
        <w:kinsoku/>
        <w:wordWrap/>
        <w:bidi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.3-5  生产废水、生活污水混合物化处理后回用水水质指标</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
      <w:tblGrid>
        <w:gridCol w:w="854"/>
        <w:gridCol w:w="2985"/>
        <w:gridCol w:w="1770"/>
        <w:gridCol w:w="1725"/>
        <w:gridCol w:w="17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tblHeader/>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序号</w:t>
            </w:r>
          </w:p>
        </w:tc>
        <w:tc>
          <w:tcPr>
            <w:tcW w:w="298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项目</w:t>
            </w:r>
          </w:p>
        </w:tc>
        <w:tc>
          <w:tcPr>
            <w:tcW w:w="177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单位</w:t>
            </w:r>
          </w:p>
        </w:tc>
        <w:tc>
          <w:tcPr>
            <w:tcW w:w="172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指标</w:t>
            </w:r>
          </w:p>
        </w:tc>
        <w:tc>
          <w:tcPr>
            <w:tcW w:w="1737"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pH</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6.5～9.0</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val="en-US" w:eastAsia="zh-CN"/>
              </w:rPr>
              <w:t>2</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总硬度</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≤300</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r>
              <w:t>以CaCO</w:t>
            </w:r>
            <w:r>
              <w:rPr>
                <w:vertAlign w:val="subscript"/>
              </w:rPr>
              <w:t>3</w:t>
            </w:r>
            <w: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val="en-US" w:eastAsia="zh-CN"/>
              </w:rPr>
              <w:t>3</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暂时硬度</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≤100</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r>
              <w:t>以CaCO</w:t>
            </w:r>
            <w:r>
              <w:rPr>
                <w:vertAlign w:val="subscript"/>
              </w:rPr>
              <w:t>3</w:t>
            </w:r>
            <w: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val="en-US" w:eastAsia="zh-CN"/>
              </w:rPr>
              <w:t>4</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钙硬度</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≤200</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r>
              <w:t>以CaCO</w:t>
            </w:r>
            <w:r>
              <w:rPr>
                <w:vertAlign w:val="subscript"/>
              </w:rPr>
              <w:t>3</w:t>
            </w:r>
            <w: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val="en-US" w:eastAsia="zh-CN"/>
              </w:rPr>
              <w:t>5</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镁硬度</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≤120</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r>
              <w:t>以CaCO</w:t>
            </w:r>
            <w:r>
              <w:rPr>
                <w:vertAlign w:val="subscript"/>
              </w:rPr>
              <w:t>3</w:t>
            </w:r>
            <w: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val="en-US" w:eastAsia="zh-CN"/>
              </w:rPr>
              <w:t>6</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总碱度</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≤100</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r>
              <w:t>以CaCO</w:t>
            </w:r>
            <w:r>
              <w:rPr>
                <w:vertAlign w:val="subscript"/>
              </w:rPr>
              <w:t>3</w:t>
            </w:r>
            <w:r>
              <w:t>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val="en-US" w:eastAsia="zh-CN"/>
              </w:rPr>
              <w:t>7</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总铁</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≤0.2</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val="en-US" w:eastAsia="zh-CN"/>
              </w:rPr>
              <w:t>8</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Cl</w:t>
            </w:r>
            <w:r>
              <w:rPr>
                <w:vertAlign w:val="superscript"/>
              </w:rPr>
              <w:t>-</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≤25</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val="en-US" w:eastAsia="zh-CN"/>
              </w:rPr>
              <w:t>9</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SO</w:t>
            </w:r>
            <w:r>
              <w:rPr>
                <w:vertAlign w:val="subscript"/>
              </w:rPr>
              <w:t>4</w:t>
            </w:r>
            <w:r>
              <w:rPr>
                <w:vertAlign w:val="superscript"/>
              </w:rPr>
              <w:t>2-</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≤180</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lang w:val="en-US" w:eastAsia="zh-CN"/>
              </w:rPr>
            </w:pPr>
            <w:r>
              <w:rPr>
                <w:rFonts w:hint="eastAsia"/>
                <w:lang w:val="en-US" w:eastAsia="zh-CN"/>
              </w:rPr>
              <w:t>10</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电导率</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rPr>
                <w:bCs/>
              </w:rPr>
              <w:t xml:space="preserve">μs/cm </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≤1450</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lang w:val="en-US" w:eastAsia="zh-CN"/>
              </w:rPr>
            </w:pPr>
            <w:r>
              <w:rPr>
                <w:rFonts w:hint="eastAsia"/>
                <w:lang w:val="en-US" w:eastAsia="zh-CN"/>
              </w:rPr>
              <w:t>11</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含盐量</w:t>
            </w:r>
          </w:p>
        </w:tc>
        <w:tc>
          <w:tcPr>
            <w:tcW w:w="1770" w:type="dxa"/>
            <w:tcBorders>
              <w:tl2br w:val="nil"/>
              <w:tr2bl w:val="nil"/>
            </w:tcBorders>
            <w:vAlign w:val="center"/>
          </w:tcPr>
          <w:p>
            <w:pPr>
              <w:pStyle w:val="41"/>
              <w:keepNext w:val="0"/>
              <w:keepLines w:val="0"/>
              <w:pageBreakBefore w:val="0"/>
              <w:kinsoku/>
              <w:wordWrap/>
              <w:bidi w:val="0"/>
              <w:snapToGrid/>
              <w:spacing w:line="240" w:lineRule="auto"/>
              <w:rPr>
                <w:bCs/>
              </w:rPr>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≤1088</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lang w:val="en-US" w:eastAsia="zh-CN"/>
              </w:rPr>
            </w:pPr>
            <w:r>
              <w:rPr>
                <w:rFonts w:hint="eastAsia"/>
                <w:lang w:val="en-US" w:eastAsia="zh-CN"/>
              </w:rPr>
              <w:t>12</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油</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lang w:val="en-US" w:eastAsia="zh-CN"/>
              </w:rPr>
            </w:pPr>
            <w:r>
              <w:rPr>
                <w:rFonts w:hint="eastAsia"/>
                <w:lang w:val="en-US" w:eastAsia="zh-CN"/>
              </w:rPr>
              <w:t>13</w:t>
            </w:r>
          </w:p>
        </w:tc>
        <w:tc>
          <w:tcPr>
            <w:tcW w:w="2985" w:type="dxa"/>
            <w:tcBorders>
              <w:tl2br w:val="nil"/>
              <w:tr2bl w:val="nil"/>
            </w:tcBorders>
            <w:vAlign w:val="center"/>
          </w:tcPr>
          <w:p>
            <w:pPr>
              <w:pStyle w:val="41"/>
              <w:keepNext w:val="0"/>
              <w:keepLines w:val="0"/>
              <w:pageBreakBefore w:val="0"/>
              <w:kinsoku/>
              <w:wordWrap/>
              <w:bidi w:val="0"/>
              <w:snapToGrid/>
              <w:spacing w:line="240" w:lineRule="auto"/>
            </w:pPr>
            <w:r>
              <w:t>温度</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1725" w:type="dxa"/>
            <w:tcBorders>
              <w:tl2br w:val="nil"/>
              <w:tr2bl w:val="nil"/>
            </w:tcBorders>
            <w:vAlign w:val="center"/>
          </w:tcPr>
          <w:p>
            <w:pPr>
              <w:pStyle w:val="41"/>
              <w:keepNext w:val="0"/>
              <w:keepLines w:val="0"/>
              <w:pageBreakBefore w:val="0"/>
              <w:kinsoku/>
              <w:wordWrap/>
              <w:bidi w:val="0"/>
              <w:snapToGrid/>
              <w:spacing w:line="240" w:lineRule="auto"/>
            </w:pPr>
            <w:r>
              <w:t>≤35</w:t>
            </w:r>
          </w:p>
        </w:tc>
        <w:tc>
          <w:tcPr>
            <w:tcW w:w="1737" w:type="dxa"/>
            <w:tcBorders>
              <w:tl2br w:val="nil"/>
              <w:tr2bl w:val="nil"/>
            </w:tcBorders>
            <w:vAlign w:val="center"/>
          </w:tcPr>
          <w:p>
            <w:pPr>
              <w:pStyle w:val="41"/>
              <w:keepNext w:val="0"/>
              <w:keepLines w:val="0"/>
              <w:pageBreakBefore w:val="0"/>
              <w:kinsoku/>
              <w:wordWrap/>
              <w:bidi w:val="0"/>
              <w:snapToGrid/>
              <w:spacing w:line="240" w:lineRule="auto"/>
            </w:pPr>
          </w:p>
        </w:tc>
      </w:tr>
    </w:tbl>
    <w:p>
      <w:pPr>
        <w:keepNext w:val="0"/>
        <w:keepLines w:val="0"/>
        <w:pageBreakBefore w:val="0"/>
        <w:kinsoku/>
        <w:wordWrap/>
        <w:bidi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.3-6  深度处理除盐水水质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
      <w:tblGrid>
        <w:gridCol w:w="839"/>
        <w:gridCol w:w="3030"/>
        <w:gridCol w:w="1770"/>
        <w:gridCol w:w="34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tblHeader/>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序号</w:t>
            </w:r>
          </w:p>
        </w:tc>
        <w:tc>
          <w:tcPr>
            <w:tcW w:w="303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项目</w:t>
            </w:r>
          </w:p>
        </w:tc>
        <w:tc>
          <w:tcPr>
            <w:tcW w:w="177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单位</w:t>
            </w:r>
          </w:p>
        </w:tc>
        <w:tc>
          <w:tcPr>
            <w:tcW w:w="3432"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出水水质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pH</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3432" w:type="dxa"/>
            <w:tcBorders>
              <w:tl2br w:val="nil"/>
              <w:tr2bl w:val="nil"/>
            </w:tcBorders>
            <w:vAlign w:val="center"/>
          </w:tcPr>
          <w:p>
            <w:pPr>
              <w:pStyle w:val="41"/>
              <w:keepNext w:val="0"/>
              <w:keepLines w:val="0"/>
              <w:pageBreakBefore w:val="0"/>
              <w:kinsoku/>
              <w:wordWrap/>
              <w:bidi w:val="0"/>
              <w:snapToGrid/>
              <w:spacing w:line="240" w:lineRule="auto"/>
            </w:pPr>
            <w:r>
              <w:t>7-8.5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pPr>
            <w:r>
              <w:t>2</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浊度</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NTU</w:t>
            </w:r>
          </w:p>
        </w:tc>
        <w:tc>
          <w:tcPr>
            <w:tcW w:w="3432" w:type="dxa"/>
            <w:tcBorders>
              <w:tl2br w:val="nil"/>
              <w:tr2bl w:val="nil"/>
            </w:tcBorders>
            <w:vAlign w:val="center"/>
          </w:tcPr>
          <w:p>
            <w:pPr>
              <w:pStyle w:val="41"/>
              <w:keepNext w:val="0"/>
              <w:keepLines w:val="0"/>
              <w:pageBreakBefore w:val="0"/>
              <w:kinsoku/>
              <w:wordWrap/>
              <w:bidi w:val="0"/>
              <w:snapToGrid/>
              <w:spacing w:line="240" w:lineRule="auto"/>
            </w:pPr>
            <w: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pPr>
            <w:r>
              <w:t>4</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电导率</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μS/cm</w:t>
            </w:r>
          </w:p>
        </w:tc>
        <w:tc>
          <w:tcPr>
            <w:tcW w:w="3432" w:type="dxa"/>
            <w:tcBorders>
              <w:tl2br w:val="nil"/>
              <w:tr2bl w:val="nil"/>
            </w:tcBorders>
            <w:vAlign w:val="center"/>
          </w:tcPr>
          <w:p>
            <w:pPr>
              <w:pStyle w:val="41"/>
              <w:keepNext w:val="0"/>
              <w:keepLines w:val="0"/>
              <w:pageBreakBefore w:val="0"/>
              <w:kinsoku/>
              <w:wordWrap/>
              <w:bidi w:val="0"/>
              <w:snapToGrid/>
              <w:spacing w:line="240" w:lineRule="auto"/>
            </w:pPr>
            <w: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pPr>
            <w:r>
              <w:t>5</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含盐量</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32" w:type="dxa"/>
            <w:tcBorders>
              <w:tl2br w:val="nil"/>
              <w:tr2bl w:val="nil"/>
            </w:tcBorders>
            <w:vAlign w:val="center"/>
          </w:tcPr>
          <w:p>
            <w:pPr>
              <w:pStyle w:val="41"/>
              <w:keepNext w:val="0"/>
              <w:keepLines w:val="0"/>
              <w:pageBreakBefore w:val="0"/>
              <w:kinsoku/>
              <w:wordWrap/>
              <w:bidi w:val="0"/>
              <w:snapToGrid/>
              <w:spacing w:line="240" w:lineRule="auto"/>
            </w:pPr>
            <w: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39" w:type="dxa"/>
            <w:tcBorders>
              <w:tl2br w:val="nil"/>
              <w:tr2bl w:val="nil"/>
            </w:tcBorders>
            <w:vAlign w:val="center"/>
          </w:tcPr>
          <w:p>
            <w:pPr>
              <w:pStyle w:val="41"/>
              <w:keepNext w:val="0"/>
              <w:keepLines w:val="0"/>
              <w:pageBreakBefore w:val="0"/>
              <w:kinsoku/>
              <w:wordWrap/>
              <w:bidi w:val="0"/>
              <w:snapToGrid/>
              <w:spacing w:line="240" w:lineRule="auto"/>
            </w:pPr>
            <w:r>
              <w:t>6</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总硬度</w:t>
            </w:r>
          </w:p>
        </w:tc>
        <w:tc>
          <w:tcPr>
            <w:tcW w:w="1770" w:type="dxa"/>
            <w:tcBorders>
              <w:tl2br w:val="nil"/>
              <w:tr2bl w:val="nil"/>
            </w:tcBorders>
            <w:vAlign w:val="center"/>
          </w:tcPr>
          <w:p>
            <w:pPr>
              <w:pStyle w:val="41"/>
              <w:keepNext w:val="0"/>
              <w:keepLines w:val="0"/>
              <w:pageBreakBefore w:val="0"/>
              <w:kinsoku/>
              <w:wordWrap/>
              <w:bidi w:val="0"/>
              <w:snapToGrid/>
              <w:spacing w:line="240" w:lineRule="auto"/>
            </w:pPr>
            <w:r>
              <w:t>mmol/L</w:t>
            </w:r>
          </w:p>
        </w:tc>
        <w:tc>
          <w:tcPr>
            <w:tcW w:w="3432" w:type="dxa"/>
            <w:tcBorders>
              <w:tl2br w:val="nil"/>
              <w:tr2bl w:val="nil"/>
            </w:tcBorders>
            <w:vAlign w:val="center"/>
          </w:tcPr>
          <w:p>
            <w:pPr>
              <w:pStyle w:val="41"/>
              <w:keepNext w:val="0"/>
              <w:keepLines w:val="0"/>
              <w:pageBreakBefore w:val="0"/>
              <w:kinsoku/>
              <w:wordWrap/>
              <w:bidi w:val="0"/>
              <w:snapToGrid/>
              <w:spacing w:line="240" w:lineRule="auto"/>
            </w:pPr>
            <w:r>
              <w:t>≤0.03</w:t>
            </w:r>
          </w:p>
        </w:tc>
      </w:tr>
    </w:tbl>
    <w:p>
      <w:pPr>
        <w:keepNext w:val="0"/>
        <w:keepLines w:val="0"/>
        <w:pageBreakBefore w:val="0"/>
        <w:kinsoku/>
        <w:wordWrap/>
        <w:bidi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.3-7  反渗透浓盐水水质</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
      <w:tblGrid>
        <w:gridCol w:w="854"/>
        <w:gridCol w:w="3030"/>
        <w:gridCol w:w="1785"/>
        <w:gridCol w:w="34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tblHeader/>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序号</w:t>
            </w:r>
          </w:p>
        </w:tc>
        <w:tc>
          <w:tcPr>
            <w:tcW w:w="3030"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项目</w:t>
            </w:r>
          </w:p>
        </w:tc>
        <w:tc>
          <w:tcPr>
            <w:tcW w:w="1785"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单位</w:t>
            </w:r>
          </w:p>
        </w:tc>
        <w:tc>
          <w:tcPr>
            <w:tcW w:w="3402" w:type="dxa"/>
            <w:tcBorders>
              <w:tl2br w:val="nil"/>
              <w:tr2bl w:val="nil"/>
            </w:tcBorders>
            <w:vAlign w:val="center"/>
          </w:tcPr>
          <w:p>
            <w:pPr>
              <w:pStyle w:val="41"/>
              <w:keepNext w:val="0"/>
              <w:keepLines w:val="0"/>
              <w:pageBreakBefore w:val="0"/>
              <w:kinsoku/>
              <w:wordWrap/>
              <w:bidi w:val="0"/>
              <w:snapToGrid/>
              <w:spacing w:line="240" w:lineRule="auto"/>
              <w:rPr>
                <w:b/>
                <w:bCs/>
              </w:rPr>
            </w:pPr>
            <w:r>
              <w:rPr>
                <w:b/>
                <w:bCs/>
              </w:rPr>
              <w:t>出水水质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pH</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6.5~9.0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2</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SS</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4</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总硬度</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5</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暂时硬度</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6</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总碱度</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7</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总铁</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8</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Cl</w:t>
            </w:r>
            <w:r>
              <w:rPr>
                <w:vertAlign w:val="superscript"/>
              </w:rPr>
              <w:t>-</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9</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SO</w:t>
            </w:r>
            <w:r>
              <w:rPr>
                <w:vertAlign w:val="subscript"/>
              </w:rPr>
              <w:t>4</w:t>
            </w:r>
            <w:r>
              <w:rPr>
                <w:vertAlign w:val="superscript"/>
              </w:rPr>
              <w:t>2-</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10</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电导率</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rPr>
                <w:bCs/>
              </w:rPr>
              <w:t>μS/cm</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≤5240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11</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含盐量</w:t>
            </w:r>
          </w:p>
        </w:tc>
        <w:tc>
          <w:tcPr>
            <w:tcW w:w="1785" w:type="dxa"/>
            <w:tcBorders>
              <w:tl2br w:val="nil"/>
              <w:tr2bl w:val="nil"/>
            </w:tcBorders>
            <w:vAlign w:val="center"/>
          </w:tcPr>
          <w:p>
            <w:pPr>
              <w:pStyle w:val="41"/>
              <w:keepNext w:val="0"/>
              <w:keepLines w:val="0"/>
              <w:pageBreakBefore w:val="0"/>
              <w:kinsoku/>
              <w:wordWrap/>
              <w:bidi w:val="0"/>
              <w:snapToGrid/>
              <w:spacing w:line="240" w:lineRule="auto"/>
              <w:rPr>
                <w:bCs/>
              </w:rPr>
            </w:pPr>
            <w:r>
              <w:t>mg/L</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≤3930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12</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油</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mg/L</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7" w:type="dxa"/>
            <w:bottom w:w="0" w:type="dxa"/>
            <w:right w:w="107" w:type="dxa"/>
          </w:tblCellMar>
        </w:tblPrEx>
        <w:trPr>
          <w:cantSplit/>
          <w:trHeight w:val="340" w:hRule="atLeast"/>
          <w:jc w:val="center"/>
        </w:trPr>
        <w:tc>
          <w:tcPr>
            <w:tcW w:w="854" w:type="dxa"/>
            <w:tcBorders>
              <w:tl2br w:val="nil"/>
              <w:tr2bl w:val="nil"/>
            </w:tcBorders>
            <w:vAlign w:val="center"/>
          </w:tcPr>
          <w:p>
            <w:pPr>
              <w:pStyle w:val="41"/>
              <w:keepNext w:val="0"/>
              <w:keepLines w:val="0"/>
              <w:pageBreakBefore w:val="0"/>
              <w:kinsoku/>
              <w:wordWrap/>
              <w:bidi w:val="0"/>
              <w:snapToGrid/>
              <w:spacing w:line="240" w:lineRule="auto"/>
            </w:pPr>
            <w:r>
              <w:t>13</w:t>
            </w:r>
          </w:p>
        </w:tc>
        <w:tc>
          <w:tcPr>
            <w:tcW w:w="3030" w:type="dxa"/>
            <w:tcBorders>
              <w:tl2br w:val="nil"/>
              <w:tr2bl w:val="nil"/>
            </w:tcBorders>
            <w:vAlign w:val="center"/>
          </w:tcPr>
          <w:p>
            <w:pPr>
              <w:pStyle w:val="41"/>
              <w:keepNext w:val="0"/>
              <w:keepLines w:val="0"/>
              <w:pageBreakBefore w:val="0"/>
              <w:kinsoku/>
              <w:wordWrap/>
              <w:bidi w:val="0"/>
              <w:snapToGrid/>
              <w:spacing w:line="240" w:lineRule="auto"/>
            </w:pPr>
            <w:r>
              <w:t>温度</w:t>
            </w:r>
          </w:p>
        </w:tc>
        <w:tc>
          <w:tcPr>
            <w:tcW w:w="1785" w:type="dxa"/>
            <w:tcBorders>
              <w:tl2br w:val="nil"/>
              <w:tr2bl w:val="nil"/>
            </w:tcBorders>
            <w:vAlign w:val="center"/>
          </w:tcPr>
          <w:p>
            <w:pPr>
              <w:pStyle w:val="41"/>
              <w:keepNext w:val="0"/>
              <w:keepLines w:val="0"/>
              <w:pageBreakBefore w:val="0"/>
              <w:kinsoku/>
              <w:wordWrap/>
              <w:bidi w:val="0"/>
              <w:snapToGrid/>
              <w:spacing w:line="240" w:lineRule="auto"/>
            </w:pPr>
            <w:r>
              <w:t>℃</w:t>
            </w:r>
          </w:p>
        </w:tc>
        <w:tc>
          <w:tcPr>
            <w:tcW w:w="3402" w:type="dxa"/>
            <w:tcBorders>
              <w:tl2br w:val="nil"/>
              <w:tr2bl w:val="nil"/>
            </w:tcBorders>
            <w:vAlign w:val="center"/>
          </w:tcPr>
          <w:p>
            <w:pPr>
              <w:pStyle w:val="41"/>
              <w:keepNext w:val="0"/>
              <w:keepLines w:val="0"/>
              <w:pageBreakBefore w:val="0"/>
              <w:kinsoku/>
              <w:wordWrap/>
              <w:bidi w:val="0"/>
              <w:snapToGrid/>
              <w:spacing w:line="240" w:lineRule="auto"/>
            </w:pPr>
            <w:r>
              <w:t>≤30</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由表</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.3-1可知，生产废水和经生物法处理的生活污水</w:t>
      </w:r>
      <w:r>
        <w:rPr>
          <w:rFonts w:hint="eastAsia" w:ascii="Times New Roman" w:hAnsi="Times New Roman" w:eastAsia="宋体" w:cs="Times New Roman"/>
          <w:sz w:val="24"/>
          <w:szCs w:val="24"/>
          <w:lang w:eastAsia="zh-CN"/>
        </w:rPr>
        <w:t>经化粪池</w:t>
      </w:r>
      <w:r>
        <w:rPr>
          <w:rFonts w:ascii="Times New Roman" w:hAnsi="Times New Roman" w:eastAsia="宋体" w:cs="Times New Roman"/>
          <w:sz w:val="24"/>
          <w:szCs w:val="24"/>
        </w:rPr>
        <w:t>方法处理后，SS、COD</w:t>
      </w:r>
      <w:r>
        <w:rPr>
          <w:rFonts w:ascii="Times New Roman" w:hAnsi="Times New Roman" w:eastAsia="宋体" w:cs="Times New Roman"/>
          <w:sz w:val="24"/>
          <w:szCs w:val="24"/>
          <w:vertAlign w:val="subscript"/>
        </w:rPr>
        <w:t>Cr</w:t>
      </w:r>
      <w:r>
        <w:rPr>
          <w:rFonts w:ascii="Times New Roman" w:hAnsi="Times New Roman" w:eastAsia="宋体" w:cs="Times New Roman"/>
          <w:sz w:val="24"/>
          <w:szCs w:val="24"/>
        </w:rPr>
        <w:t>、BOD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总硬度等指标显著下降，回用水主要用于对盐分指标要求不高的用户，如原料场抑尘、烧结皮带除尘、地坪冲洗、高炉冲渣、炼钢/轧钢浊环水系统补水、铸管沙浆制备系统补水。剩余水进入深度除盐处理系统进行脱盐处理。经过深度处理后，水电导率、含盐量、浊度等指标能够满足水质指标要求。</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另外，煤气管道冷凝水含有酚、氰等有害物质，由于其产生量较少，且属于间断性排放，因此经收集后定期送高炉冲渣或转炉焖渣，不外排。</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上所述，厂区做到废水“零”排放的关键在于：①源头控制，采用无水或少水工艺，从源头减少水量；②全厂各工序设有独立的水处理系统和设施，根据水质不同采用清浊分流；③全厂设有综合废水处理站，对生活污水和生产废水采用相应的处理工艺，提高废水循环利用率；④采用反渗透浓水再回收措施，减少浓水产生量，且浓盐水全部用于低水质用户，实现全部回用。</w:t>
      </w:r>
    </w:p>
    <w:p>
      <w:pPr>
        <w:pStyle w:val="27"/>
        <w:keepNext w:val="0"/>
        <w:keepLines w:val="0"/>
        <w:pageBreakBefore w:val="0"/>
        <w:kinsoku/>
        <w:wordWrap/>
        <w:bidi w:val="0"/>
        <w:snapToGrid/>
        <w:spacing w:before="156" w:after="156" w:line="360" w:lineRule="auto"/>
        <w:rPr>
          <w:rFonts w:ascii="Times New Roman"/>
          <w:b w:val="0"/>
        </w:rPr>
      </w:pPr>
      <w:r>
        <w:rPr>
          <w:rFonts w:hint="eastAsia" w:ascii="Times New Roman"/>
          <w:b w:val="0"/>
          <w:lang w:val="en-US" w:eastAsia="zh-CN"/>
        </w:rPr>
        <w:t>7</w:t>
      </w:r>
      <w:r>
        <w:rPr>
          <w:rFonts w:ascii="Times New Roman"/>
          <w:b w:val="0"/>
        </w:rPr>
        <w:t>.4噪声污染防治措施后评价</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后评价阶段噪声污染防治措施与环评一致。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生产线的噪声设备均布置在车间内，设减振基础台座，且厂房均为全封闭或半封闭结构，废气处理设施以及排风机均安装于车间所在厂房的屋顶，废气处理设施及排放机均设减震基础，同时在排放口设消声装置以进一步降低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根据安徽世标检测技术有限公司2019年4月10日至4月11日厂界噪声监测及数据显示：厂界昼间噪声在54.2~64.</w:t>
      </w:r>
      <w:r>
        <w:rPr>
          <w:rFonts w:hint="eastAsia" w:ascii="Times New Roman" w:hAnsi="Times New Roman" w:eastAsia="宋体" w:cs="Times New Roman"/>
          <w:sz w:val="24"/>
          <w:szCs w:val="24"/>
        </w:rPr>
        <w:t>4</w:t>
      </w:r>
      <w:r>
        <w:rPr>
          <w:rFonts w:ascii="Times New Roman" w:hAnsi="Times New Roman" w:eastAsia="宋体" w:cs="Times New Roman"/>
          <w:sz w:val="24"/>
          <w:szCs w:val="24"/>
        </w:rPr>
        <w:t>dB(A)，夜间噪声在48.5~54.3dB(A)，符合《工业企业厂界环境噪声排放标准》（GB12348-2008）中3类标准，项目运营期间对声环境影响不大，噪声污染防治措施可行。</w:t>
      </w:r>
    </w:p>
    <w:p>
      <w:pPr>
        <w:pStyle w:val="27"/>
        <w:keepNext w:val="0"/>
        <w:keepLines w:val="0"/>
        <w:pageBreakBefore w:val="0"/>
        <w:kinsoku/>
        <w:wordWrap/>
        <w:bidi w:val="0"/>
        <w:snapToGrid/>
        <w:spacing w:before="156" w:after="156" w:line="360" w:lineRule="auto"/>
        <w:rPr>
          <w:rFonts w:ascii="Times New Roman"/>
          <w:b w:val="0"/>
        </w:rPr>
      </w:pPr>
      <w:r>
        <w:rPr>
          <w:rFonts w:hint="eastAsia" w:ascii="Times New Roman"/>
          <w:b w:val="0"/>
          <w:lang w:val="en-US" w:eastAsia="zh-CN"/>
        </w:rPr>
        <w:t>7</w:t>
      </w:r>
      <w:r>
        <w:rPr>
          <w:rFonts w:ascii="Times New Roman"/>
          <w:b w:val="0"/>
        </w:rPr>
        <w:t>.5固体废物处置措施后评价</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项目环评阶段和后评价阶段固体废物产生及处置情况对比见表</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.5-1所示。</w:t>
      </w:r>
    </w:p>
    <w:p>
      <w:pPr>
        <w:keepNext w:val="0"/>
        <w:keepLines w:val="0"/>
        <w:pageBreakBefore w:val="0"/>
        <w:kinsoku/>
        <w:wordWrap/>
        <w:bidi w:val="0"/>
        <w:snapToGrid/>
        <w:spacing w:line="360" w:lineRule="auto"/>
        <w:jc w:val="center"/>
        <w:rPr>
          <w:rFonts w:ascii="Times New Roman" w:hAnsi="Times New Roman" w:eastAsia="黑体" w:cs="Times New Roman"/>
          <w:sz w:val="24"/>
        </w:rPr>
      </w:pPr>
      <w:r>
        <w:rPr>
          <w:rFonts w:ascii="Times New Roman" w:hAnsi="Times New Roman" w:eastAsia="黑体" w:cs="Times New Roman"/>
          <w:sz w:val="24"/>
        </w:rPr>
        <w:t>表</w:t>
      </w:r>
      <w:r>
        <w:rPr>
          <w:rFonts w:hint="eastAsia" w:ascii="Times New Roman" w:hAnsi="Times New Roman" w:eastAsia="黑体" w:cs="Times New Roman"/>
          <w:sz w:val="24"/>
          <w:lang w:val="en-US" w:eastAsia="zh-CN"/>
        </w:rPr>
        <w:t>7</w:t>
      </w:r>
      <w:r>
        <w:rPr>
          <w:rFonts w:ascii="Times New Roman" w:hAnsi="Times New Roman" w:eastAsia="黑体" w:cs="Times New Roman"/>
          <w:sz w:val="24"/>
        </w:rPr>
        <w:t>.5-1  厂区固体废物产生及处置对比情况一览表（单位：</w:t>
      </w:r>
      <w:r>
        <w:rPr>
          <w:rFonts w:ascii="Times New Roman" w:hAnsi="Times New Roman" w:eastAsia="宋体" w:cs="Times New Roman"/>
          <w:b/>
          <w:bCs/>
          <w:szCs w:val="21"/>
        </w:rPr>
        <w:t>10</w:t>
      </w:r>
      <w:r>
        <w:rPr>
          <w:rFonts w:ascii="Times New Roman" w:hAnsi="Times New Roman" w:eastAsia="宋体" w:cs="Times New Roman"/>
          <w:b/>
          <w:bCs/>
          <w:szCs w:val="21"/>
          <w:vertAlign w:val="superscript"/>
        </w:rPr>
        <w:t>4</w:t>
      </w:r>
      <w:r>
        <w:rPr>
          <w:rFonts w:ascii="Times New Roman" w:hAnsi="Times New Roman" w:eastAsia="宋体" w:cs="Times New Roman"/>
          <w:b/>
          <w:bCs/>
          <w:szCs w:val="21"/>
        </w:rPr>
        <w:t>t/a</w:t>
      </w:r>
      <w:r>
        <w:rPr>
          <w:rFonts w:ascii="Times New Roman" w:hAnsi="Times New Roman" w:eastAsia="黑体" w:cs="Times New Roman"/>
          <w:sz w:val="24"/>
        </w:rPr>
        <w:t>）</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6"/>
        <w:gridCol w:w="1762"/>
        <w:gridCol w:w="1425"/>
        <w:gridCol w:w="1920"/>
        <w:gridCol w:w="27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分类</w:t>
            </w:r>
          </w:p>
        </w:tc>
        <w:tc>
          <w:tcPr>
            <w:tcW w:w="1762"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b/>
                <w:bCs/>
                <w:szCs w:val="21"/>
              </w:rPr>
              <w:t>污染物名称</w:t>
            </w:r>
          </w:p>
        </w:tc>
        <w:tc>
          <w:tcPr>
            <w:tcW w:w="1425"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后评价阶段产生量</w:t>
            </w:r>
          </w:p>
        </w:tc>
        <w:tc>
          <w:tcPr>
            <w:tcW w:w="4708" w:type="dxa"/>
            <w:gridSpan w:val="2"/>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处理、处置情况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p>
        </w:tc>
        <w:tc>
          <w:tcPr>
            <w:tcW w:w="1762"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425"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p>
        </w:tc>
        <w:tc>
          <w:tcPr>
            <w:tcW w:w="1920" w:type="dxa"/>
            <w:tcBorders>
              <w:tl2br w:val="nil"/>
              <w:tr2bl w:val="nil"/>
            </w:tcBorders>
            <w:vAlign w:val="center"/>
          </w:tcPr>
          <w:p>
            <w:pPr>
              <w:keepNext w:val="0"/>
              <w:keepLines w:val="0"/>
              <w:pageBreakBefore w:val="0"/>
              <w:kinsoku/>
              <w:wordWrap/>
              <w:bidi w:val="0"/>
              <w:snapToGrid/>
              <w:jc w:val="center"/>
              <w:rPr>
                <w:rFonts w:hint="eastAsia" w:ascii="Times New Roman" w:hAnsi="Times New Roman" w:eastAsia="宋体" w:cs="Times New Roman"/>
                <w:b/>
                <w:bCs/>
                <w:szCs w:val="21"/>
                <w:lang w:eastAsia="zh-CN"/>
              </w:rPr>
            </w:pPr>
            <w:r>
              <w:rPr>
                <w:rFonts w:hint="eastAsia" w:ascii="Times New Roman" w:hAnsi="Times New Roman" w:eastAsia="宋体" w:cs="Times New Roman"/>
                <w:b/>
                <w:bCs/>
                <w:szCs w:val="21"/>
                <w:lang w:eastAsia="zh-CN"/>
              </w:rPr>
              <w:t>现状评价阶段</w:t>
            </w:r>
          </w:p>
        </w:tc>
        <w:tc>
          <w:tcPr>
            <w:tcW w:w="2788"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b/>
                <w:bCs/>
                <w:szCs w:val="21"/>
              </w:rPr>
            </w:pPr>
            <w:r>
              <w:rPr>
                <w:rFonts w:ascii="Times New Roman" w:hAnsi="Times New Roman" w:eastAsia="宋体" w:cs="Times New Roman"/>
                <w:b/>
                <w:bCs/>
                <w:szCs w:val="21"/>
              </w:rPr>
              <w:t>后评价阶段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一般工业固体废物（I类）</w:t>
            </w: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高炉渣(水渣)</w:t>
            </w:r>
          </w:p>
        </w:tc>
        <w:tc>
          <w:tcPr>
            <w:tcW w:w="1425" w:type="dxa"/>
            <w:tcBorders>
              <w:tl2br w:val="nil"/>
              <w:tr2bl w:val="nil"/>
            </w:tcBorders>
            <w:vAlign w:val="center"/>
          </w:tcPr>
          <w:p>
            <w:pPr>
              <w:pStyle w:val="41"/>
              <w:keepNext w:val="0"/>
              <w:keepLines w:val="0"/>
              <w:pageBreakBefore w:val="0"/>
              <w:kinsoku/>
              <w:wordWrap/>
              <w:bidi w:val="0"/>
              <w:snapToGrid/>
              <w:rPr>
                <w:rFonts w:hint="default" w:eastAsia="宋体"/>
                <w:szCs w:val="21"/>
                <w:lang w:val="en-US" w:eastAsia="zh-CN"/>
              </w:rPr>
            </w:pPr>
            <w:r>
              <w:rPr>
                <w:szCs w:val="21"/>
              </w:rPr>
              <w:t>66.</w:t>
            </w:r>
            <w:r>
              <w:rPr>
                <w:rFonts w:hint="eastAsia"/>
                <w:szCs w:val="21"/>
                <w:lang w:val="en-US" w:eastAsia="zh-CN"/>
              </w:rPr>
              <w:t>37</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外售作水泥原料</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送矿渣微粉生产线加工厂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除尘灰、瓦斯灰</w:t>
            </w:r>
          </w:p>
        </w:tc>
        <w:tc>
          <w:tcPr>
            <w:tcW w:w="1425" w:type="dxa"/>
            <w:tcBorders>
              <w:tl2br w:val="nil"/>
              <w:tr2bl w:val="nil"/>
            </w:tcBorders>
            <w:vAlign w:val="center"/>
          </w:tcPr>
          <w:p>
            <w:pPr>
              <w:pStyle w:val="41"/>
              <w:keepNext w:val="0"/>
              <w:keepLines w:val="0"/>
              <w:pageBreakBefore w:val="0"/>
              <w:kinsoku/>
              <w:wordWrap/>
              <w:bidi w:val="0"/>
              <w:snapToGrid/>
              <w:rPr>
                <w:rFonts w:hint="default" w:eastAsia="宋体"/>
                <w:szCs w:val="21"/>
                <w:lang w:val="en-US" w:eastAsia="zh-CN"/>
              </w:rPr>
            </w:pPr>
            <w:r>
              <w:rPr>
                <w:szCs w:val="21"/>
              </w:rPr>
              <w:t>8.</w:t>
            </w:r>
            <w:r>
              <w:rPr>
                <w:rFonts w:hint="eastAsia"/>
                <w:szCs w:val="21"/>
                <w:lang w:val="en-US" w:eastAsia="zh-CN"/>
              </w:rPr>
              <w:t>74</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送烧结作配料</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送烧结配料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氧化铁皮</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4.25</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送烧结作配料</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送烧结配料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水处理污泥</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0.1</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送烧结作配料</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送烧结配料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切头尾等轧废</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hint="eastAsia" w:cs="Times New Roman"/>
                <w:color w:val="auto"/>
              </w:rPr>
              <w:t>3.77</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送炼钢回用</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返炼钢冶炼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球化渣</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0.11</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送烧结作配料</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返工频炉重熔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废轧辊</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0.04</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外售铜陵市大成轧辊有限责任公司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水泥砂浆</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3.6</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外售做建筑材料</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外售作为建筑用砂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溜槽铁</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0.001</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返回电炉重熔</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返工频炉重熔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rFonts w:hint="eastAsia"/>
                <w:szCs w:val="21"/>
              </w:rPr>
              <w:t>不含树脂废砂芯</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rFonts w:hint="default" w:eastAsia="宋体" w:cs="Times New Roman"/>
                <w:color w:val="auto"/>
                <w:lang w:val="en-US" w:eastAsia="zh-CN"/>
              </w:rPr>
            </w:pPr>
            <w:r>
              <w:rPr>
                <w:rFonts w:hint="eastAsia" w:cs="Times New Roman"/>
                <w:color w:val="auto"/>
                <w:lang w:val="en-US" w:eastAsia="zh-CN"/>
              </w:rPr>
              <w:t>3.4</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hint="eastAsia" w:ascii="Times New Roman" w:hAnsi="Times New Roman" w:eastAsia="宋体" w:cs="Times New Roman"/>
                <w:szCs w:val="21"/>
              </w:rPr>
              <w:t>回混砂机循环制砂芯</w:t>
            </w:r>
          </w:p>
        </w:tc>
        <w:tc>
          <w:tcPr>
            <w:tcW w:w="2788" w:type="dxa"/>
            <w:tcBorders>
              <w:tl2br w:val="nil"/>
              <w:tr2bl w:val="nil"/>
            </w:tcBorders>
            <w:vAlign w:val="center"/>
          </w:tcPr>
          <w:p>
            <w:pPr>
              <w:pStyle w:val="41"/>
              <w:keepNext w:val="0"/>
              <w:keepLines w:val="0"/>
              <w:pageBreakBefore w:val="0"/>
              <w:kinsoku/>
              <w:wordWrap/>
              <w:bidi w:val="0"/>
              <w:snapToGrid/>
              <w:rPr>
                <w:rFonts w:hint="eastAsia" w:eastAsia="宋体"/>
                <w:szCs w:val="21"/>
                <w:lang w:eastAsia="zh-CN"/>
              </w:rPr>
            </w:pPr>
            <w:r>
              <w:rPr>
                <w:rFonts w:hint="eastAsia"/>
                <w:szCs w:val="21"/>
                <w:lang w:eastAsia="zh-CN"/>
              </w:rPr>
              <w:t>做建筑材料外售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焦粉和煤尘</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2.5</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煤尘送备煤系统，焦粉收集后送烧结作配料</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煤尘送备煤系统回用，焦粉收集后送烧结作配料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废耐火材料等工业垃圾</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1</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挑选可用部分回用，其余送耐火材料厂作为骨料使用</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回收可利用部分，其余送耐火材料厂作为骨料或用于填坑铺路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一般工业固体废物（II类）</w:t>
            </w: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钢渣</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15.82</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经破碎，筛分、磁选处理后返生产系统，尾渣制砖</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经破碎，筛分、磁选处理后废钢返生产系统，尾渣作为建筑材料外销润江新型环保建材有限公司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烧结脱硫渣</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3.36</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作为水泥原料外销</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作为水泥原料外销芜湖市晟世成商贸有限公司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restart"/>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危险废物</w:t>
            </w: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焦油渣(HW11)</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0.04</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掺入炼焦配煤</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返回炼焦备煤系统，掺入炼焦煤炼焦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tcBorders>
              <w:tl2br w:val="nil"/>
              <w:tr2bl w:val="nil"/>
            </w:tcBorders>
            <w:vAlign w:val="center"/>
          </w:tcPr>
          <w:p>
            <w:pPr>
              <w:pStyle w:val="41"/>
              <w:keepNext w:val="0"/>
              <w:keepLines w:val="0"/>
              <w:pageBreakBefore w:val="0"/>
              <w:kinsoku/>
              <w:wordWrap/>
              <w:bidi w:val="0"/>
              <w:snapToGrid/>
              <w:rPr>
                <w:szCs w:val="21"/>
              </w:rPr>
            </w:pPr>
            <w:r>
              <w:rPr>
                <w:szCs w:val="21"/>
              </w:rPr>
              <w:t>再生器残渣(HW11)</w:t>
            </w:r>
          </w:p>
        </w:tc>
        <w:tc>
          <w:tcPr>
            <w:tcW w:w="1425" w:type="dxa"/>
            <w:tcBorders>
              <w:tl2br w:val="nil"/>
              <w:tr2bl w:val="nil"/>
            </w:tcBorders>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0.02</w:t>
            </w:r>
          </w:p>
        </w:tc>
        <w:tc>
          <w:tcPr>
            <w:tcW w:w="1920" w:type="dxa"/>
            <w:tcBorders>
              <w:tl2br w:val="nil"/>
              <w:tr2bl w:val="nil"/>
            </w:tcBorders>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送冷凝鼓风段焦油槽</w:t>
            </w:r>
          </w:p>
        </w:tc>
        <w:tc>
          <w:tcPr>
            <w:tcW w:w="2788" w:type="dxa"/>
            <w:tcBorders>
              <w:tl2br w:val="nil"/>
              <w:tr2bl w:val="nil"/>
            </w:tcBorders>
            <w:vAlign w:val="center"/>
          </w:tcPr>
          <w:p>
            <w:pPr>
              <w:pStyle w:val="41"/>
              <w:keepNext w:val="0"/>
              <w:keepLines w:val="0"/>
              <w:pageBreakBefore w:val="0"/>
              <w:kinsoku/>
              <w:wordWrap/>
              <w:bidi w:val="0"/>
              <w:snapToGrid/>
              <w:rPr>
                <w:szCs w:val="21"/>
              </w:rPr>
            </w:pPr>
            <w:r>
              <w:rPr>
                <w:szCs w:val="21"/>
              </w:rPr>
              <w:t>送油库焦油槽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vAlign w:val="center"/>
          </w:tcPr>
          <w:p>
            <w:pPr>
              <w:pStyle w:val="41"/>
              <w:keepNext w:val="0"/>
              <w:keepLines w:val="0"/>
              <w:pageBreakBefore w:val="0"/>
              <w:kinsoku/>
              <w:wordWrap/>
              <w:bidi w:val="0"/>
              <w:snapToGrid/>
              <w:rPr>
                <w:szCs w:val="21"/>
              </w:rPr>
            </w:pPr>
            <w:r>
              <w:rPr>
                <w:szCs w:val="21"/>
              </w:rPr>
              <w:t>沥青渣(HW11)</w:t>
            </w:r>
          </w:p>
        </w:tc>
        <w:tc>
          <w:tcPr>
            <w:tcW w:w="1425" w:type="dxa"/>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0.00005</w:t>
            </w:r>
          </w:p>
        </w:tc>
        <w:tc>
          <w:tcPr>
            <w:tcW w:w="192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返回炼焦备煤系统</w:t>
            </w:r>
          </w:p>
        </w:tc>
        <w:tc>
          <w:tcPr>
            <w:tcW w:w="2788" w:type="dxa"/>
            <w:vAlign w:val="center"/>
          </w:tcPr>
          <w:p>
            <w:pPr>
              <w:pStyle w:val="41"/>
              <w:keepNext w:val="0"/>
              <w:keepLines w:val="0"/>
              <w:pageBreakBefore w:val="0"/>
              <w:kinsoku/>
              <w:wordWrap/>
              <w:bidi w:val="0"/>
              <w:snapToGrid/>
              <w:rPr>
                <w:szCs w:val="21"/>
              </w:rPr>
            </w:pPr>
            <w:r>
              <w:rPr>
                <w:szCs w:val="21"/>
              </w:rPr>
              <w:t>返回炼焦备煤系统，掺入炼焦煤炼焦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vAlign w:val="center"/>
          </w:tcPr>
          <w:p>
            <w:pPr>
              <w:pStyle w:val="41"/>
              <w:keepNext w:val="0"/>
              <w:keepLines w:val="0"/>
              <w:pageBreakBefore w:val="0"/>
              <w:kinsoku/>
              <w:wordWrap/>
              <w:bidi w:val="0"/>
              <w:snapToGrid/>
              <w:rPr>
                <w:szCs w:val="21"/>
              </w:rPr>
            </w:pPr>
            <w:r>
              <w:rPr>
                <w:szCs w:val="21"/>
              </w:rPr>
              <w:t>生化污泥(HW38)</w:t>
            </w:r>
          </w:p>
        </w:tc>
        <w:tc>
          <w:tcPr>
            <w:tcW w:w="1425" w:type="dxa"/>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0.0072</w:t>
            </w:r>
          </w:p>
        </w:tc>
        <w:tc>
          <w:tcPr>
            <w:tcW w:w="192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脱水后掺入炼焦配煤</w:t>
            </w:r>
          </w:p>
        </w:tc>
        <w:tc>
          <w:tcPr>
            <w:tcW w:w="2788" w:type="dxa"/>
            <w:vAlign w:val="center"/>
          </w:tcPr>
          <w:p>
            <w:pPr>
              <w:pStyle w:val="41"/>
              <w:keepNext w:val="0"/>
              <w:keepLines w:val="0"/>
              <w:pageBreakBefore w:val="0"/>
              <w:kinsoku/>
              <w:wordWrap/>
              <w:bidi w:val="0"/>
              <w:snapToGrid/>
              <w:rPr>
                <w:szCs w:val="21"/>
              </w:rPr>
            </w:pPr>
            <w:r>
              <w:rPr>
                <w:szCs w:val="21"/>
              </w:rPr>
              <w:t>脱水后掺入炼焦煤炼焦，掺入炼焦煤炼焦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vAlign w:val="center"/>
          </w:tcPr>
          <w:p>
            <w:pPr>
              <w:pStyle w:val="41"/>
              <w:keepNext w:val="0"/>
              <w:keepLines w:val="0"/>
              <w:pageBreakBefore w:val="0"/>
              <w:kinsoku/>
              <w:wordWrap/>
              <w:bidi w:val="0"/>
              <w:snapToGrid/>
              <w:rPr>
                <w:szCs w:val="21"/>
              </w:rPr>
            </w:pPr>
            <w:r>
              <w:rPr>
                <w:szCs w:val="21"/>
              </w:rPr>
              <w:t>废油(HW08)</w:t>
            </w:r>
          </w:p>
        </w:tc>
        <w:tc>
          <w:tcPr>
            <w:tcW w:w="1425" w:type="dxa"/>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0.01</w:t>
            </w:r>
          </w:p>
        </w:tc>
        <w:tc>
          <w:tcPr>
            <w:tcW w:w="192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hint="eastAsia" w:ascii="Times New Roman" w:hAnsi="Times New Roman" w:eastAsia="宋体" w:cs="Times New Roman"/>
                <w:szCs w:val="21"/>
              </w:rPr>
              <w:t>外送芜湖县污油处理厂处理</w:t>
            </w:r>
          </w:p>
        </w:tc>
        <w:tc>
          <w:tcPr>
            <w:tcW w:w="2788" w:type="dxa"/>
            <w:vAlign w:val="center"/>
          </w:tcPr>
          <w:p>
            <w:pPr>
              <w:pStyle w:val="41"/>
              <w:keepNext w:val="0"/>
              <w:keepLines w:val="0"/>
              <w:pageBreakBefore w:val="0"/>
              <w:kinsoku/>
              <w:wordWrap/>
              <w:bidi w:val="0"/>
              <w:snapToGrid/>
              <w:rPr>
                <w:szCs w:val="21"/>
              </w:rPr>
            </w:pPr>
            <w:r>
              <w:rPr>
                <w:rFonts w:hint="eastAsia"/>
                <w:color w:val="auto"/>
              </w:rPr>
              <w:t>交马鞍山市关东润滑油有限责任公司处置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vAlign w:val="center"/>
          </w:tcPr>
          <w:p>
            <w:pPr>
              <w:pStyle w:val="41"/>
              <w:keepNext w:val="0"/>
              <w:keepLines w:val="0"/>
              <w:pageBreakBefore w:val="0"/>
              <w:kinsoku/>
              <w:wordWrap/>
              <w:bidi w:val="0"/>
              <w:snapToGrid/>
              <w:rPr>
                <w:szCs w:val="21"/>
              </w:rPr>
            </w:pPr>
            <w:r>
              <w:rPr>
                <w:szCs w:val="21"/>
              </w:rPr>
              <w:t>废活性炭(HW49)</w:t>
            </w:r>
          </w:p>
        </w:tc>
        <w:tc>
          <w:tcPr>
            <w:tcW w:w="1425" w:type="dxa"/>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0.007</w:t>
            </w:r>
          </w:p>
        </w:tc>
        <w:tc>
          <w:tcPr>
            <w:tcW w:w="192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2788" w:type="dxa"/>
            <w:vAlign w:val="center"/>
          </w:tcPr>
          <w:p>
            <w:pPr>
              <w:pStyle w:val="41"/>
              <w:keepNext w:val="0"/>
              <w:keepLines w:val="0"/>
              <w:pageBreakBefore w:val="0"/>
              <w:kinsoku/>
              <w:wordWrap/>
              <w:bidi w:val="0"/>
              <w:snapToGrid/>
              <w:rPr>
                <w:szCs w:val="21"/>
              </w:rPr>
            </w:pPr>
            <w:r>
              <w:rPr>
                <w:szCs w:val="21"/>
              </w:rPr>
              <w:t>返回炼焦备煤系统，掺入炼焦煤中炼焦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vAlign w:val="center"/>
          </w:tcPr>
          <w:p>
            <w:pPr>
              <w:pStyle w:val="41"/>
              <w:keepNext w:val="0"/>
              <w:keepLines w:val="0"/>
              <w:pageBreakBefore w:val="0"/>
              <w:kinsoku/>
              <w:wordWrap/>
              <w:bidi w:val="0"/>
              <w:snapToGrid/>
              <w:rPr>
                <w:szCs w:val="21"/>
              </w:rPr>
            </w:pPr>
            <w:r>
              <w:rPr>
                <w:szCs w:val="21"/>
              </w:rPr>
              <w:t>废催化剂(HW50)</w:t>
            </w:r>
          </w:p>
        </w:tc>
        <w:tc>
          <w:tcPr>
            <w:tcW w:w="1425" w:type="dxa"/>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0.0044</w:t>
            </w:r>
          </w:p>
        </w:tc>
        <w:tc>
          <w:tcPr>
            <w:tcW w:w="192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w:t>
            </w:r>
          </w:p>
        </w:tc>
        <w:tc>
          <w:tcPr>
            <w:tcW w:w="2788" w:type="dxa"/>
            <w:vAlign w:val="center"/>
          </w:tcPr>
          <w:p>
            <w:pPr>
              <w:pStyle w:val="41"/>
              <w:keepNext w:val="0"/>
              <w:keepLines w:val="0"/>
              <w:pageBreakBefore w:val="0"/>
              <w:kinsoku/>
              <w:wordWrap/>
              <w:bidi w:val="0"/>
              <w:snapToGrid/>
              <w:rPr>
                <w:szCs w:val="21"/>
              </w:rPr>
            </w:pPr>
            <w:r>
              <w:rPr>
                <w:szCs w:val="21"/>
              </w:rPr>
              <w:t>由厂家回收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vAlign w:val="center"/>
          </w:tcPr>
          <w:p>
            <w:pPr>
              <w:pStyle w:val="41"/>
              <w:keepNext w:val="0"/>
              <w:keepLines w:val="0"/>
              <w:pageBreakBefore w:val="0"/>
              <w:kinsoku/>
              <w:wordWrap/>
              <w:bidi w:val="0"/>
              <w:snapToGrid/>
              <w:rPr>
                <w:szCs w:val="21"/>
              </w:rPr>
            </w:pPr>
            <w:r>
              <w:rPr>
                <w:szCs w:val="21"/>
              </w:rPr>
              <w:t>锌粉/泥(HW23)</w:t>
            </w:r>
          </w:p>
        </w:tc>
        <w:tc>
          <w:tcPr>
            <w:tcW w:w="1425" w:type="dxa"/>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0.019</w:t>
            </w:r>
          </w:p>
        </w:tc>
        <w:tc>
          <w:tcPr>
            <w:tcW w:w="192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hint="eastAsia" w:ascii="Times New Roman" w:hAnsi="Times New Roman" w:eastAsia="宋体" w:cs="Times New Roman"/>
                <w:szCs w:val="21"/>
              </w:rPr>
              <w:t>外售河北振兴锌业有限公司</w:t>
            </w:r>
          </w:p>
        </w:tc>
        <w:tc>
          <w:tcPr>
            <w:tcW w:w="2788" w:type="dxa"/>
            <w:vAlign w:val="center"/>
          </w:tcPr>
          <w:p>
            <w:pPr>
              <w:pStyle w:val="41"/>
              <w:keepNext w:val="0"/>
              <w:keepLines w:val="0"/>
              <w:pageBreakBefore w:val="0"/>
              <w:kinsoku/>
              <w:wordWrap/>
              <w:bidi w:val="0"/>
              <w:snapToGrid/>
              <w:rPr>
                <w:szCs w:val="21"/>
              </w:rPr>
            </w:pPr>
            <w:r>
              <w:rPr>
                <w:rFonts w:hint="eastAsia"/>
                <w:szCs w:val="21"/>
              </w:rPr>
              <w:t>送芜湖市易晖金属有限公司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6" w:type="dxa"/>
            <w:vMerge w:val="continue"/>
            <w:vAlign w:val="center"/>
          </w:tcPr>
          <w:p>
            <w:pPr>
              <w:keepNext w:val="0"/>
              <w:keepLines w:val="0"/>
              <w:pageBreakBefore w:val="0"/>
              <w:kinsoku/>
              <w:wordWrap/>
              <w:bidi w:val="0"/>
              <w:snapToGrid/>
              <w:jc w:val="center"/>
              <w:rPr>
                <w:rFonts w:ascii="Times New Roman" w:hAnsi="Times New Roman" w:eastAsia="宋体" w:cs="Times New Roman"/>
                <w:szCs w:val="21"/>
              </w:rPr>
            </w:pPr>
          </w:p>
        </w:tc>
        <w:tc>
          <w:tcPr>
            <w:tcW w:w="1762" w:type="dxa"/>
            <w:vAlign w:val="center"/>
          </w:tcPr>
          <w:p>
            <w:pPr>
              <w:pStyle w:val="41"/>
              <w:keepNext w:val="0"/>
              <w:keepLines w:val="0"/>
              <w:pageBreakBefore w:val="0"/>
              <w:kinsoku/>
              <w:wordWrap/>
              <w:bidi w:val="0"/>
              <w:snapToGrid/>
              <w:rPr>
                <w:szCs w:val="21"/>
              </w:rPr>
            </w:pPr>
            <w:r>
              <w:rPr>
                <w:szCs w:val="21"/>
              </w:rPr>
              <w:t>含树脂废砂芯(HW13)</w:t>
            </w:r>
          </w:p>
        </w:tc>
        <w:tc>
          <w:tcPr>
            <w:tcW w:w="1425" w:type="dxa"/>
            <w:vAlign w:val="center"/>
          </w:tcPr>
          <w:p>
            <w:pPr>
              <w:pStyle w:val="88"/>
              <w:keepNext w:val="0"/>
              <w:keepLines w:val="0"/>
              <w:pageBreakBefore w:val="0"/>
              <w:kinsoku/>
              <w:wordWrap/>
              <w:overflowPunct/>
              <w:topLinePunct w:val="0"/>
              <w:autoSpaceDE/>
              <w:autoSpaceDN/>
              <w:bidi w:val="0"/>
              <w:adjustRightInd/>
              <w:snapToGrid/>
              <w:textAlignment w:val="auto"/>
              <w:rPr>
                <w:szCs w:val="21"/>
              </w:rPr>
            </w:pPr>
            <w:r>
              <w:rPr>
                <w:rFonts w:cs="Times New Roman"/>
                <w:color w:val="auto"/>
              </w:rPr>
              <w:t>0.003</w:t>
            </w:r>
          </w:p>
        </w:tc>
        <w:tc>
          <w:tcPr>
            <w:tcW w:w="1920" w:type="dxa"/>
            <w:vAlign w:val="center"/>
          </w:tcPr>
          <w:p>
            <w:pPr>
              <w:keepNext w:val="0"/>
              <w:keepLines w:val="0"/>
              <w:pageBreakBefore w:val="0"/>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送铜陵市正源环境工程技术有限公司</w:t>
            </w:r>
          </w:p>
        </w:tc>
        <w:tc>
          <w:tcPr>
            <w:tcW w:w="2788" w:type="dxa"/>
            <w:vAlign w:val="center"/>
          </w:tcPr>
          <w:p>
            <w:pPr>
              <w:pStyle w:val="41"/>
              <w:keepNext w:val="0"/>
              <w:keepLines w:val="0"/>
              <w:pageBreakBefore w:val="0"/>
              <w:kinsoku/>
              <w:wordWrap/>
              <w:bidi w:val="0"/>
              <w:snapToGrid/>
              <w:rPr>
                <w:szCs w:val="21"/>
              </w:rPr>
            </w:pPr>
            <w:r>
              <w:rPr>
                <w:rFonts w:hint="eastAsia" w:ascii="Times New Roman" w:hAnsi="Times New Roman" w:eastAsia="宋体"/>
                <w:color w:val="auto"/>
              </w:rPr>
              <w:t>送芜湖海创环保科技有限责任公司</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危险废物暂存仓库</w:t>
      </w:r>
      <w:r>
        <w:rPr>
          <w:rFonts w:ascii="Times New Roman" w:hAnsi="Times New Roman" w:eastAsia="宋体" w:cs="Times New Roman"/>
          <w:sz w:val="24"/>
          <w:szCs w:val="24"/>
          <w:highlight w:val="none"/>
        </w:rPr>
        <w:t>：位于</w:t>
      </w:r>
      <w:r>
        <w:rPr>
          <w:rFonts w:hint="eastAsia" w:ascii="Times New Roman" w:hAnsi="Times New Roman" w:eastAsia="宋体" w:cs="Times New Roman"/>
          <w:sz w:val="24"/>
          <w:szCs w:val="24"/>
          <w:highlight w:val="none"/>
          <w:lang w:eastAsia="zh-CN"/>
        </w:rPr>
        <w:t>焦化废水酚氰废水处理站西北侧，备煤车间北侧</w:t>
      </w:r>
      <w:r>
        <w:rPr>
          <w:rFonts w:ascii="Times New Roman" w:hAnsi="Times New Roman" w:eastAsia="宋体" w:cs="Times New Roman"/>
          <w:sz w:val="24"/>
          <w:szCs w:val="24"/>
          <w:highlight w:val="none"/>
        </w:rPr>
        <w:t>，</w:t>
      </w:r>
      <w:r>
        <w:rPr>
          <w:rFonts w:ascii="Times New Roman" w:hAnsi="Times New Roman" w:eastAsia="宋体" w:cs="Times New Roman"/>
          <w:sz w:val="24"/>
          <w:szCs w:val="24"/>
        </w:rPr>
        <w:t>场地采取水泥硬化处理，分类收集、防渗容器包装；配备灭火器、消防砂等器材；具有防风、防雨及防渗等功能，基本符合《危险废物贮存污染控制标准》（GB18597-2001）（2013年修订）有关要求。</w:t>
      </w:r>
    </w:p>
    <w:p>
      <w:pPr>
        <w:pStyle w:val="27"/>
        <w:keepNext w:val="0"/>
        <w:keepLines w:val="0"/>
        <w:pageBreakBefore w:val="0"/>
        <w:kinsoku/>
        <w:wordWrap/>
        <w:bidi w:val="0"/>
        <w:snapToGrid/>
        <w:spacing w:before="156" w:after="156" w:line="360" w:lineRule="auto"/>
        <w:rPr>
          <w:rFonts w:ascii="Times New Roman"/>
          <w:b w:val="0"/>
        </w:rPr>
      </w:pPr>
      <w:r>
        <w:rPr>
          <w:rFonts w:hint="eastAsia" w:ascii="Times New Roman"/>
          <w:b w:val="0"/>
          <w:lang w:val="en-US" w:eastAsia="zh-CN"/>
        </w:rPr>
        <w:t>7</w:t>
      </w:r>
      <w:r>
        <w:rPr>
          <w:rFonts w:ascii="Times New Roman"/>
          <w:b w:val="0"/>
        </w:rPr>
        <w:t>.6地下水和土壤处置措施后评价</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highlight w:val="none"/>
        </w:rPr>
      </w:pPr>
      <w:r>
        <w:rPr>
          <w:rFonts w:ascii="Times New Roman" w:hAnsi="Times New Roman" w:eastAsia="宋体" w:cs="Times New Roman"/>
          <w:sz w:val="24"/>
          <w:szCs w:val="24"/>
        </w:rPr>
        <w:t>为防治地下水和土壤污染，厂区目前采</w:t>
      </w:r>
      <w:r>
        <w:rPr>
          <w:rFonts w:ascii="Times New Roman" w:hAnsi="Times New Roman" w:eastAsia="宋体" w:cs="Times New Roman"/>
          <w:sz w:val="24"/>
          <w:szCs w:val="24"/>
          <w:highlight w:val="none"/>
        </w:rPr>
        <w:t>取的防护措施主要有：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highlight w:val="none"/>
        </w:rPr>
        <w:t>（1）项目化学品暂存于化学品仓库，采用防</w:t>
      </w:r>
      <w:r>
        <w:rPr>
          <w:rFonts w:ascii="Times New Roman" w:hAnsi="Times New Roman" w:eastAsia="宋体" w:cs="Times New Roman"/>
          <w:sz w:val="24"/>
          <w:szCs w:val="24"/>
        </w:rPr>
        <w:t>腐防渗的环氧树脂地面，同时危化品均用密闭的容器储存，化学品容器置于托盘上，用垫板垫高，防治与地面接触，仓库设有围堰。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（2）危险废物暂存库地面采用防渗防漏的环氧树脂地面，危险废物用密封桶/袋储存，并设置托盘和围堰，防止发生事故时危险废液的泄露污染外环境。</w:t>
      </w:r>
    </w:p>
    <w:p>
      <w:pPr>
        <w:pStyle w:val="27"/>
        <w:keepNext w:val="0"/>
        <w:keepLines w:val="0"/>
        <w:pageBreakBefore w:val="0"/>
        <w:kinsoku/>
        <w:wordWrap/>
        <w:bidi w:val="0"/>
        <w:snapToGrid/>
        <w:spacing w:before="156" w:after="156" w:line="360" w:lineRule="auto"/>
        <w:rPr>
          <w:rFonts w:ascii="Times New Roman"/>
          <w:b w:val="0"/>
          <w:color w:val="FF0000"/>
        </w:rPr>
      </w:pPr>
      <w:r>
        <w:rPr>
          <w:rFonts w:hint="eastAsia" w:ascii="Times New Roman"/>
          <w:b w:val="0"/>
          <w:color w:val="FF0000"/>
          <w:lang w:val="en-US" w:eastAsia="zh-CN"/>
        </w:rPr>
        <w:t>7</w:t>
      </w:r>
      <w:r>
        <w:rPr>
          <w:rFonts w:ascii="Times New Roman"/>
          <w:b w:val="0"/>
          <w:color w:val="FF0000"/>
        </w:rPr>
        <w:t>.7环境保护补救方案和改进措施</w:t>
      </w:r>
    </w:p>
    <w:p>
      <w:pPr>
        <w:keepNext w:val="0"/>
        <w:keepLines w:val="0"/>
        <w:pageBreakBefore w:val="0"/>
        <w:kinsoku/>
        <w:wordWrap/>
        <w:bidi w:val="0"/>
        <w:snapToGrid/>
        <w:spacing w:before="156" w:beforeLines="50" w:after="156" w:afterLines="50" w:line="360" w:lineRule="auto"/>
        <w:outlineLvl w:val="2"/>
        <w:rPr>
          <w:rFonts w:hint="default" w:ascii="Times New Roman" w:hAnsi="Times New Roman" w:eastAsia="黑体" w:cs="Times New Roman"/>
          <w:color w:val="FF0000"/>
          <w:sz w:val="24"/>
          <w:szCs w:val="24"/>
          <w:lang w:val="en-US" w:eastAsia="zh-CN"/>
        </w:rPr>
      </w:pPr>
      <w:r>
        <w:rPr>
          <w:rFonts w:hint="eastAsia" w:ascii="Times New Roman" w:hAnsi="Times New Roman" w:eastAsia="黑体" w:cs="Times New Roman"/>
          <w:color w:val="FF0000"/>
          <w:sz w:val="24"/>
          <w:szCs w:val="24"/>
          <w:lang w:val="en-US" w:eastAsia="zh-CN"/>
        </w:rPr>
        <w:t>7.7.1环境管理制度</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根据</w:t>
      </w:r>
      <w:r>
        <w:rPr>
          <w:rFonts w:ascii="Times New Roman" w:hAnsi="Times New Roman" w:eastAsia="宋体" w:cs="Times New Roman"/>
          <w:bCs/>
          <w:color w:val="FF0000"/>
          <w:sz w:val="24"/>
          <w:szCs w:val="24"/>
        </w:rPr>
        <w:t>《排污单位自行监测技术指南  钢铁工业及炼焦化学工业》（HJ878-2017）</w:t>
      </w:r>
      <w:r>
        <w:rPr>
          <w:rFonts w:hint="eastAsia" w:ascii="Times New Roman" w:hAnsi="Times New Roman" w:eastAsia="宋体" w:cs="Times New Roman"/>
          <w:bCs/>
          <w:color w:val="FF0000"/>
          <w:sz w:val="24"/>
          <w:szCs w:val="24"/>
          <w:lang w:eastAsia="zh-CN"/>
        </w:rPr>
        <w:t>中关于生产和污染治理设施运行状况信息记录描述，本次评价要求企业做到以下要求：</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w:t>
      </w:r>
      <w:r>
        <w:rPr>
          <w:rFonts w:hint="eastAsia" w:ascii="Times New Roman" w:hAnsi="Times New Roman" w:eastAsia="宋体" w:cs="Times New Roman"/>
          <w:color w:val="FF0000"/>
          <w:sz w:val="24"/>
          <w:szCs w:val="24"/>
          <w:lang w:val="en-US" w:eastAsia="zh-CN"/>
        </w:rPr>
        <w:t>1</w:t>
      </w:r>
      <w:r>
        <w:rPr>
          <w:rFonts w:hint="eastAsia" w:ascii="Times New Roman" w:hAnsi="Times New Roman" w:eastAsia="宋体" w:cs="Times New Roman"/>
          <w:color w:val="FF0000"/>
          <w:sz w:val="24"/>
          <w:szCs w:val="24"/>
          <w:lang w:eastAsia="zh-CN"/>
        </w:rPr>
        <w:t>）生产运行状况记录</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按班次记录正常工况各生产单元（焦化、烧结、高炉炼铁、转炉炼钢等工序）主要生产设施的累积生产时间、生产负荷、主要产品产量、原辅料及燃料（煤气）使用情况（包括种类、名称、用量、有毒有害元素成分及占比）等数据。</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w:t>
      </w:r>
      <w:r>
        <w:rPr>
          <w:rFonts w:hint="eastAsia" w:ascii="Times New Roman" w:hAnsi="Times New Roman" w:eastAsia="宋体" w:cs="Times New Roman"/>
          <w:color w:val="FF0000"/>
          <w:sz w:val="24"/>
          <w:szCs w:val="24"/>
          <w:lang w:val="en-US" w:eastAsia="zh-CN"/>
        </w:rPr>
        <w:t>2</w:t>
      </w:r>
      <w:r>
        <w:rPr>
          <w:rFonts w:hint="eastAsia" w:ascii="Times New Roman" w:hAnsi="Times New Roman" w:eastAsia="宋体" w:cs="Times New Roman"/>
          <w:color w:val="FF0000"/>
          <w:sz w:val="24"/>
          <w:szCs w:val="24"/>
          <w:lang w:eastAsia="zh-CN"/>
        </w:rPr>
        <w:t>）原辅料采购信息</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填写原辅料采购情况及物质、元素占比情况信息。</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w:t>
      </w:r>
      <w:r>
        <w:rPr>
          <w:rFonts w:hint="eastAsia" w:ascii="Times New Roman" w:hAnsi="Times New Roman" w:eastAsia="宋体" w:cs="Times New Roman"/>
          <w:color w:val="FF0000"/>
          <w:sz w:val="24"/>
          <w:szCs w:val="24"/>
          <w:lang w:val="en-US" w:eastAsia="zh-CN"/>
        </w:rPr>
        <w:t>3</w:t>
      </w:r>
      <w:r>
        <w:rPr>
          <w:rFonts w:hint="eastAsia" w:ascii="Times New Roman" w:hAnsi="Times New Roman" w:eastAsia="宋体" w:cs="Times New Roman"/>
          <w:color w:val="FF0000"/>
          <w:sz w:val="24"/>
          <w:szCs w:val="24"/>
          <w:lang w:eastAsia="zh-CN"/>
        </w:rPr>
        <w:t>）废气处理设施运行情况</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应记录除尘、脱硝、脱硫等工艺的基本情况，按班次记录氨水和尿素等含氨物质的消耗情况、脱硫剂使用剂量、脱硫副产物（</w:t>
      </w:r>
      <w:r>
        <w:rPr>
          <w:rFonts w:ascii="Times New Roman" w:hAnsi="Times New Roman" w:eastAsia="宋体" w:cs="Times New Roman"/>
          <w:color w:val="FF0000"/>
          <w:sz w:val="24"/>
        </w:rPr>
        <w:t>硫代硫酸铵、硫氰酸铵</w:t>
      </w:r>
      <w:r>
        <w:rPr>
          <w:rFonts w:hint="eastAsia" w:ascii="Times New Roman" w:hAnsi="Times New Roman" w:eastAsia="宋体" w:cs="Times New Roman"/>
          <w:color w:val="FF0000"/>
          <w:sz w:val="24"/>
          <w:lang w:eastAsia="zh-CN"/>
        </w:rPr>
        <w:t>等</w:t>
      </w:r>
      <w:r>
        <w:rPr>
          <w:rFonts w:ascii="Times New Roman" w:hAnsi="Times New Roman" w:eastAsia="宋体" w:cs="Times New Roman"/>
          <w:color w:val="FF0000"/>
          <w:sz w:val="24"/>
        </w:rPr>
        <w:t>产品</w:t>
      </w:r>
      <w:r>
        <w:rPr>
          <w:rFonts w:hint="eastAsia" w:ascii="Times New Roman" w:hAnsi="Times New Roman" w:eastAsia="宋体" w:cs="Times New Roman"/>
          <w:color w:val="FF0000"/>
          <w:sz w:val="24"/>
          <w:szCs w:val="24"/>
          <w:lang w:eastAsia="zh-CN"/>
        </w:rPr>
        <w:t>）产生量等，并记录除尘、脱硫、脱硫等设施运行、故障及维护情况。</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w:t>
      </w:r>
      <w:r>
        <w:rPr>
          <w:rFonts w:hint="eastAsia" w:ascii="Times New Roman" w:hAnsi="Times New Roman" w:eastAsia="宋体" w:cs="Times New Roman"/>
          <w:color w:val="FF0000"/>
          <w:sz w:val="24"/>
          <w:szCs w:val="24"/>
          <w:lang w:val="en-US" w:eastAsia="zh-CN"/>
        </w:rPr>
        <w:t>4</w:t>
      </w:r>
      <w:r>
        <w:rPr>
          <w:rFonts w:hint="eastAsia" w:ascii="Times New Roman" w:hAnsi="Times New Roman" w:eastAsia="宋体" w:cs="Times New Roman"/>
          <w:color w:val="FF0000"/>
          <w:sz w:val="24"/>
          <w:szCs w:val="24"/>
          <w:lang w:eastAsia="zh-CN"/>
        </w:rPr>
        <w:t>）废水处理设施运行情况</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应记录废水处理工艺（酚氰废水处理工艺和全厂综合废水处理工艺）的基本情况，按班次记录废水累计流量、药剂投加种类及投加量、污泥产生量等，并记录废水处理设施运行、故障及维护情况。</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w:t>
      </w:r>
      <w:r>
        <w:rPr>
          <w:rFonts w:hint="eastAsia" w:ascii="Times New Roman" w:hAnsi="Times New Roman" w:eastAsia="宋体" w:cs="Times New Roman"/>
          <w:color w:val="FF0000"/>
          <w:sz w:val="24"/>
          <w:szCs w:val="24"/>
          <w:lang w:val="en-US" w:eastAsia="zh-CN"/>
        </w:rPr>
        <w:t>5</w:t>
      </w:r>
      <w:r>
        <w:rPr>
          <w:rFonts w:hint="eastAsia" w:ascii="Times New Roman" w:hAnsi="Times New Roman" w:eastAsia="宋体" w:cs="Times New Roman"/>
          <w:color w:val="FF0000"/>
          <w:sz w:val="24"/>
          <w:szCs w:val="24"/>
          <w:lang w:eastAsia="zh-CN"/>
        </w:rPr>
        <w:t>）噪声防护设施运行情况</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应记录降噪设施的完好性及建设维护情况，记录相关参数。</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w:t>
      </w:r>
      <w:r>
        <w:rPr>
          <w:rFonts w:hint="eastAsia" w:ascii="Times New Roman" w:hAnsi="Times New Roman" w:eastAsia="宋体" w:cs="Times New Roman"/>
          <w:color w:val="FF0000"/>
          <w:sz w:val="24"/>
          <w:szCs w:val="24"/>
          <w:lang w:val="en-US" w:eastAsia="zh-CN"/>
        </w:rPr>
        <w:t>6</w:t>
      </w:r>
      <w:r>
        <w:rPr>
          <w:rFonts w:hint="eastAsia" w:ascii="Times New Roman" w:hAnsi="Times New Roman" w:eastAsia="宋体" w:cs="Times New Roman"/>
          <w:color w:val="FF0000"/>
          <w:sz w:val="24"/>
          <w:szCs w:val="24"/>
          <w:lang w:eastAsia="zh-CN"/>
        </w:rPr>
        <w:t>）一般工业固体废物和危险废物记录要求</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t>应记录一般工业固体废物和危险废物的产生量、综合利用量、处置量、贮存量，危险废物还应详细记录其具体去向。原料或辅助工序中产生的其他危险废物的情况也应记录。</w:t>
      </w:r>
    </w:p>
    <w:p>
      <w:pPr>
        <w:keepNext w:val="0"/>
        <w:keepLines w:val="0"/>
        <w:pageBreakBefore w:val="0"/>
        <w:kinsoku/>
        <w:wordWrap/>
        <w:bidi w:val="0"/>
        <w:snapToGrid/>
        <w:spacing w:before="156" w:beforeLines="50" w:after="156" w:afterLines="50" w:line="360" w:lineRule="auto"/>
        <w:outlineLvl w:val="2"/>
        <w:rPr>
          <w:rFonts w:hint="default" w:ascii="Times New Roman" w:hAnsi="Times New Roman" w:eastAsia="黑体" w:cs="Times New Roman"/>
          <w:color w:val="FF0000"/>
          <w:sz w:val="24"/>
          <w:szCs w:val="24"/>
          <w:lang w:val="en-US" w:eastAsia="zh-CN"/>
        </w:rPr>
      </w:pPr>
      <w:r>
        <w:rPr>
          <w:rFonts w:hint="eastAsia" w:ascii="Times New Roman" w:hAnsi="Times New Roman" w:eastAsia="黑体" w:cs="Times New Roman"/>
          <w:color w:val="FF0000"/>
          <w:sz w:val="24"/>
          <w:szCs w:val="24"/>
          <w:lang w:val="en-US" w:eastAsia="zh-CN"/>
        </w:rPr>
        <w:t>7.7.2污染防治措施有效性分析</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val="en-US" w:eastAsia="zh-CN"/>
        </w:rPr>
      </w:pPr>
      <w:r>
        <w:rPr>
          <w:rFonts w:hint="eastAsia" w:ascii="Times New Roman" w:hAnsi="Times New Roman" w:eastAsia="宋体" w:cs="Times New Roman"/>
          <w:color w:val="FF0000"/>
          <w:sz w:val="24"/>
          <w:szCs w:val="24"/>
          <w:lang w:val="en-US" w:eastAsia="zh-CN"/>
        </w:rPr>
        <w:t>（1）地下水监测井</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szCs w:val="24"/>
          <w:lang w:val="en-US" w:eastAsia="zh-CN"/>
        </w:rPr>
      </w:pPr>
      <w:r>
        <w:rPr>
          <w:rFonts w:hint="eastAsia" w:ascii="Times New Roman" w:hAnsi="Times New Roman" w:eastAsia="宋体" w:cs="Times New Roman"/>
          <w:color w:val="FF0000"/>
          <w:sz w:val="24"/>
          <w:szCs w:val="24"/>
          <w:lang w:eastAsia="zh-CN"/>
        </w:rPr>
        <w:t>厂区目前共有</w:t>
      </w:r>
      <w:r>
        <w:rPr>
          <w:rFonts w:hint="eastAsia" w:ascii="Times New Roman" w:hAnsi="Times New Roman" w:eastAsia="宋体" w:cs="Times New Roman"/>
          <w:color w:val="FF0000"/>
          <w:sz w:val="24"/>
          <w:szCs w:val="24"/>
          <w:lang w:val="en-US" w:eastAsia="zh-CN"/>
        </w:rPr>
        <w:t>5个地下水监测井，各监测井信息如下所示。</w:t>
      </w:r>
    </w:p>
    <w:p>
      <w:pPr>
        <w:keepNext w:val="0"/>
        <w:keepLines w:val="0"/>
        <w:pageBreakBefore w:val="0"/>
        <w:kinsoku/>
        <w:wordWrap/>
        <w:bidi w:val="0"/>
        <w:snapToGrid/>
        <w:spacing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-1  厂区</w:t>
      </w:r>
      <w:r>
        <w:rPr>
          <w:rFonts w:hint="eastAsia" w:ascii="Times New Roman" w:hAnsi="Times New Roman" w:eastAsia="黑体" w:cs="Times New Roman"/>
          <w:color w:val="FF0000"/>
          <w:sz w:val="24"/>
          <w:lang w:eastAsia="zh-CN"/>
        </w:rPr>
        <w:t>地下水监测井信息</w:t>
      </w:r>
      <w:r>
        <w:rPr>
          <w:rFonts w:ascii="Times New Roman" w:hAnsi="Times New Roman" w:eastAsia="黑体" w:cs="Times New Roman"/>
          <w:color w:val="FF0000"/>
          <w:sz w:val="24"/>
        </w:rPr>
        <w:t>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109"/>
        <w:gridCol w:w="2208"/>
        <w:gridCol w:w="1883"/>
        <w:gridCol w:w="1438"/>
        <w:gridCol w:w="143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1" w:hRule="atLeast"/>
          <w:jc w:val="center"/>
        </w:trPr>
        <w:tc>
          <w:tcPr>
            <w:tcW w:w="2109"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点位名称</w:t>
            </w:r>
          </w:p>
        </w:tc>
        <w:tc>
          <w:tcPr>
            <w:tcW w:w="220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点位坐标</w:t>
            </w:r>
          </w:p>
        </w:tc>
        <w:tc>
          <w:tcPr>
            <w:tcW w:w="188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水井用途</w:t>
            </w:r>
          </w:p>
        </w:tc>
        <w:tc>
          <w:tcPr>
            <w:tcW w:w="143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井深（m）</w:t>
            </w:r>
          </w:p>
        </w:tc>
        <w:tc>
          <w:tcPr>
            <w:tcW w:w="143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
                <w:color w:val="FF0000"/>
                <w:szCs w:val="21"/>
              </w:rPr>
            </w:pPr>
            <w:r>
              <w:rPr>
                <w:rFonts w:ascii="Times New Roman" w:hAnsi="Times New Roman" w:eastAsia="宋体" w:cs="Times New Roman"/>
                <w:b/>
                <w:color w:val="FF0000"/>
                <w:szCs w:val="21"/>
              </w:rPr>
              <w:t>水位（m）</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1" w:hRule="atLeast"/>
          <w:jc w:val="center"/>
        </w:trPr>
        <w:tc>
          <w:tcPr>
            <w:tcW w:w="210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color w:val="FF0000"/>
              </w:rPr>
              <w:t>厂区1#监测井</w:t>
            </w:r>
          </w:p>
        </w:tc>
        <w:tc>
          <w:tcPr>
            <w:tcW w:w="220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E118°8′34″</w:t>
            </w:r>
          </w:p>
          <w:p>
            <w:pPr>
              <w:keepNext w:val="0"/>
              <w:keepLines w:val="0"/>
              <w:pageBreakBefore w:val="0"/>
              <w:widowControl/>
              <w:kinsoku/>
              <w:wordWrap/>
              <w:bidi w:val="0"/>
              <w:snapToGrid/>
              <w:jc w:val="center"/>
              <w:rPr>
                <w:rFonts w:ascii="Times New Roman" w:hAnsi="Times New Roman" w:eastAsia="宋体" w:cs="Times New Roman"/>
                <w:color w:val="FF0000"/>
                <w:szCs w:val="21"/>
              </w:rPr>
            </w:pPr>
            <w:r>
              <w:rPr>
                <w:rFonts w:ascii="Times New Roman" w:hAnsi="Times New Roman" w:eastAsia="宋体" w:cs="Times New Roman"/>
                <w:color w:val="FF0000"/>
                <w:kern w:val="0"/>
                <w:szCs w:val="21"/>
              </w:rPr>
              <w:t>N31°14′5″</w:t>
            </w:r>
          </w:p>
        </w:tc>
        <w:tc>
          <w:tcPr>
            <w:tcW w:w="188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color w:val="FF0000"/>
                <w:szCs w:val="21"/>
              </w:rPr>
              <w:t>厂区监测井</w:t>
            </w:r>
          </w:p>
        </w:tc>
        <w:tc>
          <w:tcPr>
            <w:tcW w:w="143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6</w:t>
            </w:r>
          </w:p>
        </w:tc>
        <w:tc>
          <w:tcPr>
            <w:tcW w:w="143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1" w:hRule="atLeast"/>
          <w:jc w:val="center"/>
        </w:trPr>
        <w:tc>
          <w:tcPr>
            <w:tcW w:w="210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color w:val="FF0000"/>
              </w:rPr>
              <w:t>厂区2#监测井</w:t>
            </w:r>
          </w:p>
        </w:tc>
        <w:tc>
          <w:tcPr>
            <w:tcW w:w="220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E118°9′16″</w:t>
            </w:r>
          </w:p>
          <w:p>
            <w:pPr>
              <w:pStyle w:val="2"/>
              <w:keepNext w:val="0"/>
              <w:keepLines w:val="0"/>
              <w:pageBreakBefore w:val="0"/>
              <w:kinsoku/>
              <w:wordWrap/>
              <w:bidi w:val="0"/>
              <w:snapToGrid/>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N31°14′6″</w:t>
            </w:r>
          </w:p>
        </w:tc>
        <w:tc>
          <w:tcPr>
            <w:tcW w:w="188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color w:val="FF0000"/>
                <w:szCs w:val="21"/>
              </w:rPr>
              <w:t>厂区监测井</w:t>
            </w:r>
          </w:p>
        </w:tc>
        <w:tc>
          <w:tcPr>
            <w:tcW w:w="143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6</w:t>
            </w:r>
          </w:p>
        </w:tc>
        <w:tc>
          <w:tcPr>
            <w:tcW w:w="143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1" w:hRule="atLeast"/>
          <w:jc w:val="center"/>
        </w:trPr>
        <w:tc>
          <w:tcPr>
            <w:tcW w:w="210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color w:val="FF0000"/>
              </w:rPr>
              <w:t>厂区3#监测井</w:t>
            </w:r>
          </w:p>
        </w:tc>
        <w:tc>
          <w:tcPr>
            <w:tcW w:w="220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E118°9′16″</w:t>
            </w:r>
          </w:p>
          <w:p>
            <w:pPr>
              <w:pStyle w:val="2"/>
              <w:keepNext w:val="0"/>
              <w:keepLines w:val="0"/>
              <w:pageBreakBefore w:val="0"/>
              <w:kinsoku/>
              <w:wordWrap/>
              <w:bidi w:val="0"/>
              <w:snapToGrid/>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N31°13′26″</w:t>
            </w:r>
          </w:p>
        </w:tc>
        <w:tc>
          <w:tcPr>
            <w:tcW w:w="188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color w:val="FF0000"/>
                <w:szCs w:val="21"/>
              </w:rPr>
              <w:t>厂区监测井</w:t>
            </w:r>
          </w:p>
        </w:tc>
        <w:tc>
          <w:tcPr>
            <w:tcW w:w="143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6</w:t>
            </w:r>
          </w:p>
        </w:tc>
        <w:tc>
          <w:tcPr>
            <w:tcW w:w="143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1" w:hRule="atLeast"/>
          <w:jc w:val="center"/>
        </w:trPr>
        <w:tc>
          <w:tcPr>
            <w:tcW w:w="210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color w:val="FF0000"/>
              </w:rPr>
              <w:t>厂区4#监测井</w:t>
            </w:r>
          </w:p>
        </w:tc>
        <w:tc>
          <w:tcPr>
            <w:tcW w:w="220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E118°9′16″</w:t>
            </w:r>
          </w:p>
          <w:p>
            <w:pPr>
              <w:pStyle w:val="2"/>
              <w:keepNext w:val="0"/>
              <w:keepLines w:val="0"/>
              <w:pageBreakBefore w:val="0"/>
              <w:kinsoku/>
              <w:wordWrap/>
              <w:bidi w:val="0"/>
              <w:snapToGrid/>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N31°13′19″</w:t>
            </w:r>
          </w:p>
        </w:tc>
        <w:tc>
          <w:tcPr>
            <w:tcW w:w="188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color w:val="FF0000"/>
                <w:szCs w:val="21"/>
              </w:rPr>
              <w:t>厂区监测井</w:t>
            </w:r>
          </w:p>
        </w:tc>
        <w:tc>
          <w:tcPr>
            <w:tcW w:w="143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6</w:t>
            </w:r>
          </w:p>
        </w:tc>
        <w:tc>
          <w:tcPr>
            <w:tcW w:w="143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1" w:hRule="atLeast"/>
          <w:jc w:val="center"/>
        </w:trPr>
        <w:tc>
          <w:tcPr>
            <w:tcW w:w="2109" w:type="dxa"/>
            <w:tcBorders>
              <w:tl2br w:val="nil"/>
              <w:tr2bl w:val="nil"/>
            </w:tcBorders>
            <w:vAlign w:val="center"/>
          </w:tcPr>
          <w:p>
            <w:pPr>
              <w:pStyle w:val="85"/>
              <w:keepNext w:val="0"/>
              <w:keepLines w:val="0"/>
              <w:pageBreakBefore w:val="0"/>
              <w:kinsoku/>
              <w:wordWrap/>
              <w:bidi w:val="0"/>
              <w:snapToGrid/>
              <w:spacing w:line="240" w:lineRule="auto"/>
              <w:rPr>
                <w:rFonts w:eastAsia="宋体" w:cs="Times New Roman"/>
                <w:color w:val="FF0000"/>
              </w:rPr>
            </w:pPr>
            <w:r>
              <w:rPr>
                <w:rFonts w:eastAsia="宋体" w:cs="Times New Roman"/>
                <w:color w:val="FF0000"/>
              </w:rPr>
              <w:t>厂区5#监测井</w:t>
            </w:r>
          </w:p>
        </w:tc>
        <w:tc>
          <w:tcPr>
            <w:tcW w:w="220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E118°8′26″</w:t>
            </w:r>
          </w:p>
          <w:p>
            <w:pPr>
              <w:pStyle w:val="2"/>
              <w:keepNext w:val="0"/>
              <w:keepLines w:val="0"/>
              <w:pageBreakBefore w:val="0"/>
              <w:kinsoku/>
              <w:wordWrap/>
              <w:bidi w:val="0"/>
              <w:snapToGrid/>
              <w:spacing w:after="0"/>
              <w:jc w:val="center"/>
              <w:rPr>
                <w:rFonts w:ascii="Times New Roman" w:hAnsi="Times New Roman" w:eastAsia="宋体" w:cs="Times New Roman"/>
                <w:color w:val="FF0000"/>
                <w:kern w:val="0"/>
                <w:szCs w:val="21"/>
              </w:rPr>
            </w:pPr>
            <w:r>
              <w:rPr>
                <w:rFonts w:ascii="Times New Roman" w:hAnsi="Times New Roman" w:eastAsia="宋体" w:cs="Times New Roman"/>
                <w:color w:val="FF0000"/>
                <w:kern w:val="0"/>
                <w:szCs w:val="21"/>
              </w:rPr>
              <w:t>N31°13′26″</w:t>
            </w:r>
          </w:p>
        </w:tc>
        <w:tc>
          <w:tcPr>
            <w:tcW w:w="188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color w:val="FF0000"/>
                <w:szCs w:val="21"/>
              </w:rPr>
              <w:t>厂区监测井</w:t>
            </w:r>
          </w:p>
        </w:tc>
        <w:tc>
          <w:tcPr>
            <w:tcW w:w="1438"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6</w:t>
            </w:r>
          </w:p>
        </w:tc>
        <w:tc>
          <w:tcPr>
            <w:tcW w:w="1433" w:type="dxa"/>
            <w:tcBorders>
              <w:tl2br w:val="nil"/>
              <w:tr2bl w:val="nil"/>
            </w:tcBorders>
            <w:vAlign w:val="center"/>
          </w:tcPr>
          <w:p>
            <w:pPr>
              <w:pStyle w:val="2"/>
              <w:keepNext w:val="0"/>
              <w:keepLines w:val="0"/>
              <w:pageBreakBefore w:val="0"/>
              <w:kinsoku/>
              <w:wordWrap/>
              <w:bidi w:val="0"/>
              <w:snapToGrid/>
              <w:spacing w:after="0"/>
              <w:jc w:val="center"/>
              <w:rPr>
                <w:rFonts w:ascii="Times New Roman" w:hAnsi="Times New Roman" w:eastAsia="宋体" w:cs="Times New Roman"/>
                <w:bCs/>
                <w:color w:val="FF0000"/>
                <w:szCs w:val="21"/>
              </w:rPr>
            </w:pPr>
            <w:r>
              <w:rPr>
                <w:rFonts w:ascii="Times New Roman" w:hAnsi="Times New Roman" w:eastAsia="宋体" w:cs="Times New Roman"/>
                <w:bCs/>
                <w:color w:val="FF0000"/>
                <w:szCs w:val="21"/>
              </w:rPr>
              <w:t>2</w:t>
            </w:r>
          </w:p>
        </w:tc>
      </w:tr>
    </w:tbl>
    <w:p>
      <w:pPr>
        <w:pStyle w:val="2"/>
        <w:keepNext w:val="0"/>
        <w:keepLines w:val="0"/>
        <w:pageBreakBefore w:val="0"/>
        <w:kinsoku/>
        <w:wordWrap/>
        <w:bidi w:val="0"/>
        <w:snapToGrid/>
        <w:spacing w:after="0" w:line="360" w:lineRule="auto"/>
        <w:ind w:firstLine="480" w:firstLineChars="200"/>
        <w:rPr>
          <w:rFonts w:hint="default" w:ascii="Times New Roman" w:hAnsi="Times New Roman" w:eastAsia="宋体" w:cs="Times New Roman"/>
          <w:color w:val="FF0000"/>
          <w:sz w:val="24"/>
          <w:szCs w:val="24"/>
          <w:lang w:val="en-US" w:eastAsia="zh-CN"/>
        </w:rPr>
      </w:pPr>
      <w:r>
        <w:rPr>
          <w:rFonts w:hint="eastAsia" w:ascii="Times New Roman" w:hAnsi="Times New Roman" w:eastAsia="宋体" w:cs="Times New Roman"/>
          <w:color w:val="FF0000"/>
          <w:sz w:val="24"/>
          <w:szCs w:val="24"/>
          <w:lang w:val="en-US" w:eastAsia="zh-CN"/>
        </w:rPr>
        <w:t>根据调查，自2017年至2019年厂区地下水监测井未按要求进行例行监测，由于原环评中未明确监测频次与指标，本次后评价中对地下水监测计划提出要求，具体见下所示。</w:t>
      </w:r>
    </w:p>
    <w:p>
      <w:pPr>
        <w:keepNext w:val="0"/>
        <w:keepLines w:val="0"/>
        <w:pageBreakBefore w:val="0"/>
        <w:kinsoku/>
        <w:wordWrap/>
        <w:bidi w:val="0"/>
        <w:snapToGrid/>
        <w:spacing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w:t>
      </w:r>
      <w:r>
        <w:rPr>
          <w:rFonts w:hint="eastAsia" w:ascii="Times New Roman" w:hAnsi="Times New Roman" w:eastAsia="黑体" w:cs="Times New Roman"/>
          <w:color w:val="FF0000"/>
          <w:sz w:val="24"/>
          <w:lang w:val="en-US" w:eastAsia="zh-CN"/>
        </w:rPr>
        <w:t>2</w:t>
      </w:r>
      <w:r>
        <w:rPr>
          <w:rFonts w:ascii="Times New Roman" w:hAnsi="Times New Roman" w:eastAsia="黑体" w:cs="Times New Roman"/>
          <w:color w:val="FF0000"/>
          <w:sz w:val="24"/>
        </w:rPr>
        <w:t xml:space="preserve">  厂区</w:t>
      </w:r>
      <w:r>
        <w:rPr>
          <w:rFonts w:hint="eastAsia" w:ascii="Times New Roman" w:hAnsi="Times New Roman" w:eastAsia="黑体" w:cs="Times New Roman"/>
          <w:color w:val="FF0000"/>
          <w:sz w:val="24"/>
          <w:lang w:eastAsia="zh-CN"/>
        </w:rPr>
        <w:t>地下水监测计划一览表</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32"/>
        <w:gridCol w:w="5250"/>
        <w:gridCol w:w="21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632" w:type="dxa"/>
            <w:tcBorders>
              <w:tl2br w:val="nil"/>
              <w:tr2bl w:val="nil"/>
            </w:tcBorders>
            <w:vAlign w:val="center"/>
          </w:tcPr>
          <w:p>
            <w:pPr>
              <w:pStyle w:val="85"/>
              <w:keepNext w:val="0"/>
              <w:keepLines w:val="0"/>
              <w:pageBreakBefore w:val="0"/>
              <w:kinsoku/>
              <w:wordWrap/>
              <w:bidi w:val="0"/>
              <w:snapToGrid/>
              <w:spacing w:line="240" w:lineRule="auto"/>
              <w:rPr>
                <w:rFonts w:hint="default" w:eastAsia="宋体" w:cs="Times New Roman"/>
                <w:b/>
                <w:bCs/>
                <w:color w:val="FF0000"/>
                <w:lang w:val="en-US" w:eastAsia="zh-CN"/>
              </w:rPr>
            </w:pPr>
            <w:r>
              <w:rPr>
                <w:rFonts w:hint="eastAsia" w:eastAsia="宋体" w:cs="Times New Roman"/>
                <w:b/>
                <w:bCs/>
                <w:color w:val="FF0000"/>
                <w:lang w:val="en-US" w:eastAsia="zh-CN"/>
              </w:rPr>
              <w:t>目标环境</w:t>
            </w:r>
          </w:p>
        </w:tc>
        <w:tc>
          <w:tcPr>
            <w:tcW w:w="5250" w:type="dxa"/>
            <w:tcBorders>
              <w:tl2br w:val="nil"/>
              <w:tr2bl w:val="nil"/>
            </w:tcBorders>
            <w:vAlign w:val="center"/>
          </w:tcPr>
          <w:p>
            <w:pPr>
              <w:pStyle w:val="85"/>
              <w:keepNext w:val="0"/>
              <w:keepLines w:val="0"/>
              <w:pageBreakBefore w:val="0"/>
              <w:kinsoku/>
              <w:wordWrap/>
              <w:bidi w:val="0"/>
              <w:snapToGrid/>
              <w:spacing w:line="240" w:lineRule="auto"/>
              <w:rPr>
                <w:rFonts w:hint="default" w:eastAsia="宋体" w:cs="Times New Roman"/>
                <w:b/>
                <w:bCs/>
                <w:color w:val="FF0000"/>
                <w:lang w:val="en-US" w:eastAsia="zh-CN"/>
              </w:rPr>
            </w:pPr>
            <w:r>
              <w:rPr>
                <w:rFonts w:hint="eastAsia" w:eastAsia="宋体" w:cs="Times New Roman"/>
                <w:b/>
                <w:bCs/>
                <w:color w:val="FF0000"/>
                <w:lang w:val="en-US" w:eastAsia="zh-CN"/>
              </w:rPr>
              <w:t>监测指标</w:t>
            </w:r>
          </w:p>
        </w:tc>
        <w:tc>
          <w:tcPr>
            <w:tcW w:w="2189" w:type="dxa"/>
            <w:tcBorders>
              <w:tl2br w:val="nil"/>
              <w:tr2bl w:val="nil"/>
            </w:tcBorders>
            <w:vAlign w:val="center"/>
          </w:tcPr>
          <w:p>
            <w:pPr>
              <w:pStyle w:val="85"/>
              <w:keepNext w:val="0"/>
              <w:keepLines w:val="0"/>
              <w:pageBreakBefore w:val="0"/>
              <w:kinsoku/>
              <w:wordWrap/>
              <w:bidi w:val="0"/>
              <w:snapToGrid/>
              <w:spacing w:line="240" w:lineRule="auto"/>
              <w:rPr>
                <w:rFonts w:hint="default" w:eastAsia="宋体" w:cs="Times New Roman"/>
                <w:b/>
                <w:bCs/>
                <w:color w:val="FF0000"/>
                <w:lang w:val="en-US" w:eastAsia="zh-CN"/>
              </w:rPr>
            </w:pPr>
            <w:r>
              <w:rPr>
                <w:rFonts w:hint="eastAsia" w:eastAsia="宋体" w:cs="Times New Roman"/>
                <w:b/>
                <w:bCs/>
                <w:color w:val="FF0000"/>
                <w:lang w:val="en-US" w:eastAsia="zh-CN"/>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632" w:type="dxa"/>
            <w:tcBorders>
              <w:tl2br w:val="nil"/>
              <w:tr2bl w:val="nil"/>
            </w:tcBorders>
            <w:vAlign w:val="center"/>
          </w:tcPr>
          <w:p>
            <w:pPr>
              <w:pStyle w:val="85"/>
              <w:keepNext w:val="0"/>
              <w:keepLines w:val="0"/>
              <w:pageBreakBefore w:val="0"/>
              <w:kinsoku/>
              <w:wordWrap/>
              <w:bidi w:val="0"/>
              <w:snapToGrid/>
              <w:spacing w:line="240" w:lineRule="auto"/>
              <w:rPr>
                <w:rFonts w:hint="default" w:eastAsia="宋体" w:cs="Times New Roman"/>
                <w:color w:val="FF0000"/>
                <w:lang w:val="en-US" w:eastAsia="zh-CN"/>
              </w:rPr>
            </w:pPr>
            <w:r>
              <w:rPr>
                <w:rFonts w:hint="eastAsia" w:eastAsia="宋体" w:cs="Times New Roman"/>
                <w:color w:val="FF0000"/>
                <w:lang w:val="en-US" w:eastAsia="zh-CN"/>
              </w:rPr>
              <w:t>地下水</w:t>
            </w:r>
          </w:p>
        </w:tc>
        <w:tc>
          <w:tcPr>
            <w:tcW w:w="5250" w:type="dxa"/>
            <w:tcBorders>
              <w:tl2br w:val="nil"/>
              <w:tr2bl w:val="nil"/>
            </w:tcBorders>
            <w:vAlign w:val="center"/>
          </w:tcPr>
          <w:p>
            <w:pPr>
              <w:pStyle w:val="85"/>
              <w:keepNext w:val="0"/>
              <w:keepLines w:val="0"/>
              <w:pageBreakBefore w:val="0"/>
              <w:kinsoku/>
              <w:wordWrap/>
              <w:bidi w:val="0"/>
              <w:snapToGrid/>
              <w:spacing w:line="240" w:lineRule="auto"/>
              <w:rPr>
                <w:rFonts w:hint="default" w:eastAsia="宋体" w:cs="Times New Roman"/>
                <w:color w:val="FF0000"/>
                <w:lang w:val="en-US" w:eastAsia="zh-CN"/>
              </w:rPr>
            </w:pPr>
            <w:r>
              <w:rPr>
                <w:rFonts w:hint="default" w:eastAsia="宋体" w:cs="Times New Roman"/>
                <w:color w:val="FF0000"/>
                <w:lang w:val="en-US" w:eastAsia="zh-CN"/>
              </w:rPr>
              <w:t>pH、色度、嗅和味、浑浊度、肉眼可见物、氨氮、挥发酚、氰化物、氟化物、六价铬、总硬度、溶解性总固体、耗氧量、硫酸盐、氯化物、硝酸盐、亚硝酸盐、硫化物、砷、汞、硒、铝、镉、钠、铅、铁、锰、铜、锌、苯、甲苯、菌落总数、总大肠菌数、四氯化碳、苯并芘，共35项</w:t>
            </w:r>
          </w:p>
        </w:tc>
        <w:tc>
          <w:tcPr>
            <w:tcW w:w="2189" w:type="dxa"/>
            <w:tcBorders>
              <w:tl2br w:val="nil"/>
              <w:tr2bl w:val="nil"/>
            </w:tcBorders>
            <w:vAlign w:val="center"/>
          </w:tcPr>
          <w:p>
            <w:pPr>
              <w:pStyle w:val="85"/>
              <w:keepNext w:val="0"/>
              <w:keepLines w:val="0"/>
              <w:pageBreakBefore w:val="0"/>
              <w:kinsoku/>
              <w:wordWrap/>
              <w:bidi w:val="0"/>
              <w:snapToGrid/>
              <w:spacing w:line="240" w:lineRule="auto"/>
              <w:rPr>
                <w:rFonts w:hint="default" w:eastAsia="宋体" w:cs="Times New Roman"/>
                <w:color w:val="FF0000"/>
                <w:lang w:val="en-US" w:eastAsia="zh-CN"/>
              </w:rPr>
            </w:pPr>
            <w:r>
              <w:rPr>
                <w:rFonts w:hint="eastAsia" w:eastAsia="宋体" w:cs="Times New Roman"/>
                <w:color w:val="FF0000"/>
                <w:lang w:val="en-US" w:eastAsia="zh-CN"/>
              </w:rPr>
              <w:t>1次/年</w:t>
            </w:r>
          </w:p>
        </w:tc>
      </w:tr>
    </w:tbl>
    <w:p>
      <w:pPr>
        <w:keepNext w:val="0"/>
        <w:keepLines w:val="0"/>
        <w:pageBreakBefore w:val="0"/>
        <w:kinsoku/>
        <w:wordWrap/>
        <w:bidi w:val="0"/>
        <w:snapToGrid/>
        <w:spacing w:before="156" w:beforeLines="50" w:after="156" w:afterLines="50" w:line="360" w:lineRule="auto"/>
        <w:outlineLvl w:val="2"/>
        <w:rPr>
          <w:rFonts w:hint="default" w:ascii="Times New Roman" w:hAnsi="Times New Roman" w:eastAsia="黑体" w:cs="Times New Roman"/>
          <w:color w:val="FF0000"/>
          <w:sz w:val="24"/>
          <w:szCs w:val="24"/>
          <w:lang w:val="en-US" w:eastAsia="zh-CN"/>
        </w:rPr>
      </w:pPr>
      <w:r>
        <w:rPr>
          <w:rFonts w:hint="eastAsia" w:ascii="Times New Roman" w:hAnsi="Times New Roman" w:eastAsia="黑体" w:cs="Times New Roman"/>
          <w:color w:val="FF0000"/>
          <w:sz w:val="24"/>
          <w:szCs w:val="24"/>
          <w:lang w:val="en-US" w:eastAsia="zh-CN"/>
        </w:rPr>
        <w:t>7.7.3厂区超低排放改造计划</w:t>
      </w:r>
    </w:p>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color w:val="FF0000"/>
          <w:sz w:val="24"/>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color w:val="FF0000"/>
          <w:sz w:val="24"/>
          <w:szCs w:val="24"/>
        </w:rPr>
        <w:t>项目的废水、废气、固体废物及噪声均采用切实有效的污染防治措施处理后，满足现状达标排放要求，但根据</w:t>
      </w:r>
      <w:r>
        <w:rPr>
          <w:rFonts w:ascii="Times New Roman" w:hAnsi="Times New Roman" w:eastAsia="宋体" w:cs="Times New Roman"/>
          <w:color w:val="FF0000"/>
          <w:sz w:val="24"/>
        </w:rPr>
        <w:t>《关于推进实施钢铁行业超低排放的意见》中内容：“推动现有钢铁企业超低排放改造，到2020年底前，重点区域（包括安徽省）钢铁企业超低排放改造取得明显进展，力争60%左右产能完成改造，有序推进其他地区钢铁企业超低排放改造工作；到2025年底前，重点区域钢铁企业超低排放改造基本完成，全国力争80%以上产能完成改造”。本次评价中提出芜湖新兴铸管需在2020年底前，完成厂区超低排放改造，改造后大气污染物排放执行相应超低排放标准要求。</w:t>
      </w:r>
      <w:r>
        <w:rPr>
          <w:rFonts w:hint="eastAsia" w:ascii="Times New Roman" w:hAnsi="Times New Roman" w:eastAsia="宋体" w:cs="Times New Roman"/>
          <w:color w:val="FF0000"/>
          <w:sz w:val="24"/>
          <w:lang w:eastAsia="zh-CN"/>
        </w:rPr>
        <w:t>具体改造计划见下表所示。</w:t>
      </w:r>
    </w:p>
    <w:p>
      <w:pPr>
        <w:keepNext w:val="0"/>
        <w:keepLines w:val="0"/>
        <w:pageBreakBefore w:val="0"/>
        <w:kinsoku/>
        <w:wordWrap/>
        <w:bidi w:val="0"/>
        <w:snapToGrid/>
        <w:spacing w:line="360" w:lineRule="auto"/>
        <w:jc w:val="center"/>
        <w:rPr>
          <w:rFonts w:ascii="Times New Roman" w:hAnsi="Times New Roman" w:eastAsia="黑体" w:cs="Times New Roman"/>
          <w:color w:val="FF0000"/>
          <w:sz w:val="24"/>
        </w:rPr>
      </w:pPr>
      <w:r>
        <w:rPr>
          <w:rFonts w:ascii="Times New Roman" w:hAnsi="Times New Roman" w:eastAsia="黑体" w:cs="Times New Roman"/>
          <w:color w:val="FF0000"/>
          <w:sz w:val="24"/>
        </w:rPr>
        <w:t>表</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w:t>
      </w:r>
      <w:r>
        <w:rPr>
          <w:rFonts w:hint="eastAsia" w:ascii="Times New Roman" w:hAnsi="Times New Roman" w:eastAsia="黑体" w:cs="Times New Roman"/>
          <w:color w:val="FF0000"/>
          <w:sz w:val="24"/>
          <w:lang w:val="en-US" w:eastAsia="zh-CN"/>
        </w:rPr>
        <w:t>7</w:t>
      </w:r>
      <w:r>
        <w:rPr>
          <w:rFonts w:ascii="Times New Roman" w:hAnsi="Times New Roman" w:eastAsia="黑体" w:cs="Times New Roman"/>
          <w:color w:val="FF0000"/>
          <w:sz w:val="24"/>
        </w:rPr>
        <w:t>-</w:t>
      </w:r>
      <w:r>
        <w:rPr>
          <w:rFonts w:hint="eastAsia" w:ascii="Times New Roman" w:hAnsi="Times New Roman" w:eastAsia="黑体" w:cs="Times New Roman"/>
          <w:color w:val="FF0000"/>
          <w:sz w:val="24"/>
          <w:lang w:val="en-US" w:eastAsia="zh-CN"/>
        </w:rPr>
        <w:t>3</w:t>
      </w:r>
      <w:r>
        <w:rPr>
          <w:rFonts w:ascii="Times New Roman" w:hAnsi="Times New Roman" w:eastAsia="黑体" w:cs="Times New Roman"/>
          <w:color w:val="FF0000"/>
          <w:sz w:val="24"/>
        </w:rPr>
        <w:t xml:space="preserve">  厂区</w:t>
      </w:r>
      <w:r>
        <w:rPr>
          <w:rFonts w:hint="eastAsia" w:ascii="Times New Roman" w:hAnsi="Times New Roman" w:eastAsia="黑体" w:cs="Times New Roman"/>
          <w:color w:val="FF0000"/>
          <w:sz w:val="24"/>
          <w:lang w:eastAsia="zh-CN"/>
        </w:rPr>
        <w:t>超低排放改造计划</w:t>
      </w:r>
      <w:r>
        <w:rPr>
          <w:rFonts w:ascii="Times New Roman" w:hAnsi="Times New Roman" w:eastAsia="黑体" w:cs="Times New Roman"/>
          <w:color w:val="FF0000"/>
          <w:sz w:val="24"/>
        </w:rPr>
        <w:t>一览表</w:t>
      </w:r>
    </w:p>
    <w:tbl>
      <w:tblPr>
        <w:tblStyle w:val="21"/>
        <w:tblW w:w="14173" w:type="dxa"/>
        <w:jc w:val="center"/>
        <w:tblInd w:w="-9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578"/>
        <w:gridCol w:w="814"/>
        <w:gridCol w:w="1688"/>
        <w:gridCol w:w="2885"/>
        <w:gridCol w:w="3147"/>
        <w:gridCol w:w="1597"/>
        <w:gridCol w:w="1811"/>
        <w:gridCol w:w="165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5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序号</w:t>
            </w:r>
          </w:p>
        </w:tc>
        <w:tc>
          <w:tcPr>
            <w:tcW w:w="81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类别</w:t>
            </w: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工序或环节</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与超低排放的差距及问题</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已实施或规划实施的解决方案</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项目投资（万元）</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计划完成时间</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i w:val="0"/>
                <w:color w:val="FF0000"/>
                <w:sz w:val="21"/>
                <w:szCs w:val="21"/>
                <w:u w:val="none"/>
              </w:rPr>
            </w:pPr>
            <w:r>
              <w:rPr>
                <w:rFonts w:hint="default" w:ascii="Times New Roman" w:hAnsi="Times New Roman" w:eastAsia="宋体" w:cs="Times New Roman"/>
                <w:b/>
                <w:i w:val="0"/>
                <w:color w:val="FF0000"/>
                <w:kern w:val="0"/>
                <w:sz w:val="21"/>
                <w:szCs w:val="21"/>
                <w:u w:val="none"/>
                <w:lang w:val="en-US" w:eastAsia="zh-CN" w:bidi="ar"/>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38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w:t>
            </w:r>
          </w:p>
        </w:tc>
        <w:tc>
          <w:tcPr>
            <w:tcW w:w="814"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有组织排放</w:t>
            </w: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焦炉烟囱</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烟气不能满足超低排放要求，基准氧含量8%条件下，颗粒物、二氧化硫、氮氧化物排放浓度分别执行10、30、150毫克/立方米</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焦炉烟气脱硫脱硝项目建设，项目已开始全工序试生产</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6000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2019年9月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3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发电锅炉烟囱</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烟气不能满足超低排放要求，基准氧含量3%条件下，颗粒物、二氧化硫、氮氧化物排放浓度分别执行5、35、50毫克/立方米</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对发电机组进行改造，正在对改造方案进行调研</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eastAsia" w:ascii="Times New Roman" w:hAnsi="Times New Roman" w:eastAsia="宋体" w:cs="Times New Roman"/>
                <w:i w:val="0"/>
                <w:color w:val="FF0000"/>
                <w:sz w:val="21"/>
                <w:szCs w:val="21"/>
                <w:u w:val="none"/>
                <w:lang w:val="en-US" w:eastAsia="zh-CN"/>
              </w:rPr>
            </w:pPr>
            <w:r>
              <w:rPr>
                <w:rFonts w:hint="eastAsia" w:ascii="Times New Roman" w:hAnsi="Times New Roman" w:eastAsia="宋体" w:cs="Times New Roman"/>
                <w:i w:val="0"/>
                <w:color w:val="FF0000"/>
                <w:sz w:val="21"/>
                <w:szCs w:val="21"/>
                <w:u w:val="none"/>
                <w:lang w:val="en-US" w:eastAsia="zh-CN"/>
              </w:rPr>
              <w:t>/</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待治理方案确定后确定项目投资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32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3</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烧结机头</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不能达到超低排放要求，基准氧含量16%条件下，颗粒物、二氧化硫、氮氧化物排放浓度分别执行10、35、50毫克/立方米</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正在建设活性焦脱硫脱硝设施</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46000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2019年11月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4</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炼铁-高炉热风炉</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未采用低氮燃烧技术，无脱硫设施，二氧化硫无法达到50毫克/立方米</w:t>
            </w:r>
          </w:p>
        </w:tc>
        <w:tc>
          <w:tcPr>
            <w:tcW w:w="3147"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已开展低氮燃烧技术调研</w:t>
            </w:r>
          </w:p>
        </w:tc>
        <w:tc>
          <w:tcPr>
            <w:tcW w:w="1597"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eastAsia" w:ascii="Times New Roman" w:hAnsi="Times New Roman" w:eastAsia="宋体" w:cs="Times New Roman"/>
                <w:i w:val="0"/>
                <w:color w:val="FF0000"/>
                <w:sz w:val="21"/>
                <w:szCs w:val="21"/>
                <w:u w:val="none"/>
                <w:lang w:val="en-US" w:eastAsia="zh-CN"/>
              </w:rPr>
            </w:pPr>
            <w:r>
              <w:rPr>
                <w:rFonts w:hint="eastAsia" w:ascii="Times New Roman" w:hAnsi="Times New Roman" w:eastAsia="宋体" w:cs="Times New Roman"/>
                <w:i w:val="0"/>
                <w:color w:val="FF0000"/>
                <w:sz w:val="21"/>
                <w:szCs w:val="21"/>
                <w:u w:val="none"/>
                <w:lang w:val="en-US" w:eastAsia="zh-CN"/>
              </w:rPr>
              <w:t>/</w:t>
            </w:r>
          </w:p>
        </w:tc>
        <w:tc>
          <w:tcPr>
            <w:tcW w:w="1811"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待治理方案确定后确定项目投资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56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5</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轧钢-加热炉</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烟气不能满足超低排放要求，基准氧含量8%条件下，颗粒物、二氧化硫、氮氧化物排放浓度分别执行10、50、200毫克/立方米</w:t>
            </w:r>
          </w:p>
        </w:tc>
        <w:tc>
          <w:tcPr>
            <w:tcW w:w="3147"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597"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81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53"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2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6</w:t>
            </w:r>
          </w:p>
        </w:tc>
        <w:tc>
          <w:tcPr>
            <w:tcW w:w="814"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无组织排放</w:t>
            </w: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焦化-生产工艺过程-煤气净化系统VOCs治理</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炼焦煤气净化系统冷鼓各类贮槽（罐）及其他区域焦油、苯等贮槽（罐）的有机废气未接入压力平衡系统或收集净化处理</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回收VOCs治理项目方案考察调研</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1500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2020年10月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8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7</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焦化-生产工艺过程-废水区域</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酚氰废水预处理设施（调节池、气浮池、隔油池）未加盖并配备废气收集处理设施</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废水恶臭气体治理项目方案考察调研</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500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2020年6月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82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8</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焦化-生产工艺过程-煤气净化系统</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未开展设备和管线泄漏检测与修复（LDAR）工作。</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调研方案进行治理</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eastAsia" w:ascii="Times New Roman" w:hAnsi="Times New Roman" w:eastAsia="宋体" w:cs="Times New Roman"/>
                <w:i w:val="0"/>
                <w:color w:val="FF0000"/>
                <w:sz w:val="21"/>
                <w:szCs w:val="21"/>
                <w:u w:val="none"/>
                <w:lang w:val="en-US" w:eastAsia="zh-CN"/>
              </w:rPr>
            </w:pPr>
            <w:r>
              <w:rPr>
                <w:rFonts w:hint="eastAsia" w:ascii="Times New Roman" w:hAnsi="Times New Roman" w:eastAsia="宋体" w:cs="Times New Roman"/>
                <w:i w:val="0"/>
                <w:color w:val="FF0000"/>
                <w:sz w:val="21"/>
                <w:szCs w:val="21"/>
                <w:u w:val="none"/>
                <w:lang w:val="en-US" w:eastAsia="zh-CN"/>
              </w:rPr>
              <w:t>/</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待治理方案确定后确定项目投资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68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9</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炼铁-生产工艺过程-高炉炉顶煤气回收</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无回收或除尘设备，均压放散和检修放散时有扬尘</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增加回收设备</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1000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10</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物料存放-原料场</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开放式料场，不符合超低排放要求</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新增料场整体大棚</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22000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2020年11月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rPr>
                <w:rFonts w:hint="default" w:ascii="Times New Roman" w:hAnsi="Times New Roman" w:eastAsia="宋体" w:cs="Times New Roman"/>
                <w:i w:val="0"/>
                <w:color w:val="FF000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840" w:hRule="atLeast"/>
          <w:jc w:val="center"/>
        </w:trPr>
        <w:tc>
          <w:tcPr>
            <w:tcW w:w="57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11</w:t>
            </w:r>
          </w:p>
        </w:tc>
        <w:tc>
          <w:tcPr>
            <w:tcW w:w="814"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c>
          <w:tcPr>
            <w:tcW w:w="1688"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炼钢-生产工艺过程-渣场废钢切割</w:t>
            </w:r>
          </w:p>
        </w:tc>
        <w:tc>
          <w:tcPr>
            <w:tcW w:w="2885"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无除尘设施</w:t>
            </w:r>
          </w:p>
        </w:tc>
        <w:tc>
          <w:tcPr>
            <w:tcW w:w="314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改造恢复除尘设施</w:t>
            </w:r>
          </w:p>
        </w:tc>
        <w:tc>
          <w:tcPr>
            <w:tcW w:w="1597"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100</w:t>
            </w:r>
          </w:p>
        </w:tc>
        <w:tc>
          <w:tcPr>
            <w:tcW w:w="181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FF0000"/>
                <w:sz w:val="21"/>
                <w:szCs w:val="21"/>
                <w:u w:val="none"/>
              </w:rPr>
            </w:pPr>
            <w:r>
              <w:rPr>
                <w:rFonts w:hint="default" w:ascii="Times New Roman" w:hAnsi="Times New Roman" w:eastAsia="宋体" w:cs="Times New Roman"/>
                <w:i w:val="0"/>
                <w:color w:val="FF0000"/>
                <w:kern w:val="0"/>
                <w:sz w:val="21"/>
                <w:szCs w:val="21"/>
                <w:u w:val="none"/>
                <w:lang w:val="en-US" w:eastAsia="zh-CN" w:bidi="ar"/>
              </w:rPr>
              <w:t>2020年7月</w:t>
            </w:r>
          </w:p>
        </w:tc>
        <w:tc>
          <w:tcPr>
            <w:tcW w:w="1653" w:type="dxa"/>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color w:val="FF0000"/>
                <w:sz w:val="21"/>
                <w:szCs w:val="21"/>
                <w:u w:val="none"/>
              </w:rPr>
            </w:pPr>
          </w:p>
        </w:tc>
      </w:tr>
    </w:tbl>
    <w:p>
      <w:pPr>
        <w:pStyle w:val="2"/>
        <w:keepNext w:val="0"/>
        <w:keepLines w:val="0"/>
        <w:pageBreakBefore w:val="0"/>
        <w:kinsoku/>
        <w:wordWrap/>
        <w:bidi w:val="0"/>
        <w:snapToGrid/>
        <w:spacing w:after="0" w:line="360" w:lineRule="auto"/>
        <w:ind w:firstLine="480" w:firstLineChars="200"/>
        <w:rPr>
          <w:rFonts w:hint="eastAsia" w:ascii="Times New Roman" w:hAnsi="Times New Roman" w:eastAsia="宋体" w:cs="Times New Roman"/>
          <w:sz w:val="24"/>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hint="eastAsia" w:ascii="Times New Roman" w:hAnsi="Times New Roman" w:eastAsia="黑体" w:cs="Times New Roman"/>
          <w:sz w:val="44"/>
          <w:szCs w:val="44"/>
          <w:lang w:val="en-US" w:eastAsia="zh-CN"/>
        </w:rPr>
        <w:t>8</w:t>
      </w:r>
      <w:r>
        <w:rPr>
          <w:rFonts w:ascii="Times New Roman" w:hAnsi="Times New Roman" w:eastAsia="黑体" w:cs="Times New Roman"/>
          <w:sz w:val="44"/>
          <w:szCs w:val="44"/>
        </w:rPr>
        <w:t>公众参与</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依照《中华人民共和国环境影响评价法》和《建设项目环境管理条例》，建设项目环境影响评价需征询项目所在地公众意见。公众参与是协调和评判建设项目对社会影响、环境影响的一种手段，使可能受到影响的公众或团体的利益得到考虑和补偿，并给有关管理部门处理和解决提供帮助。同时，公众参与过程也有利于提高人民群众的环境意识。</w:t>
      </w:r>
      <w:r>
        <w:rPr>
          <w:rFonts w:ascii="Times New Roman" w:hAnsi="Times New Roman" w:eastAsia="宋体" w:cs="Times New Roman"/>
          <w:bCs/>
          <w:sz w:val="24"/>
          <w:szCs w:val="24"/>
        </w:rPr>
        <w:t>现有厂区已投产多年，未接到周边居民对项目的环保投诉问题。</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本评价为后评价项目，芜湖新兴铸管有限责任公司搬迁至三山区建成运营约</w:t>
      </w:r>
      <w:r>
        <w:rPr>
          <w:rFonts w:hint="eastAsia" w:ascii="Times New Roman" w:hAnsi="Times New Roman" w:eastAsia="宋体" w:cs="Times New Roman"/>
          <w:sz w:val="24"/>
          <w:szCs w:val="24"/>
        </w:rPr>
        <w:t>4</w:t>
      </w:r>
      <w:r>
        <w:rPr>
          <w:rFonts w:ascii="Times New Roman" w:hAnsi="Times New Roman" w:eastAsia="宋体" w:cs="Times New Roman"/>
          <w:sz w:val="24"/>
          <w:szCs w:val="24"/>
        </w:rPr>
        <w:t>年，为了能够真实反映附近的公众对该工程的了解、认识和要求，让更多的公众参与关心本项目的运营</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广泛听取公众在各方面提出的良好建议和宝贵意见，开展了公众参与调查工作。</w:t>
      </w:r>
    </w:p>
    <w:p>
      <w:pPr>
        <w:pStyle w:val="27"/>
        <w:keepNext w:val="0"/>
        <w:keepLines w:val="0"/>
        <w:pageBreakBefore w:val="0"/>
        <w:kinsoku/>
        <w:wordWrap/>
        <w:bidi w:val="0"/>
        <w:snapToGrid/>
        <w:spacing w:before="156" w:after="156" w:line="360" w:lineRule="auto"/>
        <w:rPr>
          <w:rFonts w:ascii="Times New Roman"/>
          <w:b w:val="0"/>
        </w:rPr>
      </w:pPr>
      <w:r>
        <w:rPr>
          <w:rFonts w:hint="eastAsia" w:ascii="Times New Roman"/>
          <w:b w:val="0"/>
          <w:lang w:val="en-US" w:eastAsia="zh-CN"/>
        </w:rPr>
        <w:t>8</w:t>
      </w:r>
      <w:r>
        <w:rPr>
          <w:rFonts w:ascii="Times New Roman"/>
          <w:b w:val="0"/>
        </w:rPr>
        <w:t>.1公众参与形式</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公众参与过程中，通常采用召开公众听证会、个人访谈、张贴公示及利用媒体发布与项目有关的信息等多种形式。为了全面反馈周边民众对本项目的意见和建议，评价单位采取现场张贴公示、</w:t>
      </w:r>
      <w:r>
        <w:rPr>
          <w:rFonts w:hint="eastAsia" w:ascii="Times New Roman" w:hAnsi="Times New Roman" w:eastAsia="宋体" w:cs="Times New Roman"/>
          <w:sz w:val="24"/>
          <w:szCs w:val="24"/>
          <w:lang w:eastAsia="zh-CN"/>
        </w:rPr>
        <w:t>个人访谈</w:t>
      </w:r>
      <w:r>
        <w:rPr>
          <w:rFonts w:ascii="Times New Roman" w:hAnsi="Times New Roman" w:eastAsia="宋体" w:cs="Times New Roman"/>
          <w:sz w:val="24"/>
          <w:szCs w:val="24"/>
        </w:rPr>
        <w:t>的形式进行。</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8</w:t>
      </w:r>
      <w:r>
        <w:rPr>
          <w:rFonts w:ascii="Times New Roman" w:hAnsi="Times New Roman" w:eastAsia="黑体" w:cs="Times New Roman"/>
          <w:sz w:val="24"/>
          <w:szCs w:val="24"/>
        </w:rPr>
        <w:t>.1.1第一次信息公示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根据《环境影响评价公众参与办法》，本项目第一次信息公示主要通过对项目周边的华电小区、月亮湾小区及本项目所在位置公告栏张贴第一次信息公示（2019年3月7日至3月20日），见图</w:t>
      </w:r>
      <w:r>
        <w:rPr>
          <w:rFonts w:hint="eastAsia" w:ascii="Times New Roman" w:hAnsi="Times New Roman" w:eastAsia="宋体" w:cs="Times New Roman"/>
          <w:sz w:val="24"/>
          <w:szCs w:val="24"/>
          <w:lang w:val="en-US" w:eastAsia="zh-CN"/>
        </w:rPr>
        <w:t>8</w:t>
      </w:r>
      <w:r>
        <w:rPr>
          <w:rFonts w:ascii="Times New Roman" w:hAnsi="Times New Roman" w:eastAsia="宋体" w:cs="Times New Roman"/>
          <w:sz w:val="24"/>
          <w:szCs w:val="24"/>
        </w:rPr>
        <w:t>.1-1。本项目在第一次公示期间未接收到公众意见和建议。</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hint="eastAsia" w:ascii="Times New Roman" w:hAnsi="Times New Roman" w:eastAsia="黑体" w:cs="Times New Roman"/>
          <w:sz w:val="24"/>
          <w:szCs w:val="24"/>
          <w:lang w:val="en-US" w:eastAsia="zh-CN"/>
        </w:rPr>
        <w:t>8</w:t>
      </w:r>
      <w:r>
        <w:rPr>
          <w:rFonts w:ascii="Times New Roman" w:hAnsi="Times New Roman" w:eastAsia="黑体" w:cs="Times New Roman"/>
          <w:sz w:val="24"/>
          <w:szCs w:val="24"/>
        </w:rPr>
        <w:t>.1.2第二次信息公示</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本项目第二次信息公示主要通过现场张贴、个人访谈的形式进行（2019年4月25日至5月10日）。在项目周边的华电小区、月亮湾小区及本项目所在位置公告栏张贴第二次信息公示，见图</w:t>
      </w:r>
      <w:r>
        <w:rPr>
          <w:rFonts w:hint="eastAsia" w:ascii="Times New Roman" w:hAnsi="Times New Roman" w:eastAsia="宋体" w:cs="Times New Roman"/>
          <w:sz w:val="24"/>
          <w:szCs w:val="24"/>
          <w:lang w:val="en-US" w:eastAsia="zh-CN"/>
        </w:rPr>
        <w:t>8</w:t>
      </w:r>
      <w:r>
        <w:rPr>
          <w:rFonts w:ascii="Times New Roman" w:hAnsi="Times New Roman" w:eastAsia="宋体" w:cs="Times New Roman"/>
          <w:sz w:val="24"/>
          <w:szCs w:val="24"/>
        </w:rPr>
        <w:t>.1-</w:t>
      </w:r>
      <w:r>
        <w:rPr>
          <w:rFonts w:hint="eastAsia" w:ascii="Times New Roman" w:hAnsi="Times New Roman" w:eastAsia="宋体" w:cs="Times New Roman"/>
          <w:sz w:val="24"/>
          <w:szCs w:val="24"/>
          <w:lang w:val="en-US" w:eastAsia="zh-CN"/>
        </w:rPr>
        <w:t>1</w:t>
      </w:r>
      <w:r>
        <w:rPr>
          <w:rFonts w:ascii="Times New Roman" w:hAnsi="Times New Roman" w:eastAsia="宋体" w:cs="Times New Roman"/>
          <w:sz w:val="24"/>
          <w:szCs w:val="24"/>
        </w:rPr>
        <w:t>。本项目在第二次公示期间未接到公众意见和建议。</w:t>
      </w:r>
    </w:p>
    <w:tbl>
      <w:tblPr>
        <w:tblStyle w:val="22"/>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26"/>
        <w:gridCol w:w="3950"/>
        <w:gridCol w:w="2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126" w:type="dxa"/>
          </w:tcPr>
          <w:p>
            <w:pPr>
              <w:keepNext w:val="0"/>
              <w:keepLines w:val="0"/>
              <w:pageBreakBefore w:val="0"/>
              <w:kinsoku/>
              <w:wordWrap/>
              <w:bidi w:val="0"/>
              <w:adjustRightInd w:val="0"/>
              <w:snapToGrid/>
              <w:rPr>
                <w:color w:val="auto"/>
                <w:highlight w:val="none"/>
              </w:rPr>
            </w:pPr>
            <w:r>
              <w:rPr>
                <w:color w:val="auto"/>
                <w:highlight w:val="none"/>
              </w:rPr>
              <w:drawing>
                <wp:inline distT="0" distB="0" distL="114300" distR="114300">
                  <wp:extent cx="2485390" cy="2333625"/>
                  <wp:effectExtent l="0" t="0" r="10160" b="9525"/>
                  <wp:docPr id="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pic:cNvPicPr>
                            <a:picLocks noChangeAspect="1"/>
                          </pic:cNvPicPr>
                        </pic:nvPicPr>
                        <pic:blipFill>
                          <a:blip r:embed="rId153"/>
                          <a:stretch>
                            <a:fillRect/>
                          </a:stretch>
                        </pic:blipFill>
                        <pic:spPr>
                          <a:xfrm>
                            <a:off x="0" y="0"/>
                            <a:ext cx="2485390" cy="2333625"/>
                          </a:xfrm>
                          <a:prstGeom prst="rect">
                            <a:avLst/>
                          </a:prstGeom>
                          <a:noFill/>
                          <a:ln>
                            <a:noFill/>
                          </a:ln>
                        </pic:spPr>
                      </pic:pic>
                    </a:graphicData>
                  </a:graphic>
                </wp:inline>
              </w:drawing>
            </w:r>
          </w:p>
        </w:tc>
        <w:tc>
          <w:tcPr>
            <w:tcW w:w="3950" w:type="dxa"/>
          </w:tcPr>
          <w:p>
            <w:pPr>
              <w:keepNext w:val="0"/>
              <w:keepLines w:val="0"/>
              <w:pageBreakBefore w:val="0"/>
              <w:kinsoku/>
              <w:wordWrap/>
              <w:bidi w:val="0"/>
              <w:adjustRightInd w:val="0"/>
              <w:snapToGrid/>
              <w:rPr>
                <w:color w:val="auto"/>
                <w:highlight w:val="none"/>
              </w:rPr>
            </w:pPr>
            <w:r>
              <w:rPr>
                <w:color w:val="auto"/>
                <w:highlight w:val="none"/>
              </w:rPr>
              <w:drawing>
                <wp:inline distT="0" distB="0" distL="114300" distR="114300">
                  <wp:extent cx="2352675" cy="2333625"/>
                  <wp:effectExtent l="0" t="0" r="9525" b="9525"/>
                  <wp:docPr id="9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
                          <pic:cNvPicPr>
                            <a:picLocks noChangeAspect="1"/>
                          </pic:cNvPicPr>
                        </pic:nvPicPr>
                        <pic:blipFill>
                          <a:blip r:embed="rId154"/>
                          <a:stretch>
                            <a:fillRect/>
                          </a:stretch>
                        </pic:blipFill>
                        <pic:spPr>
                          <a:xfrm>
                            <a:off x="0" y="0"/>
                            <a:ext cx="2352675" cy="2333625"/>
                          </a:xfrm>
                          <a:prstGeom prst="rect">
                            <a:avLst/>
                          </a:prstGeom>
                          <a:noFill/>
                          <a:ln>
                            <a:noFill/>
                          </a:ln>
                        </pic:spPr>
                      </pic:pic>
                    </a:graphicData>
                  </a:graphic>
                </wp:inline>
              </w:drawing>
            </w:r>
          </w:p>
        </w:tc>
        <w:tc>
          <w:tcPr>
            <w:tcW w:w="236" w:type="dxa"/>
          </w:tcPr>
          <w:p>
            <w:pPr>
              <w:keepNext w:val="0"/>
              <w:keepLines w:val="0"/>
              <w:pageBreakBefore w:val="0"/>
              <w:kinsoku/>
              <w:wordWrap/>
              <w:bidi w:val="0"/>
              <w:adjustRightInd w:val="0"/>
              <w:snapToGrid/>
              <w:rPr>
                <w:color w:val="auto"/>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ascii="Times New Roman" w:hAnsi="Times New Roman" w:eastAsia="黑体" w:cs="Times New Roman"/>
          <w:sz w:val="24"/>
          <w:szCs w:val="24"/>
        </w:rPr>
      </w:pPr>
      <w:r>
        <w:rPr>
          <w:rFonts w:hint="eastAsia" w:ascii="Times New Roman" w:hAnsi="Times New Roman" w:eastAsia="黑体" w:cs="Times New Roman"/>
          <w:sz w:val="24"/>
          <w:szCs w:val="24"/>
        </w:rPr>
        <w:t>图</w:t>
      </w:r>
      <w:r>
        <w:rPr>
          <w:rFonts w:hint="eastAsia" w:ascii="Times New Roman" w:hAnsi="Times New Roman" w:eastAsia="黑体" w:cs="Times New Roman"/>
          <w:sz w:val="24"/>
          <w:szCs w:val="24"/>
          <w:lang w:val="en-US" w:eastAsia="zh-CN"/>
        </w:rPr>
        <w:t>8</w:t>
      </w:r>
      <w:r>
        <w:rPr>
          <w:rFonts w:hint="eastAsia"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 xml:space="preserve">1-1 </w:t>
      </w:r>
      <w:r>
        <w:rPr>
          <w:rFonts w:hint="eastAsia" w:ascii="Times New Roman" w:hAnsi="Times New Roman" w:eastAsia="黑体" w:cs="Times New Roman"/>
          <w:sz w:val="24"/>
          <w:szCs w:val="24"/>
        </w:rPr>
        <w:t xml:space="preserve"> 张贴公告</w:t>
      </w:r>
    </w:p>
    <w:p>
      <w:pPr>
        <w:pStyle w:val="27"/>
        <w:keepNext w:val="0"/>
        <w:keepLines w:val="0"/>
        <w:pageBreakBefore w:val="0"/>
        <w:kinsoku/>
        <w:wordWrap/>
        <w:bidi w:val="0"/>
        <w:snapToGrid/>
        <w:spacing w:before="156" w:after="156" w:line="360" w:lineRule="auto"/>
        <w:rPr>
          <w:rFonts w:ascii="Times New Roman"/>
          <w:b w:val="0"/>
          <w:lang w:val="fr-FR"/>
        </w:rPr>
      </w:pPr>
      <w:bookmarkStart w:id="16" w:name="_Toc535441178"/>
      <w:r>
        <w:rPr>
          <w:rFonts w:hint="eastAsia" w:ascii="Times New Roman"/>
          <w:b w:val="0"/>
          <w:lang w:val="en-US" w:eastAsia="zh-CN"/>
        </w:rPr>
        <w:t>8</w:t>
      </w:r>
      <w:r>
        <w:rPr>
          <w:rFonts w:ascii="Times New Roman"/>
          <w:b w:val="0"/>
        </w:rPr>
        <w:t>.3</w:t>
      </w:r>
      <w:r>
        <w:rPr>
          <w:rFonts w:ascii="Times New Roman"/>
          <w:b w:val="0"/>
          <w:lang w:val="fr-FR"/>
        </w:rPr>
        <w:t>查阅情况</w:t>
      </w:r>
      <w:bookmarkEnd w:id="16"/>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highlight w:val="none"/>
        </w:rPr>
      </w:pPr>
      <w:r>
        <w:rPr>
          <w:rFonts w:ascii="Times New Roman" w:hAnsi="Times New Roman" w:eastAsia="宋体" w:cs="Times New Roman"/>
          <w:sz w:val="24"/>
          <w:szCs w:val="24"/>
          <w:highlight w:val="none"/>
        </w:rPr>
        <w:t>本项目征求意见稿纸质版查阅场所设置在芜湖新兴铸管有限责任公司</w:t>
      </w:r>
      <w:r>
        <w:rPr>
          <w:rFonts w:hint="eastAsia" w:ascii="Times New Roman" w:hAnsi="Times New Roman" w:eastAsia="宋体" w:cs="Times New Roman"/>
          <w:sz w:val="24"/>
          <w:szCs w:val="24"/>
          <w:highlight w:val="none"/>
          <w:lang w:eastAsia="zh-CN"/>
        </w:rPr>
        <w:t>环保能源</w:t>
      </w:r>
      <w:r>
        <w:rPr>
          <w:rFonts w:ascii="Times New Roman" w:hAnsi="Times New Roman" w:eastAsia="宋体" w:cs="Times New Roman"/>
          <w:sz w:val="24"/>
          <w:szCs w:val="24"/>
          <w:highlight w:val="none"/>
        </w:rPr>
        <w:t>部。</w:t>
      </w:r>
    </w:p>
    <w:p>
      <w:pPr>
        <w:pStyle w:val="27"/>
        <w:keepNext w:val="0"/>
        <w:keepLines w:val="0"/>
        <w:pageBreakBefore w:val="0"/>
        <w:kinsoku/>
        <w:wordWrap/>
        <w:bidi w:val="0"/>
        <w:snapToGrid/>
        <w:spacing w:before="156" w:after="156" w:line="360" w:lineRule="auto"/>
        <w:rPr>
          <w:rFonts w:ascii="Times New Roman"/>
          <w:b w:val="0"/>
          <w:lang w:val="fr-FR"/>
        </w:rPr>
      </w:pPr>
      <w:bookmarkStart w:id="17" w:name="_Toc535441179"/>
      <w:r>
        <w:rPr>
          <w:rFonts w:hint="eastAsia" w:ascii="Times New Roman"/>
          <w:b w:val="0"/>
          <w:lang w:val="en-US" w:eastAsia="zh-CN"/>
        </w:rPr>
        <w:t>8</w:t>
      </w:r>
      <w:r>
        <w:rPr>
          <w:rFonts w:ascii="Times New Roman"/>
          <w:b w:val="0"/>
        </w:rPr>
        <w:t>.4</w:t>
      </w:r>
      <w:r>
        <w:rPr>
          <w:rFonts w:ascii="Times New Roman"/>
          <w:b w:val="0"/>
          <w:lang w:val="fr-FR"/>
        </w:rPr>
        <w:t>公众提出意见情况</w:t>
      </w:r>
      <w:bookmarkEnd w:id="17"/>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在公示期间，没有收到公众意见反馈。</w:t>
      </w:r>
    </w:p>
    <w:p>
      <w:pPr>
        <w:pStyle w:val="27"/>
        <w:keepNext w:val="0"/>
        <w:keepLines w:val="0"/>
        <w:pageBreakBefore w:val="0"/>
        <w:kinsoku/>
        <w:wordWrap/>
        <w:bidi w:val="0"/>
        <w:snapToGrid/>
        <w:spacing w:before="156" w:after="156" w:line="360" w:lineRule="auto"/>
        <w:rPr>
          <w:rFonts w:ascii="Times New Roman"/>
          <w:b w:val="0"/>
          <w:lang w:val="fr-FR"/>
        </w:rPr>
      </w:pPr>
      <w:bookmarkStart w:id="18" w:name="_Toc535441180"/>
      <w:r>
        <w:rPr>
          <w:rFonts w:hint="eastAsia" w:ascii="Times New Roman"/>
          <w:b w:val="0"/>
          <w:lang w:val="en-US" w:eastAsia="zh-CN"/>
        </w:rPr>
        <w:t>8</w:t>
      </w:r>
      <w:r>
        <w:rPr>
          <w:rFonts w:ascii="Times New Roman"/>
          <w:b w:val="0"/>
        </w:rPr>
        <w:t>.5</w:t>
      </w:r>
      <w:r>
        <w:rPr>
          <w:rFonts w:ascii="Times New Roman"/>
          <w:b w:val="0"/>
          <w:lang w:val="fr-FR"/>
        </w:rPr>
        <w:t>其他公众参与情况</w:t>
      </w:r>
      <w:bookmarkEnd w:id="18"/>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本项目未采取深度公众参与。</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在公示期间，没有收到公众意见反馈.</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hint="eastAsia" w:ascii="Times New Roman" w:hAnsi="Times New Roman" w:eastAsia="黑体" w:cs="Times New Roman"/>
          <w:sz w:val="44"/>
          <w:szCs w:val="44"/>
          <w:lang w:val="en-US" w:eastAsia="zh-CN"/>
        </w:rPr>
        <w:t>9</w:t>
      </w:r>
      <w:r>
        <w:rPr>
          <w:rFonts w:ascii="Times New Roman" w:hAnsi="Times New Roman" w:eastAsia="黑体" w:cs="Times New Roman"/>
          <w:sz w:val="44"/>
          <w:szCs w:val="44"/>
        </w:rPr>
        <w:t>污染物总量控制</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对主要污染物排放实行总量控制，使当地环境质量达到预期的功能目标，这是环境管理的一项重要举措，也是改善和保护环境质量的有效方法。</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国家“十三五”期间污染物控制指标为COD、氨氮、氮氧化物、二氧化硫、颗粒物和挥发性有机物。根据项目的排污特点，确定本项目的污染物总量控制因子为：二氧化硫、氮氧化物及颗粒物三项控制指标作为总量计算指标。</w:t>
      </w:r>
    </w:p>
    <w:p>
      <w:pPr>
        <w:pStyle w:val="27"/>
        <w:keepNext w:val="0"/>
        <w:keepLines w:val="0"/>
        <w:pageBreakBefore w:val="0"/>
        <w:kinsoku/>
        <w:wordWrap/>
        <w:bidi w:val="0"/>
        <w:snapToGrid/>
        <w:spacing w:before="156" w:after="156" w:line="360" w:lineRule="auto"/>
        <w:rPr>
          <w:rFonts w:ascii="Times New Roman"/>
          <w:b w:val="0"/>
        </w:rPr>
      </w:pPr>
      <w:r>
        <w:rPr>
          <w:rFonts w:hint="eastAsia" w:ascii="Times New Roman"/>
          <w:b w:val="0"/>
          <w:lang w:val="en-US" w:eastAsia="zh-CN"/>
        </w:rPr>
        <w:t>9</w:t>
      </w:r>
      <w:r>
        <w:rPr>
          <w:rFonts w:ascii="Times New Roman"/>
          <w:b w:val="0"/>
        </w:rPr>
        <w:t>.1已批准的总量控制指标</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w:t>
      </w:r>
      <w:r>
        <w:rPr>
          <w:rFonts w:hint="eastAsia" w:ascii="Times New Roman" w:hAnsi="Times New Roman" w:eastAsia="宋体" w:cs="Times New Roman"/>
          <w:sz w:val="24"/>
          <w:szCs w:val="24"/>
          <w:lang w:eastAsia="zh-CN"/>
        </w:rPr>
        <w:t>《芜湖新兴铸管有限责任公司整体搬迁项目新增污染物排放容量核定表》（</w:t>
      </w:r>
      <w:r>
        <w:rPr>
          <w:rFonts w:hint="eastAsia" w:ascii="Times New Roman" w:hAnsi="Times New Roman" w:eastAsia="宋体" w:cs="Times New Roman"/>
          <w:sz w:val="24"/>
          <w:szCs w:val="24"/>
          <w:lang w:val="en-US" w:eastAsia="zh-CN"/>
        </w:rPr>
        <w:t>2013年8月8日</w:t>
      </w:r>
      <w:r>
        <w:rPr>
          <w:rFonts w:hint="eastAsia" w:ascii="Times New Roman" w:hAnsi="Times New Roman" w:eastAsia="宋体" w:cs="Times New Roman"/>
          <w:sz w:val="24"/>
          <w:szCs w:val="24"/>
          <w:lang w:eastAsia="zh-CN"/>
        </w:rPr>
        <w:t>）与《芜湖新兴铸管有限责任公司烧结及焦化技改项目新增污染物排放容量核定表》（</w:t>
      </w:r>
      <w:r>
        <w:rPr>
          <w:rFonts w:hint="eastAsia" w:ascii="Times New Roman" w:hAnsi="Times New Roman" w:eastAsia="宋体" w:cs="Times New Roman"/>
          <w:sz w:val="24"/>
          <w:szCs w:val="24"/>
          <w:lang w:val="en-US" w:eastAsia="zh-CN"/>
        </w:rPr>
        <w:t>2016年6月22日</w:t>
      </w:r>
      <w:r>
        <w:rPr>
          <w:rFonts w:hint="eastAsia" w:ascii="Times New Roman" w:hAnsi="Times New Roman" w:eastAsia="宋体" w:cs="Times New Roman"/>
          <w:sz w:val="24"/>
          <w:szCs w:val="24"/>
          <w:lang w:eastAsia="zh-CN"/>
        </w:rPr>
        <w:t>），得出厂区目前已取得环境容量：</w:t>
      </w:r>
    </w:p>
    <w:p>
      <w:pPr>
        <w:pStyle w:val="31"/>
        <w:keepNext w:val="0"/>
        <w:keepLines w:val="0"/>
        <w:pageBreakBefore w:val="0"/>
        <w:kinsoku/>
        <w:wordWrap/>
        <w:bidi w:val="0"/>
        <w:snapToGrid/>
        <w:spacing w:line="360" w:lineRule="auto"/>
        <w:rPr>
          <w:rFonts w:cs="Times New Roman"/>
        </w:rPr>
      </w:pPr>
      <w:r>
        <w:rPr>
          <w:rFonts w:cs="Times New Roman"/>
        </w:rPr>
        <w:t>表</w:t>
      </w:r>
      <w:r>
        <w:rPr>
          <w:rFonts w:hint="eastAsia" w:cs="Times New Roman"/>
          <w:lang w:val="en-US" w:eastAsia="zh-CN"/>
        </w:rPr>
        <w:t>9</w:t>
      </w:r>
      <w:r>
        <w:rPr>
          <w:rFonts w:cs="Times New Roman"/>
        </w:rPr>
        <w:t>.1-1  已批复的总量控制指标</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67"/>
        <w:gridCol w:w="2267"/>
        <w:gridCol w:w="2269"/>
        <w:gridCol w:w="22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总量控制指标</w:t>
            </w: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b/>
                <w:bCs/>
                <w:sz w:val="21"/>
                <w:szCs w:val="21"/>
                <w:vertAlign w:val="baseline"/>
                <w:lang w:eastAsia="zh-CN"/>
              </w:rPr>
            </w:pPr>
            <w:r>
              <w:rPr>
                <w:rFonts w:hint="eastAsia" w:eastAsia="宋体" w:cs="Times New Roman"/>
                <w:b/>
                <w:bCs/>
                <w:sz w:val="21"/>
                <w:szCs w:val="21"/>
                <w:vertAlign w:val="baseline"/>
                <w:lang w:eastAsia="zh-CN"/>
              </w:rPr>
              <w:t>污染物名称</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eastAsia="宋体" w:cs="Times New Roman"/>
                <w:b/>
                <w:bCs/>
                <w:sz w:val="21"/>
                <w:szCs w:val="21"/>
                <w:vertAlign w:val="baseline"/>
                <w:lang w:val="en-US" w:eastAsia="zh-CN"/>
              </w:rPr>
            </w:pPr>
            <w:r>
              <w:rPr>
                <w:rFonts w:hint="eastAsia" w:eastAsia="宋体" w:cs="Times New Roman"/>
                <w:b/>
                <w:bCs/>
                <w:sz w:val="21"/>
                <w:szCs w:val="21"/>
                <w:vertAlign w:val="baseline"/>
                <w:lang w:eastAsia="zh-CN"/>
              </w:rPr>
              <w:t>允许排放总量</w:t>
            </w:r>
            <w:r>
              <w:rPr>
                <w:rFonts w:hint="eastAsia" w:eastAsia="宋体" w:cs="Times New Roman"/>
                <w:b/>
                <w:bCs/>
                <w:sz w:val="21"/>
                <w:szCs w:val="21"/>
                <w:vertAlign w:val="baseline"/>
                <w:lang w:val="en-US" w:eastAsia="zh-CN"/>
              </w:rPr>
              <w:t>t/a</w:t>
            </w:r>
          </w:p>
        </w:tc>
        <w:tc>
          <w:tcPr>
            <w:tcW w:w="2268"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b/>
                <w:bCs/>
                <w:sz w:val="21"/>
                <w:szCs w:val="21"/>
                <w:vertAlign w:val="baseline"/>
                <w:lang w:eastAsia="zh-CN"/>
              </w:rPr>
            </w:pPr>
            <w:r>
              <w:rPr>
                <w:rFonts w:hint="eastAsia" w:eastAsia="宋体" w:cs="Times New Roman"/>
                <w:b/>
                <w:bCs/>
                <w:sz w:val="21"/>
                <w:szCs w:val="21"/>
                <w:vertAlign w:val="baseline"/>
                <w:lang w:eastAsia="zh-CN"/>
              </w:rPr>
              <w:t>总量来源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eastAsia="zh-CN"/>
              </w:rPr>
            </w:pPr>
            <w:r>
              <w:rPr>
                <w:rFonts w:hint="eastAsia" w:eastAsia="宋体" w:cs="Times New Roman"/>
                <w:sz w:val="21"/>
                <w:szCs w:val="21"/>
                <w:vertAlign w:val="baseline"/>
                <w:lang w:eastAsia="zh-CN"/>
              </w:rPr>
              <w:t>废气</w:t>
            </w: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eastAsia="zh-CN"/>
              </w:rPr>
            </w:pPr>
            <w:r>
              <w:rPr>
                <w:rFonts w:hint="eastAsia" w:eastAsia="宋体" w:cs="Times New Roman"/>
                <w:sz w:val="21"/>
                <w:szCs w:val="21"/>
                <w:vertAlign w:val="baseline"/>
                <w:lang w:eastAsia="zh-CN"/>
              </w:rPr>
              <w:t>二氧化硫</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1700</w:t>
            </w:r>
          </w:p>
        </w:tc>
        <w:tc>
          <w:tcPr>
            <w:tcW w:w="2268" w:type="dxa"/>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eastAsia="zh-CN"/>
              </w:rPr>
              <w:t>芜湖新兴铸管有限责任公司整体搬迁项目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eastAsia="zh-CN"/>
              </w:rPr>
            </w:pPr>
            <w:r>
              <w:rPr>
                <w:rFonts w:hint="eastAsia" w:eastAsia="宋体" w:cs="Times New Roman"/>
                <w:sz w:val="21"/>
                <w:szCs w:val="21"/>
                <w:vertAlign w:val="baseline"/>
                <w:lang w:eastAsia="zh-CN"/>
              </w:rPr>
              <w:t>氮氧化物</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3711</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eastAsia="zh-CN"/>
              </w:rPr>
            </w:pPr>
            <w:r>
              <w:rPr>
                <w:rFonts w:hint="eastAsia" w:eastAsia="宋体" w:cs="Times New Roman"/>
                <w:sz w:val="21"/>
                <w:szCs w:val="21"/>
                <w:vertAlign w:val="baseline"/>
                <w:lang w:eastAsia="zh-CN"/>
              </w:rPr>
              <w:t>颗粒物</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eastAsia="zh-CN"/>
              </w:rPr>
            </w:pPr>
            <w:r>
              <w:rPr>
                <w:rFonts w:hint="eastAsia" w:eastAsia="宋体" w:cs="Times New Roman"/>
                <w:sz w:val="21"/>
                <w:szCs w:val="21"/>
                <w:vertAlign w:val="baseline"/>
                <w:lang w:eastAsia="zh-CN"/>
              </w:rPr>
              <w:t>挥发性有机废气</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eastAsia="zh-CN"/>
              </w:rPr>
            </w:pPr>
            <w:r>
              <w:rPr>
                <w:rFonts w:hint="eastAsia" w:eastAsia="宋体" w:cs="Times New Roman"/>
                <w:sz w:val="21"/>
                <w:szCs w:val="21"/>
                <w:vertAlign w:val="baseline"/>
                <w:lang w:eastAsia="zh-CN"/>
              </w:rPr>
              <w:t>废水</w:t>
            </w: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COD</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val="en-US" w:eastAsia="zh-CN"/>
              </w:rPr>
              <w:t>/</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eastAsia="zh-CN"/>
              </w:rPr>
            </w:pPr>
            <w:r>
              <w:rPr>
                <w:rFonts w:hint="eastAsia" w:eastAsia="宋体" w:cs="Times New Roman"/>
                <w:sz w:val="21"/>
                <w:szCs w:val="21"/>
                <w:vertAlign w:val="baseline"/>
                <w:lang w:eastAsia="zh-CN"/>
              </w:rPr>
              <w:t>氨氮</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val="en-US" w:eastAsia="zh-CN"/>
              </w:rPr>
              <w:t>/</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eastAsia="zh-CN"/>
              </w:rPr>
              <w:t>废气</w:t>
            </w: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eastAsia="zh-CN"/>
              </w:rPr>
              <w:t>二氧化硫</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1750</w:t>
            </w:r>
          </w:p>
        </w:tc>
        <w:tc>
          <w:tcPr>
            <w:tcW w:w="2268" w:type="dxa"/>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eastAsia="zh-CN"/>
              </w:rPr>
              <w:t>芜湖新兴铸管有限责任公司烧结及焦化技改项目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eastAsia="zh-CN"/>
              </w:rPr>
              <w:t>氮氧化物</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2700</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eastAsia="zh-CN"/>
              </w:rPr>
              <w:t>颗粒物</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val="en-US" w:eastAsia="zh-CN"/>
              </w:rPr>
              <w:t>/</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eastAsia="zh-CN"/>
              </w:rPr>
              <w:t>挥发性有机废气</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val="en-US" w:eastAsia="zh-CN"/>
              </w:rPr>
              <w:t>/</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eastAsia="zh-CN"/>
              </w:rPr>
              <w:t>废水</w:t>
            </w: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val="en-US" w:eastAsia="zh-CN"/>
              </w:rPr>
              <w:t>COD</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val="en-US" w:eastAsia="zh-CN"/>
              </w:rPr>
              <w:t>/</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eastAsia="zh-CN"/>
              </w:rPr>
              <w:t>氨氮</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val="en-US" w:eastAsia="zh-CN"/>
              </w:rPr>
              <w:t>/</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eastAsia="zh-CN"/>
              </w:rPr>
            </w:pPr>
            <w:r>
              <w:rPr>
                <w:rFonts w:hint="eastAsia" w:eastAsia="宋体" w:cs="Times New Roman"/>
                <w:sz w:val="21"/>
                <w:szCs w:val="21"/>
                <w:vertAlign w:val="baseline"/>
                <w:lang w:eastAsia="zh-CN"/>
              </w:rPr>
              <w:t>厂区目前核定总量</w:t>
            </w: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eastAsia="zh-CN"/>
              </w:rPr>
              <w:t>二氧化硫</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3450</w:t>
            </w:r>
          </w:p>
        </w:tc>
        <w:tc>
          <w:tcPr>
            <w:tcW w:w="2268" w:type="dxa"/>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267"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c>
          <w:tcPr>
            <w:tcW w:w="2267"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r>
              <w:rPr>
                <w:rFonts w:hint="eastAsia" w:eastAsia="宋体" w:cs="Times New Roman"/>
                <w:sz w:val="21"/>
                <w:szCs w:val="21"/>
                <w:vertAlign w:val="baseline"/>
                <w:lang w:eastAsia="zh-CN"/>
              </w:rPr>
              <w:t>氮氧化物</w:t>
            </w:r>
          </w:p>
        </w:tc>
        <w:tc>
          <w:tcPr>
            <w:tcW w:w="2269"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6411</w:t>
            </w:r>
          </w:p>
        </w:tc>
        <w:tc>
          <w:tcPr>
            <w:tcW w:w="2268" w:type="dxa"/>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宋体" w:cs="Times New Roman"/>
                <w:sz w:val="21"/>
                <w:szCs w:val="21"/>
                <w:vertAlign w:val="baseline"/>
              </w:rPr>
            </w:pPr>
          </w:p>
        </w:tc>
      </w:tr>
    </w:tbl>
    <w:p>
      <w:pPr>
        <w:pStyle w:val="27"/>
        <w:keepNext w:val="0"/>
        <w:keepLines w:val="0"/>
        <w:pageBreakBefore w:val="0"/>
        <w:kinsoku/>
        <w:wordWrap/>
        <w:bidi w:val="0"/>
        <w:snapToGrid/>
        <w:spacing w:before="156" w:after="156" w:line="360" w:lineRule="auto"/>
        <w:rPr>
          <w:rFonts w:ascii="Times New Roman"/>
          <w:b w:val="0"/>
        </w:rPr>
      </w:pPr>
      <w:r>
        <w:rPr>
          <w:rFonts w:hint="eastAsia" w:ascii="Times New Roman"/>
          <w:b w:val="0"/>
          <w:lang w:val="en-US" w:eastAsia="zh-CN"/>
        </w:rPr>
        <w:t>9</w:t>
      </w:r>
      <w:r>
        <w:rPr>
          <w:rFonts w:ascii="Times New Roman"/>
          <w:b w:val="0"/>
        </w:rPr>
        <w:t>.2废气总量控制指标后评价分析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后评价期间废气污染物统计数据与《排污许可证》核定总量数据对比分析</w:t>
      </w:r>
      <w:r>
        <w:rPr>
          <w:rFonts w:hint="eastAsia" w:ascii="Times New Roman" w:hAnsi="Times New Roman" w:eastAsia="宋体" w:cs="Times New Roman"/>
          <w:sz w:val="24"/>
          <w:szCs w:val="24"/>
          <w:lang w:eastAsia="zh-CN"/>
        </w:rPr>
        <w:t>，见芜</w:t>
      </w:r>
      <w:r>
        <w:rPr>
          <w:rFonts w:ascii="Times New Roman" w:hAnsi="Times New Roman" w:eastAsia="宋体" w:cs="Times New Roman"/>
          <w:sz w:val="24"/>
          <w:szCs w:val="24"/>
        </w:rPr>
        <w:t>湖新兴铸管有限责任公司已取得的“排污许可证”（编号：91340208748920392N001P）和本次后评价统计数据，项目废气污染物排放总量指标见表</w:t>
      </w:r>
      <w:r>
        <w:rPr>
          <w:rFonts w:hint="eastAsia" w:ascii="Times New Roman" w:hAnsi="Times New Roman" w:eastAsia="宋体" w:cs="Times New Roman"/>
          <w:sz w:val="24"/>
          <w:szCs w:val="24"/>
          <w:lang w:val="en-US" w:eastAsia="zh-CN"/>
        </w:rPr>
        <w:t>9</w:t>
      </w:r>
      <w:r>
        <w:rPr>
          <w:rFonts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-1所示。</w:t>
      </w:r>
    </w:p>
    <w:p>
      <w:pPr>
        <w:pStyle w:val="31"/>
        <w:keepNext w:val="0"/>
        <w:keepLines w:val="0"/>
        <w:pageBreakBefore w:val="0"/>
        <w:kinsoku/>
        <w:wordWrap/>
        <w:bidi w:val="0"/>
        <w:snapToGrid/>
        <w:spacing w:line="360" w:lineRule="auto"/>
        <w:rPr>
          <w:rFonts w:cs="Times New Roman"/>
        </w:rPr>
      </w:pPr>
      <w:r>
        <w:rPr>
          <w:rFonts w:cs="Times New Roman"/>
        </w:rPr>
        <w:t>表</w:t>
      </w:r>
      <w:r>
        <w:rPr>
          <w:rFonts w:hint="eastAsia" w:cs="Times New Roman"/>
          <w:lang w:val="en-US" w:eastAsia="zh-CN"/>
        </w:rPr>
        <w:t>9</w:t>
      </w:r>
      <w:r>
        <w:rPr>
          <w:rFonts w:cs="Times New Roman"/>
        </w:rPr>
        <w:t>.2-1  废气污染物总量数据对比分析一览表（单位：t/a）</w:t>
      </w:r>
    </w:p>
    <w:tbl>
      <w:tblPr>
        <w:tblStyle w:val="22"/>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3"/>
        <w:gridCol w:w="2563"/>
        <w:gridCol w:w="3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3" w:type="dxa"/>
            <w:tcBorders>
              <w:top w:val="single" w:color="auto" w:sz="12" w:space="0"/>
              <w:left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废气污染物名称</w:t>
            </w:r>
          </w:p>
        </w:tc>
        <w:tc>
          <w:tcPr>
            <w:tcW w:w="2563" w:type="dxa"/>
            <w:tcBorders>
              <w:top w:val="single" w:color="auto" w:sz="12" w:space="0"/>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排污许可证核定数据</w:t>
            </w:r>
          </w:p>
        </w:tc>
        <w:tc>
          <w:tcPr>
            <w:tcW w:w="3485" w:type="dxa"/>
            <w:tcBorders>
              <w:top w:val="single" w:color="auto" w:sz="12" w:space="0"/>
              <w:right w:val="nil"/>
            </w:tcBorders>
            <w:vAlign w:val="center"/>
          </w:tcPr>
          <w:p>
            <w:pPr>
              <w:pStyle w:val="31"/>
              <w:keepNext w:val="0"/>
              <w:keepLines w:val="0"/>
              <w:pageBreakBefore w:val="0"/>
              <w:kinsoku/>
              <w:wordWrap/>
              <w:bidi w:val="0"/>
              <w:snapToGrid/>
              <w:spacing w:line="240" w:lineRule="auto"/>
              <w:rPr>
                <w:rFonts w:hint="eastAsia" w:eastAsia="宋体" w:cs="Times New Roman"/>
                <w:b/>
                <w:bCs/>
                <w:sz w:val="21"/>
                <w:szCs w:val="21"/>
                <w:lang w:eastAsia="zh-CN"/>
              </w:rPr>
            </w:pPr>
            <w:r>
              <w:rPr>
                <w:rFonts w:eastAsia="宋体" w:cs="Times New Roman"/>
                <w:b/>
                <w:bCs/>
                <w:sz w:val="21"/>
                <w:szCs w:val="21"/>
              </w:rPr>
              <w:t>后评价统计数据</w:t>
            </w:r>
            <w:r>
              <w:rPr>
                <w:rFonts w:hint="eastAsia" w:eastAsia="宋体" w:cs="Times New Roman"/>
                <w:b/>
                <w:bCs/>
                <w:sz w:val="21"/>
                <w:szCs w:val="21"/>
                <w:lang w:eastAsia="zh-CN"/>
              </w:rPr>
              <w:t>（</w:t>
            </w:r>
            <w:r>
              <w:rPr>
                <w:rFonts w:hint="eastAsia" w:eastAsia="宋体" w:cs="Times New Roman"/>
                <w:b/>
                <w:bCs/>
                <w:sz w:val="21"/>
                <w:szCs w:val="21"/>
                <w:lang w:val="en-US" w:eastAsia="zh-CN"/>
              </w:rPr>
              <w:t>2018年满负荷</w:t>
            </w:r>
            <w:r>
              <w:rPr>
                <w:rFonts w:hint="eastAsia" w:eastAsia="宋体" w:cs="Times New Roman"/>
                <w:b/>
                <w:bCs/>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3" w:type="dxa"/>
            <w:tcBorders>
              <w:left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二氧化硫</w:t>
            </w:r>
          </w:p>
        </w:tc>
        <w:tc>
          <w:tcPr>
            <w:tcW w:w="2563" w:type="dxa"/>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3450</w:t>
            </w:r>
          </w:p>
        </w:tc>
        <w:tc>
          <w:tcPr>
            <w:tcW w:w="3485" w:type="dxa"/>
            <w:tcBorders>
              <w:right w:val="nil"/>
            </w:tcBorders>
            <w:vAlign w:val="center"/>
          </w:tcPr>
          <w:p>
            <w:pPr>
              <w:pStyle w:val="31"/>
              <w:keepNext w:val="0"/>
              <w:keepLines w:val="0"/>
              <w:pageBreakBefore w:val="0"/>
              <w:kinsoku/>
              <w:wordWrap/>
              <w:bidi w:val="0"/>
              <w:snapToGrid/>
              <w:spacing w:line="240" w:lineRule="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1075.145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3" w:type="dxa"/>
            <w:tcBorders>
              <w:left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氮氧化物</w:t>
            </w:r>
          </w:p>
        </w:tc>
        <w:tc>
          <w:tcPr>
            <w:tcW w:w="2563" w:type="dxa"/>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6411</w:t>
            </w:r>
          </w:p>
        </w:tc>
        <w:tc>
          <w:tcPr>
            <w:tcW w:w="3485" w:type="dxa"/>
            <w:tcBorders>
              <w:right w:val="nil"/>
            </w:tcBorders>
            <w:vAlign w:val="center"/>
          </w:tcPr>
          <w:p>
            <w:pPr>
              <w:pStyle w:val="31"/>
              <w:keepNext w:val="0"/>
              <w:keepLines w:val="0"/>
              <w:pageBreakBefore w:val="0"/>
              <w:kinsoku/>
              <w:wordWrap/>
              <w:bidi w:val="0"/>
              <w:snapToGrid/>
              <w:spacing w:line="240" w:lineRule="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2560.593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3" w:type="dxa"/>
            <w:tcBorders>
              <w:left w:val="nil"/>
            </w:tcBorders>
            <w:vAlign w:val="center"/>
          </w:tcPr>
          <w:p>
            <w:pPr>
              <w:pStyle w:val="31"/>
              <w:keepNext w:val="0"/>
              <w:keepLines w:val="0"/>
              <w:pageBreakBefore w:val="0"/>
              <w:kinsoku/>
              <w:wordWrap/>
              <w:bidi w:val="0"/>
              <w:snapToGrid/>
              <w:spacing w:line="240" w:lineRule="auto"/>
              <w:rPr>
                <w:rFonts w:eastAsia="宋体" w:cs="Times New Roman"/>
                <w:sz w:val="21"/>
                <w:szCs w:val="21"/>
                <w:highlight w:val="none"/>
              </w:rPr>
            </w:pPr>
            <w:r>
              <w:rPr>
                <w:rFonts w:eastAsia="宋体" w:cs="Times New Roman"/>
                <w:sz w:val="21"/>
                <w:szCs w:val="21"/>
                <w:highlight w:val="none"/>
              </w:rPr>
              <w:t>颗粒物</w:t>
            </w:r>
          </w:p>
        </w:tc>
        <w:tc>
          <w:tcPr>
            <w:tcW w:w="2563" w:type="dxa"/>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w:t>
            </w:r>
          </w:p>
        </w:tc>
        <w:tc>
          <w:tcPr>
            <w:tcW w:w="3485" w:type="dxa"/>
            <w:tcBorders>
              <w:right w:val="nil"/>
            </w:tcBorders>
            <w:vAlign w:val="center"/>
          </w:tcPr>
          <w:p>
            <w:pPr>
              <w:pStyle w:val="31"/>
              <w:keepNext w:val="0"/>
              <w:keepLines w:val="0"/>
              <w:pageBreakBefore w:val="0"/>
              <w:kinsoku/>
              <w:wordWrap/>
              <w:bidi w:val="0"/>
              <w:snapToGrid/>
              <w:spacing w:line="240" w:lineRule="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1574.697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23" w:type="dxa"/>
            <w:tcBorders>
              <w:left w:val="nil"/>
              <w:bottom w:val="single" w:color="auto" w:sz="12" w:space="0"/>
            </w:tcBorders>
            <w:vAlign w:val="center"/>
          </w:tcPr>
          <w:p>
            <w:pPr>
              <w:pStyle w:val="31"/>
              <w:keepNext w:val="0"/>
              <w:keepLines w:val="0"/>
              <w:pageBreakBefore w:val="0"/>
              <w:kinsoku/>
              <w:wordWrap/>
              <w:bidi w:val="0"/>
              <w:snapToGrid/>
              <w:spacing w:line="240" w:lineRule="auto"/>
              <w:rPr>
                <w:rFonts w:eastAsia="宋体" w:cs="Times New Roman"/>
                <w:sz w:val="21"/>
                <w:szCs w:val="21"/>
                <w:highlight w:val="none"/>
              </w:rPr>
            </w:pPr>
            <w:r>
              <w:rPr>
                <w:rFonts w:eastAsia="宋体" w:cs="Times New Roman"/>
                <w:sz w:val="21"/>
                <w:szCs w:val="21"/>
                <w:highlight w:val="none"/>
              </w:rPr>
              <w:t>挥发性有机废气</w:t>
            </w:r>
          </w:p>
        </w:tc>
        <w:tc>
          <w:tcPr>
            <w:tcW w:w="2563" w:type="dxa"/>
            <w:tcBorders>
              <w:bottom w:val="single" w:color="auto" w:sz="12" w:space="0"/>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w:t>
            </w:r>
          </w:p>
        </w:tc>
        <w:tc>
          <w:tcPr>
            <w:tcW w:w="3485" w:type="dxa"/>
            <w:tcBorders>
              <w:bottom w:val="single" w:color="auto" w:sz="12" w:space="0"/>
              <w:right w:val="nil"/>
            </w:tcBorders>
            <w:vAlign w:val="center"/>
          </w:tcPr>
          <w:p>
            <w:pPr>
              <w:pStyle w:val="31"/>
              <w:keepNext w:val="0"/>
              <w:keepLines w:val="0"/>
              <w:pageBreakBefore w:val="0"/>
              <w:kinsoku/>
              <w:wordWrap/>
              <w:bidi w:val="0"/>
              <w:snapToGrid/>
              <w:spacing w:line="240" w:lineRule="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0.14678</w:t>
            </w:r>
          </w:p>
        </w:tc>
      </w:tr>
    </w:tbl>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sz w:val="24"/>
          <w:szCs w:val="24"/>
          <w:lang w:eastAsia="zh-CN"/>
        </w:rPr>
      </w:pPr>
      <w:r>
        <w:rPr>
          <w:rFonts w:ascii="Times New Roman" w:hAnsi="Times New Roman" w:eastAsia="宋体" w:cs="Times New Roman"/>
          <w:sz w:val="24"/>
          <w:szCs w:val="24"/>
        </w:rPr>
        <w:t>由上表可知，</w:t>
      </w:r>
      <w:r>
        <w:rPr>
          <w:rFonts w:hint="eastAsia" w:ascii="Times New Roman" w:hAnsi="Times New Roman" w:eastAsia="宋体" w:cs="Times New Roman"/>
          <w:sz w:val="24"/>
          <w:szCs w:val="24"/>
          <w:lang w:eastAsia="zh-CN"/>
        </w:rPr>
        <w:t>后评价统计数据二氧化硫和氮氧化物均满足总量指标控制要求。</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ascii="Times New Roman" w:hAnsi="Times New Roman" w:eastAsia="黑体" w:cs="Times New Roman"/>
          <w:sz w:val="44"/>
          <w:szCs w:val="44"/>
        </w:rPr>
        <w:t>1</w:t>
      </w:r>
      <w:r>
        <w:rPr>
          <w:rFonts w:hint="eastAsia" w:ascii="Times New Roman" w:hAnsi="Times New Roman" w:eastAsia="黑体" w:cs="Times New Roman"/>
          <w:sz w:val="44"/>
          <w:szCs w:val="44"/>
          <w:lang w:val="en-US" w:eastAsia="zh-CN"/>
        </w:rPr>
        <w:t>0</w:t>
      </w:r>
      <w:r>
        <w:rPr>
          <w:rFonts w:ascii="Times New Roman" w:hAnsi="Times New Roman" w:eastAsia="黑体" w:cs="Times New Roman"/>
          <w:sz w:val="44"/>
          <w:szCs w:val="44"/>
        </w:rPr>
        <w:t>产业政策和规划符合性分析</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w:t>
      </w:r>
      <w:r>
        <w:rPr>
          <w:rFonts w:hint="eastAsia" w:ascii="Times New Roman"/>
          <w:b w:val="0"/>
          <w:lang w:val="en-US" w:eastAsia="zh-CN"/>
        </w:rPr>
        <w:t>0</w:t>
      </w:r>
      <w:r>
        <w:rPr>
          <w:rFonts w:ascii="Times New Roman"/>
          <w:b w:val="0"/>
        </w:rPr>
        <w:t>.1产业政策符合性分析</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.1.1与《产业结构调整指导目录（2011年本）（2013年修订）》符合性分析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产业结构调整指导目录（2011年本）（2013年修订）》（2011年3月27日国家发展改革委第9号令公布，2013年2月16日国家发展改革委第21号令公布修正），现有厂区采用了5项鼓励技术装备，无淘汰类及落后类钢铁行业的产品和技术装备，具体符合情况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_Ref444510516 \h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.1-1。由表可知，厂区的建设符合《产业结构调整指导目录（2011年本）（2013年修订）》的相关要求。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.1-1  厂区与《产业结构调整指导目录（2011年本）（2013年修订）》符合性分析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4350"/>
        <w:gridCol w:w="3180"/>
        <w:gridCol w:w="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序号</w:t>
            </w:r>
          </w:p>
        </w:tc>
        <w:tc>
          <w:tcPr>
            <w:tcW w:w="435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文件内容要求</w:t>
            </w:r>
          </w:p>
        </w:tc>
        <w:tc>
          <w:tcPr>
            <w:tcW w:w="318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芜湖新兴铸管实际建设情况</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1</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鼓励类：八、钢铁</w:t>
            </w:r>
          </w:p>
          <w:p>
            <w:pPr>
              <w:pStyle w:val="41"/>
              <w:keepNext w:val="0"/>
              <w:keepLines w:val="0"/>
              <w:pageBreakBefore w:val="0"/>
              <w:kinsoku/>
              <w:wordWrap/>
              <w:bidi w:val="0"/>
              <w:snapToGrid/>
              <w:spacing w:line="240" w:lineRule="auto"/>
              <w:rPr>
                <w:szCs w:val="21"/>
              </w:rPr>
            </w:pPr>
            <w:r>
              <w:rPr>
                <w:szCs w:val="21"/>
              </w:rPr>
              <w:t>2、煤调湿、风选调湿、捣固炼焦、配型煤炼焦、干法熄焦、导热油换热、焦化废水深度处理回用、煤焦油精深加工、苯加氢精制、煤沥青制针状焦、焦油加氢处理、焦炉煤气高附加值利用等先进技术的研发与应用</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厂区焦炉熄焦采用干法熄焦工艺，焦化废水深度处理回用</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2</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鼓励类：八、钢铁</w:t>
            </w:r>
          </w:p>
          <w:p>
            <w:pPr>
              <w:pStyle w:val="41"/>
              <w:keepNext w:val="0"/>
              <w:keepLines w:val="0"/>
              <w:pageBreakBefore w:val="0"/>
              <w:kinsoku/>
              <w:wordWrap/>
              <w:bidi w:val="0"/>
              <w:snapToGrid/>
              <w:spacing w:line="240" w:lineRule="auto"/>
              <w:rPr>
                <w:szCs w:val="21"/>
              </w:rPr>
            </w:pPr>
            <w:r>
              <w:rPr>
                <w:szCs w:val="21"/>
              </w:rPr>
              <w:t>8、焦炉、高炉、热风炉用长寿节能环保耐火材料生产工艺；精炼钢用低碳、无碳耐火材料和高效连铸用功能环保性耐火材料生产工艺</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厂区针对不同的冶炼条件和侵蚀机理，选择相适应的节能环保耐火材料，提高设备寿命</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3</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鼓励类：八、钢铁</w:t>
            </w:r>
          </w:p>
          <w:p>
            <w:pPr>
              <w:pStyle w:val="41"/>
              <w:keepNext w:val="0"/>
              <w:keepLines w:val="0"/>
              <w:pageBreakBefore w:val="0"/>
              <w:kinsoku/>
              <w:wordWrap/>
              <w:bidi w:val="0"/>
              <w:snapToGrid/>
              <w:spacing w:line="240" w:lineRule="auto"/>
              <w:rPr>
                <w:szCs w:val="21"/>
              </w:rPr>
            </w:pPr>
            <w:r>
              <w:rPr>
                <w:szCs w:val="21"/>
              </w:rPr>
              <w:t>9、生产过程在线质量检测技术应用</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厂区配备计算机及自动化仪表，实现生产过程在线质量检测技术的应用</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4</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鼓励类：八、钢铁</w:t>
            </w:r>
          </w:p>
          <w:p>
            <w:pPr>
              <w:pStyle w:val="41"/>
              <w:keepNext w:val="0"/>
              <w:keepLines w:val="0"/>
              <w:pageBreakBefore w:val="0"/>
              <w:kinsoku/>
              <w:wordWrap/>
              <w:bidi w:val="0"/>
              <w:snapToGrid/>
              <w:spacing w:line="240" w:lineRule="auto"/>
              <w:rPr>
                <w:szCs w:val="21"/>
              </w:rPr>
            </w:pPr>
            <w:r>
              <w:rPr>
                <w:szCs w:val="21"/>
              </w:rPr>
              <w:t>13、冶金固体废弃物(含冶金矿山废石、尾矿，钢铁厂产生的各类尘、泥、渣、铁皮等)综合利用先进工艺技术</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高炉渣生产矿渣微粉。除尘灰、氧化铁皮和水处理污泥全部收集，混入烧结料中配料，不仅提高了烧结混合料的透气性，还能改善烧结过程，节约资源。脱硫石膏作为水泥原料外销，水泥砂浆外售作为建筑用砂，钢渣经破碎，筛分、磁选处理后废钢返生产系统，尾渣作为建筑材料外销</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5</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鼓励类：八、钢铁</w:t>
            </w:r>
          </w:p>
          <w:p>
            <w:pPr>
              <w:pStyle w:val="41"/>
              <w:keepNext w:val="0"/>
              <w:keepLines w:val="0"/>
              <w:pageBreakBefore w:val="0"/>
              <w:kinsoku/>
              <w:wordWrap/>
              <w:bidi w:val="0"/>
              <w:snapToGrid/>
              <w:spacing w:line="240" w:lineRule="auto"/>
              <w:rPr>
                <w:szCs w:val="21"/>
              </w:rPr>
            </w:pPr>
            <w:r>
              <w:rPr>
                <w:szCs w:val="21"/>
              </w:rPr>
              <w:t>15、冶金废液（含废水、废酸、废油等）循环利用工艺技术与设备</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厂区生产废水、生活污水经全厂综合污水处理中心处理后全部回用于生产系统，不外排</w:t>
            </w:r>
          </w:p>
        </w:tc>
        <w:tc>
          <w:tcPr>
            <w:tcW w:w="89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.1.2与《部分工业行业淘汰落后生产工艺装备和产品指导目录（2010年本）》符合性分析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加快淘汰落后生产能力，促进工业结构优化升级，2010年10月13日，工业和信息化部制定了《部分工业行业淘汰落后生产工艺装备和产品指导目录（2010年本）》。要求目录所列的落后生产工艺装备和产品，按规定期限淘汰，一律不得转移、生产、销售、使用和采用。芜湖新兴铸管厂区与《部分工业行业淘汰落后生产工艺装备和产品指导目录（2010年本）》符合性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_Ref444512340 \h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.1-2。由此可知，厂区无《部分工业行业淘汰落后生产工艺装备和产品指导目录（2010年本）》规定的限期淘汰工艺装备和产品。</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.1-2  厂区与《部分工业行业淘汰落后生产工艺装备和产品指导目录（2010年本）》符合性分析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4350"/>
        <w:gridCol w:w="3180"/>
        <w:gridCol w:w="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序号</w:t>
            </w:r>
          </w:p>
        </w:tc>
        <w:tc>
          <w:tcPr>
            <w:tcW w:w="435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文件内容要求</w:t>
            </w:r>
          </w:p>
        </w:tc>
        <w:tc>
          <w:tcPr>
            <w:tcW w:w="318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芜湖新兴铸管实际建设情况</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1</w:t>
            </w:r>
          </w:p>
        </w:tc>
        <w:tc>
          <w:tcPr>
            <w:tcW w:w="435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30m</w:t>
            </w:r>
            <w:r>
              <w:rPr>
                <w:rFonts w:ascii="Times New Roman" w:hAnsi="Times New Roman" w:eastAsia="宋体" w:cs="Times New Roman"/>
                <w:kern w:val="0"/>
                <w:szCs w:val="21"/>
                <w:vertAlign w:val="superscript"/>
              </w:rPr>
              <w:t>2</w:t>
            </w:r>
            <w:r>
              <w:rPr>
                <w:rFonts w:ascii="Times New Roman" w:hAnsi="Times New Roman" w:eastAsia="宋体" w:cs="Times New Roman"/>
                <w:kern w:val="0"/>
                <w:szCs w:val="21"/>
              </w:rPr>
              <w:t>以下烧结机；</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90m</w:t>
            </w:r>
            <w:r>
              <w:rPr>
                <w:rFonts w:ascii="Times New Roman" w:hAnsi="Times New Roman" w:eastAsia="宋体" w:cs="Times New Roman"/>
                <w:kern w:val="0"/>
                <w:szCs w:val="21"/>
                <w:vertAlign w:val="superscript"/>
              </w:rPr>
              <w:t>2</w:t>
            </w:r>
            <w:r>
              <w:rPr>
                <w:rFonts w:ascii="Times New Roman" w:hAnsi="Times New Roman" w:eastAsia="宋体" w:cs="Times New Roman"/>
                <w:kern w:val="0"/>
                <w:szCs w:val="21"/>
              </w:rPr>
              <w:t>以下烧结机（2013年）；</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8m</w:t>
            </w:r>
            <w:r>
              <w:rPr>
                <w:rFonts w:ascii="Times New Roman" w:hAnsi="Times New Roman" w:eastAsia="宋体" w:cs="Times New Roman"/>
                <w:kern w:val="0"/>
                <w:szCs w:val="21"/>
                <w:vertAlign w:val="superscript"/>
              </w:rPr>
              <w:t>2</w:t>
            </w:r>
            <w:r>
              <w:rPr>
                <w:rFonts w:ascii="Times New Roman" w:hAnsi="Times New Roman" w:eastAsia="宋体" w:cs="Times New Roman"/>
                <w:kern w:val="0"/>
                <w:szCs w:val="21"/>
              </w:rPr>
              <w:t>以下球团竖炉；</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环形烧结机；</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土烧结矿工艺；</w:t>
            </w:r>
          </w:p>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kern w:val="0"/>
                <w:szCs w:val="21"/>
              </w:rPr>
              <w:t>热烧结矿工艺</w:t>
            </w:r>
          </w:p>
        </w:tc>
        <w:tc>
          <w:tcPr>
            <w:tcW w:w="318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kern w:val="0"/>
                <w:szCs w:val="21"/>
              </w:rPr>
              <w:t>《</w:t>
            </w:r>
            <w:r>
              <w:rPr>
                <w:rFonts w:ascii="Times New Roman" w:hAnsi="Times New Roman" w:eastAsia="宋体" w:cs="Times New Roman"/>
                <w:szCs w:val="21"/>
              </w:rPr>
              <w:t>芜湖新兴铸管有限责任公司2×58孔焦炉技术改造项目</w:t>
            </w:r>
            <w:r>
              <w:rPr>
                <w:rFonts w:ascii="Times New Roman" w:hAnsi="Times New Roman" w:eastAsia="宋体" w:cs="Times New Roman"/>
                <w:kern w:val="0"/>
                <w:szCs w:val="21"/>
              </w:rPr>
              <w:t>》（</w:t>
            </w:r>
            <w:r>
              <w:rPr>
                <w:rFonts w:ascii="Times New Roman" w:hAnsi="Times New Roman" w:eastAsia="宋体" w:cs="Times New Roman"/>
                <w:szCs w:val="21"/>
              </w:rPr>
              <w:t>环行审[2016]78号</w:t>
            </w:r>
            <w:r>
              <w:rPr>
                <w:rFonts w:ascii="Times New Roman" w:hAnsi="Times New Roman" w:eastAsia="宋体" w:cs="Times New Roman"/>
                <w:kern w:val="0"/>
                <w:szCs w:val="21"/>
              </w:rPr>
              <w:t>）内容：烧结机使用面积由180m</w:t>
            </w:r>
            <w:r>
              <w:rPr>
                <w:rFonts w:ascii="Times New Roman" w:hAnsi="Times New Roman" w:eastAsia="宋体" w:cs="Times New Roman"/>
                <w:kern w:val="0"/>
                <w:szCs w:val="21"/>
                <w:vertAlign w:val="superscript"/>
              </w:rPr>
              <w:t>2</w:t>
            </w:r>
            <w:r>
              <w:rPr>
                <w:rFonts w:ascii="Times New Roman" w:hAnsi="Times New Roman" w:eastAsia="宋体" w:cs="Times New Roman"/>
                <w:kern w:val="0"/>
                <w:szCs w:val="21"/>
              </w:rPr>
              <w:t>改造为265m</w:t>
            </w:r>
            <w:r>
              <w:rPr>
                <w:rFonts w:ascii="Times New Roman" w:hAnsi="Times New Roman" w:eastAsia="宋体" w:cs="Times New Roman"/>
                <w:kern w:val="0"/>
                <w:szCs w:val="21"/>
                <w:vertAlign w:val="superscript"/>
              </w:rPr>
              <w:t>2</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2</w:t>
            </w:r>
          </w:p>
        </w:tc>
        <w:tc>
          <w:tcPr>
            <w:tcW w:w="435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300m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及以下的炼铁高炉；</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300立方米m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以上、400m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立方米及以下的炼铁高炉（2011年）；</w:t>
            </w:r>
          </w:p>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kern w:val="0"/>
                <w:szCs w:val="21"/>
              </w:rPr>
              <w:t>200m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及以下的专业铸铁管厂高炉</w:t>
            </w:r>
          </w:p>
        </w:tc>
        <w:tc>
          <w:tcPr>
            <w:tcW w:w="318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kern w:val="0"/>
                <w:szCs w:val="21"/>
              </w:rPr>
              <w:t>厂区现有2座高炉有效容积1280m</w:t>
            </w:r>
            <w:r>
              <w:rPr>
                <w:rFonts w:ascii="Times New Roman" w:hAnsi="Times New Roman" w:eastAsia="宋体" w:cs="Times New Roman"/>
                <w:kern w:val="0"/>
                <w:szCs w:val="21"/>
                <w:vertAlign w:val="superscript"/>
              </w:rPr>
              <w:t>3</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3</w:t>
            </w:r>
          </w:p>
        </w:tc>
        <w:tc>
          <w:tcPr>
            <w:tcW w:w="435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20t及以下炼钢转炉；</w:t>
            </w:r>
          </w:p>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kern w:val="0"/>
                <w:szCs w:val="21"/>
              </w:rPr>
              <w:t>20t以上、30t及以下炼钢转炉（2011年）</w:t>
            </w:r>
          </w:p>
        </w:tc>
        <w:tc>
          <w:tcPr>
            <w:tcW w:w="318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kern w:val="0"/>
                <w:szCs w:val="21"/>
              </w:rPr>
              <w:t>厂区转炉公称容量为120t</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4</w:t>
            </w:r>
          </w:p>
        </w:tc>
        <w:tc>
          <w:tcPr>
            <w:tcW w:w="435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复二重线材轧机；</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叠轧薄板轧机；</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横列式棒材及型材轧机；</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普钢初轧机及开坯用中型轧机；</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热轧窄带钢（600mm及以下）轧机；</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三辊劳特式中板轧机；</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直径76mm以下热轧无缝管机组；</w:t>
            </w:r>
          </w:p>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kern w:val="0"/>
                <w:szCs w:val="21"/>
              </w:rPr>
              <w:t>三辊横列式型线材轧机（不含特殊钢生产）</w:t>
            </w:r>
          </w:p>
        </w:tc>
        <w:tc>
          <w:tcPr>
            <w:tcW w:w="318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厂区现有热轧生产线为：</w:t>
            </w:r>
          </w:p>
          <w:p>
            <w:pPr>
              <w:keepNext w:val="0"/>
              <w:keepLines w:val="0"/>
              <w:pageBreakBefore w:val="0"/>
              <w:kinsoku/>
              <w:wordWrap/>
              <w:bidi w:val="0"/>
              <w:snapToGrid/>
              <w:jc w:val="center"/>
              <w:textAlignment w:val="baseline"/>
              <w:rPr>
                <w:rFonts w:ascii="Times New Roman" w:hAnsi="Times New Roman" w:eastAsia="宋体" w:cs="Times New Roman"/>
                <w:szCs w:val="21"/>
                <w:highlight w:val="none"/>
              </w:rPr>
            </w:pPr>
            <w:r>
              <w:rPr>
                <w:rFonts w:ascii="Times New Roman" w:hAnsi="Times New Roman" w:eastAsia="宋体" w:cs="Times New Roman"/>
                <w:szCs w:val="21"/>
                <w:highlight w:val="none"/>
              </w:rPr>
              <w:t>1条小棒材生产线（12mm~60mm）；</w:t>
            </w:r>
          </w:p>
          <w:p>
            <w:pPr>
              <w:keepNext w:val="0"/>
              <w:keepLines w:val="0"/>
              <w:pageBreakBefore w:val="0"/>
              <w:kinsoku/>
              <w:wordWrap/>
              <w:bidi w:val="0"/>
              <w:snapToGrid/>
              <w:jc w:val="center"/>
              <w:textAlignment w:val="baseline"/>
              <w:rPr>
                <w:rFonts w:ascii="Times New Roman" w:hAnsi="Times New Roman" w:eastAsia="宋体" w:cs="Times New Roman"/>
                <w:szCs w:val="21"/>
                <w:highlight w:val="none"/>
              </w:rPr>
            </w:pPr>
            <w:r>
              <w:rPr>
                <w:rFonts w:ascii="Times New Roman" w:hAnsi="Times New Roman" w:eastAsia="宋体" w:cs="Times New Roman"/>
                <w:szCs w:val="21"/>
                <w:highlight w:val="none"/>
              </w:rPr>
              <w:t>1条大棒材线材生产线（130mm~280mm）；</w:t>
            </w:r>
          </w:p>
          <w:p>
            <w:pPr>
              <w:keepNext w:val="0"/>
              <w:keepLines w:val="0"/>
              <w:pageBreakBefore w:val="0"/>
              <w:kinsoku/>
              <w:wordWrap/>
              <w:bidi w:val="0"/>
              <w:snapToGrid/>
              <w:jc w:val="center"/>
              <w:textAlignment w:val="baseline"/>
              <w:rPr>
                <w:rFonts w:ascii="Times New Roman" w:hAnsi="Times New Roman" w:eastAsia="宋体" w:cs="Times New Roman"/>
                <w:szCs w:val="21"/>
                <w:highlight w:val="none"/>
              </w:rPr>
            </w:pPr>
            <w:r>
              <w:rPr>
                <w:rFonts w:ascii="Times New Roman" w:hAnsi="Times New Roman" w:eastAsia="宋体" w:cs="Times New Roman"/>
                <w:szCs w:val="21"/>
                <w:highlight w:val="none"/>
              </w:rPr>
              <w:t>1条中棒材线材生产线（40mm~130mm）；</w:t>
            </w:r>
          </w:p>
          <w:p>
            <w:pPr>
              <w:keepNext w:val="0"/>
              <w:keepLines w:val="0"/>
              <w:pageBreakBefore w:val="0"/>
              <w:kinsoku/>
              <w:wordWrap/>
              <w:bidi w:val="0"/>
              <w:snapToGrid/>
              <w:jc w:val="center"/>
              <w:textAlignment w:val="baseline"/>
              <w:rPr>
                <w:rFonts w:ascii="Times New Roman" w:hAnsi="Times New Roman" w:eastAsia="宋体" w:cs="Times New Roman"/>
                <w:szCs w:val="21"/>
                <w:highlight w:val="none"/>
              </w:rPr>
            </w:pPr>
            <w:r>
              <w:rPr>
                <w:rFonts w:ascii="Times New Roman" w:hAnsi="Times New Roman" w:eastAsia="宋体" w:cs="Times New Roman"/>
                <w:szCs w:val="21"/>
                <w:highlight w:val="none"/>
              </w:rPr>
              <w:t>1条普通高速线材线（6mm~14mm）；</w:t>
            </w:r>
          </w:p>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szCs w:val="21"/>
                <w:highlight w:val="none"/>
              </w:rPr>
              <w:t>1条精品高速线材线（5.5mm~22mm）</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5</w:t>
            </w:r>
          </w:p>
        </w:tc>
        <w:tc>
          <w:tcPr>
            <w:tcW w:w="435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土法炼焦（含改良焦炉）、单炉产能5万t/a以下或无煤气、焦油回收利用和污水处理达不到准入条件要求的半焦（兰炭）生产装置；</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单炉产能7.5万t/a以下的半焦（兰炭）生产装置（2012年）；</w:t>
            </w:r>
          </w:p>
          <w:p>
            <w:pPr>
              <w:keepNext w:val="0"/>
              <w:keepLines w:val="0"/>
              <w:pageBreakBefore w:val="0"/>
              <w:kinsoku/>
              <w:wordWrap/>
              <w:bidi w:val="0"/>
              <w:snapToGrid/>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未达到焦化行业准入条件要求的热回收焦炉（2012年）；</w:t>
            </w:r>
          </w:p>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kern w:val="0"/>
                <w:szCs w:val="21"/>
              </w:rPr>
              <w:t>炭化室高度4.3m（捣固焦炉3.8m）以下常规机焦炉（西部地区或城市汽源生产企业的炭化室高度3.2m捣固焦炉，2012年）</w:t>
            </w:r>
          </w:p>
        </w:tc>
        <w:tc>
          <w:tcPr>
            <w:tcW w:w="3180" w:type="dxa"/>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kern w:val="0"/>
                <w:szCs w:val="21"/>
              </w:rPr>
              <w:t>厂区单炉焦炭产能为60万t/a，焦炉炭化室高度≥6m</w:t>
            </w:r>
          </w:p>
        </w:tc>
        <w:tc>
          <w:tcPr>
            <w:tcW w:w="89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.1.3与《钢铁产业发展政策》符合性分析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钢铁产业是国民经济的重要基础产业，是实现工业化的支撑产业，是技术、资金、资源、能源密集型产业，钢铁产业的发展需要综合平衡各种外部条件。我国是一个发展中大国，在经济发展的相当长时期内钢铁需求较大，产量已多年居世界第一，但钢铁产业的技术水平和物耗与国际先进水平相比还有差距，今后发展重点是技术升级和结构调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芜湖新兴铸管厂区与国家发展和改革委员会2005年7月8日正式发布施行的《钢铁产业发展政策》（国家发改委第35号令）主要内容符合性分析见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_Ref444510501 \h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.1-3，由表可知，厂区的建设符合《钢铁产业发展政策》的相关要求。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.1-3  厂区与《钢铁产业发展政策》符合性分析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4350"/>
        <w:gridCol w:w="3180"/>
        <w:gridCol w:w="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序号</w:t>
            </w:r>
          </w:p>
        </w:tc>
        <w:tc>
          <w:tcPr>
            <w:tcW w:w="435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文件内容要求</w:t>
            </w:r>
          </w:p>
        </w:tc>
        <w:tc>
          <w:tcPr>
            <w:tcW w:w="318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芜湖新兴铸管实际建设情况</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1</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t>第十二条  为确保钢铁工业产业升级和实现可持续发展，防止低水平重复建设，对钢铁工业装备水平和技术经济指标准入条件规定如下，现有企业要通过技术改造努力达标：烧结机使用面积180m</w:t>
            </w:r>
            <w:r>
              <w:rPr>
                <w:vertAlign w:val="superscript"/>
              </w:rPr>
              <w:t>2</w:t>
            </w:r>
            <w:r>
              <w:t>及以上；高炉有效容积1000m</w:t>
            </w:r>
            <w:r>
              <w:rPr>
                <w:vertAlign w:val="superscript"/>
              </w:rPr>
              <w:t>3</w:t>
            </w:r>
            <w:r>
              <w:t>及以上；转炉公称容量120t及以上；电炉公称容量70t及以上</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t>厂区现状建设内容包括2台265m</w:t>
            </w:r>
            <w:r>
              <w:rPr>
                <w:vertAlign w:val="superscript"/>
              </w:rPr>
              <w:t>2</w:t>
            </w:r>
            <w:r>
              <w:t>烧结机、2座1280m</w:t>
            </w:r>
            <w:r>
              <w:rPr>
                <w:vertAlign w:val="superscript"/>
              </w:rPr>
              <w:t>3</w:t>
            </w:r>
            <w:r>
              <w:t>高炉、2座120t转炉，均不属于限制类和淘汰类的生产设施</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2</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t>钢铁联合企业技术经济指标达到：吨钢综合能耗高炉流程低于0.7tce，吨钢耗新水高炉流程低于6t，水循环利用率95%以上</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t>厂区目前吨钢综合能耗为5</w:t>
            </w:r>
            <w:r>
              <w:rPr>
                <w:rFonts w:hint="eastAsia"/>
              </w:rPr>
              <w:t>68</w:t>
            </w:r>
            <w:r>
              <w:t>kgce/t，吨钢耗新水为</w:t>
            </w:r>
            <w:r>
              <w:rPr>
                <w:rFonts w:hint="eastAsia"/>
              </w:rPr>
              <w:t>2.</w:t>
            </w:r>
            <w:r>
              <w:rPr>
                <w:rFonts w:hint="eastAsia"/>
                <w:lang w:val="en-US" w:eastAsia="zh-CN"/>
              </w:rPr>
              <w:t>98</w:t>
            </w:r>
            <w:r>
              <w:t>m</w:t>
            </w:r>
            <w:r>
              <w:rPr>
                <w:vertAlign w:val="superscript"/>
              </w:rPr>
              <w:t>3</w:t>
            </w:r>
            <w:r>
              <w:t>/t</w:t>
            </w:r>
            <w:r>
              <w:rPr>
                <w:highlight w:val="none"/>
              </w:rPr>
              <w:t>，水循环利用率97.89%</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3</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t>第十三条  所有生产企业必须达到国家和地方污染物排放标准，建设项目主要污染物排放总量控制指标要严格执行经批准的环境影响评价报告书（表）的规定，对超过核定的污染物排放指标和总量的，不准生产运行</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t>厂区废水实现“零”排放，废气、噪声均可达到国家相应的污染物排放标准的要求，废气污染物排放量满足总量指标要求</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4</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t>企业应根据发展循环经济的要求，建设污水和废渣综合处理系统，采用干熄焦，焦炉、高炉、转炉煤气回收和利用，煤气-蒸汽联合循环发电，高炉余压发电、汽化冷却烟气、粉尘、废渣等能源、资源回收再利用技术，提高能源利用效率、资源回收利用率和改善环境</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t>厂区建有全厂综合污水处理站和矿渣微粉生产线，采用干熄焦；焦炉、高炉、转炉煤气回收和利用；建设BPRT装置回收利用高炉煤气余压；采用烧结环冷机、转炉烟道汽化冷却和加热炉汽化冷却装置回收余热；各产尘点均设有高效除尘装置；产生的矿渣、钢渣及各类除尘灰、废钢、氧化铁皮等循环利用，大大提高了能源利用效率、资源回收利用率和改善环境</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5</w:t>
            </w:r>
          </w:p>
        </w:tc>
        <w:tc>
          <w:tcPr>
            <w:tcW w:w="4350" w:type="dxa"/>
            <w:tcBorders>
              <w:tl2br w:val="nil"/>
              <w:tr2bl w:val="nil"/>
            </w:tcBorders>
            <w:vAlign w:val="center"/>
          </w:tcPr>
          <w:p>
            <w:pPr>
              <w:pStyle w:val="41"/>
              <w:keepNext w:val="0"/>
              <w:keepLines w:val="0"/>
              <w:pageBreakBefore w:val="0"/>
              <w:kinsoku/>
              <w:wordWrap/>
              <w:bidi w:val="0"/>
              <w:snapToGrid/>
              <w:spacing w:line="240" w:lineRule="auto"/>
              <w:rPr>
                <w:szCs w:val="21"/>
              </w:rPr>
            </w:pPr>
            <w:r>
              <w:t>第十五条 企业应积极采用精料入炉、富氧喷煤、铁水预处理、大型高炉、转炉和超高功率电炉、炉外精炼、连铸、连轧、控轧、控冷等先进工艺技术和装备。</w:t>
            </w:r>
          </w:p>
        </w:tc>
        <w:tc>
          <w:tcPr>
            <w:tcW w:w="3180" w:type="dxa"/>
            <w:tcBorders>
              <w:tl2br w:val="nil"/>
              <w:tr2bl w:val="nil"/>
            </w:tcBorders>
            <w:vAlign w:val="center"/>
          </w:tcPr>
          <w:p>
            <w:pPr>
              <w:pStyle w:val="41"/>
              <w:keepNext w:val="0"/>
              <w:keepLines w:val="0"/>
              <w:pageBreakBefore w:val="0"/>
              <w:kinsoku/>
              <w:wordWrap/>
              <w:bidi w:val="0"/>
              <w:snapToGrid/>
              <w:spacing w:line="240" w:lineRule="auto"/>
              <w:rPr>
                <w:szCs w:val="21"/>
              </w:rPr>
            </w:pPr>
            <w:r>
              <w:t>厂区高炉采用富氧喷煤工艺，通过富氧喷煤降低焦比以减少能源消耗；铁水100%脱硫预处理工艺；采用1280m</w:t>
            </w:r>
            <w:r>
              <w:rPr>
                <w:vertAlign w:val="superscript"/>
              </w:rPr>
              <w:t>3</w:t>
            </w:r>
            <w:r>
              <w:t>高炉及120t转炉；采用LF、RH等炉外精炼技术；采用高效连铸、连轧、控轧、控冷技术，提高生产效率</w:t>
            </w:r>
          </w:p>
        </w:tc>
        <w:tc>
          <w:tcPr>
            <w:tcW w:w="890" w:type="dxa"/>
            <w:tcBorders>
              <w:tl2br w:val="nil"/>
              <w:tr2bl w:val="nil"/>
            </w:tcBorders>
            <w:vAlign w:val="center"/>
          </w:tcPr>
          <w:p>
            <w:pPr>
              <w:keepNext w:val="0"/>
              <w:keepLines w:val="0"/>
              <w:pageBreakBefore w:val="0"/>
              <w:widowControl/>
              <w:kinsoku/>
              <w:wordWrap/>
              <w:bidi w:val="0"/>
              <w:snapToGrid/>
              <w:jc w:val="center"/>
              <w:rPr>
                <w:rFonts w:ascii="Times New Roman" w:hAnsi="Times New Roman" w:eastAsia="宋体" w:cs="Times New Roman"/>
                <w:szCs w:val="21"/>
              </w:rPr>
            </w:pPr>
            <w:r>
              <w:rPr>
                <w:rFonts w:ascii="Times New Roman" w:hAnsi="Times New Roman" w:eastAsia="宋体" w:cs="Times New Roman"/>
                <w:szCs w:val="21"/>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.1.4与《安徽省人民政府关于钢铁行业化解过剩产能实现脱困发展的实施意见》符合性分析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贯彻落实《国务院关于钢铁行业化解过剩产能实现脱困发展的意见》（国发[2016]6号）和《中共安徽省委安徽省人民政府关于印发〈安徽省扎实推进供给侧结构性改革实施方案〉的通知》（皖发[2016]21号）精神，结合安徽省实际，做好安徽省钢铁行业化解过剩产能，推动钢铁企业脱困发展、提质增效，提出实施意见。</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芜湖新兴铸管厂区与《安徽省人民政府关于钢铁行业化解过剩产能实现脱困发展的实施意见》（皖政[2016]77号）中的主要内容符合性分析见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_Ref464142628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.1-4。</w:t>
      </w:r>
    </w:p>
    <w:p>
      <w:pPr>
        <w:pStyle w:val="31"/>
        <w:keepNext w:val="0"/>
        <w:keepLines w:val="0"/>
        <w:pageBreakBefore w:val="0"/>
        <w:kinsoku/>
        <w:wordWrap/>
        <w:bidi w:val="0"/>
        <w:snapToGrid/>
        <w:spacing w:line="360" w:lineRule="auto"/>
        <w:rPr>
          <w:rFonts w:cs="Times New Roman"/>
        </w:rPr>
      </w:pPr>
      <w:bookmarkStart w:id="19" w:name="_Ref464142628"/>
      <w:r>
        <w:rPr>
          <w:rFonts w:cs="Times New Roman"/>
        </w:rPr>
        <w:t>表</w:t>
      </w:r>
      <w:bookmarkEnd w:id="19"/>
      <w:r>
        <w:rPr>
          <w:rFonts w:cs="Times New Roman"/>
        </w:rPr>
        <w:t>1</w:t>
      </w:r>
      <w:r>
        <w:rPr>
          <w:rFonts w:hint="eastAsia" w:cs="Times New Roman"/>
          <w:lang w:val="en-US" w:eastAsia="zh-CN"/>
        </w:rPr>
        <w:t>0</w:t>
      </w:r>
      <w:r>
        <w:rPr>
          <w:rFonts w:cs="Times New Roman"/>
        </w:rPr>
        <w:t>.1-4  与《安徽省人民政府关于钢铁行业化解过剩产能实现脱困发展的实施意见》符合性分析</w:t>
      </w:r>
    </w:p>
    <w:tbl>
      <w:tblPr>
        <w:tblStyle w:val="21"/>
        <w:tblW w:w="907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52"/>
        <w:gridCol w:w="4335"/>
        <w:gridCol w:w="3210"/>
        <w:gridCol w:w="87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340" w:hRule="atLeast"/>
          <w:jc w:val="center"/>
        </w:trPr>
        <w:tc>
          <w:tcPr>
            <w:tcW w:w="652" w:type="dxa"/>
            <w:tcBorders>
              <w:tl2br w:val="nil"/>
              <w:tr2bl w:val="nil"/>
            </w:tcBorders>
            <w:vAlign w:val="center"/>
          </w:tcPr>
          <w:p>
            <w:pPr>
              <w:pStyle w:val="31"/>
              <w:keepNext w:val="0"/>
              <w:keepLines w:val="0"/>
              <w:pageBreakBefore w:val="0"/>
              <w:kinsoku/>
              <w:wordWrap/>
              <w:bidi w:val="0"/>
              <w:snapToGrid/>
              <w:spacing w:line="240" w:lineRule="auto"/>
              <w:rPr>
                <w:rFonts w:cs="Times New Roman"/>
                <w:sz w:val="21"/>
                <w:szCs w:val="21"/>
              </w:rPr>
            </w:pPr>
            <w:r>
              <w:rPr>
                <w:rFonts w:eastAsia="宋体" w:cs="Times New Roman"/>
                <w:b/>
                <w:bCs/>
                <w:sz w:val="21"/>
                <w:szCs w:val="21"/>
              </w:rPr>
              <w:t>序号</w:t>
            </w:r>
          </w:p>
        </w:tc>
        <w:tc>
          <w:tcPr>
            <w:tcW w:w="4335" w:type="dxa"/>
            <w:tcBorders>
              <w:tl2br w:val="nil"/>
              <w:tr2bl w:val="nil"/>
            </w:tcBorders>
            <w:vAlign w:val="center"/>
          </w:tcPr>
          <w:p>
            <w:pPr>
              <w:pStyle w:val="31"/>
              <w:keepNext w:val="0"/>
              <w:keepLines w:val="0"/>
              <w:pageBreakBefore w:val="0"/>
              <w:kinsoku/>
              <w:wordWrap/>
              <w:bidi w:val="0"/>
              <w:snapToGrid/>
              <w:spacing w:line="240" w:lineRule="auto"/>
              <w:rPr>
                <w:rFonts w:cs="Times New Roman"/>
                <w:sz w:val="21"/>
                <w:szCs w:val="21"/>
              </w:rPr>
            </w:pPr>
            <w:r>
              <w:rPr>
                <w:rFonts w:eastAsia="宋体" w:cs="Times New Roman"/>
                <w:b/>
                <w:bCs/>
                <w:sz w:val="21"/>
                <w:szCs w:val="21"/>
              </w:rPr>
              <w:t>文件内容要求</w:t>
            </w:r>
          </w:p>
        </w:tc>
        <w:tc>
          <w:tcPr>
            <w:tcW w:w="3210" w:type="dxa"/>
            <w:tcBorders>
              <w:tl2br w:val="nil"/>
              <w:tr2bl w:val="nil"/>
            </w:tcBorders>
            <w:vAlign w:val="center"/>
          </w:tcPr>
          <w:p>
            <w:pPr>
              <w:pStyle w:val="31"/>
              <w:keepNext w:val="0"/>
              <w:keepLines w:val="0"/>
              <w:pageBreakBefore w:val="0"/>
              <w:kinsoku/>
              <w:wordWrap/>
              <w:bidi w:val="0"/>
              <w:snapToGrid/>
              <w:spacing w:line="240" w:lineRule="auto"/>
              <w:rPr>
                <w:rFonts w:cs="Times New Roman"/>
                <w:sz w:val="21"/>
                <w:szCs w:val="21"/>
              </w:rPr>
            </w:pPr>
            <w:r>
              <w:rPr>
                <w:rFonts w:eastAsia="宋体" w:cs="Times New Roman"/>
                <w:b/>
                <w:bCs/>
                <w:sz w:val="21"/>
                <w:szCs w:val="21"/>
              </w:rPr>
              <w:t>芜湖新兴铸管实际建设情况</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b/>
                <w:bCs/>
                <w:szCs w:val="21"/>
              </w:rPr>
              <w:t>符合性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w:t>
            </w:r>
          </w:p>
        </w:tc>
        <w:tc>
          <w:tcPr>
            <w:tcW w:w="433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（一）严禁新增产能。</w:t>
            </w:r>
          </w:p>
          <w:p>
            <w:pPr>
              <w:pStyle w:val="41"/>
              <w:keepNext w:val="0"/>
              <w:keepLines w:val="0"/>
              <w:pageBreakBefore w:val="0"/>
              <w:kinsoku/>
              <w:wordWrap/>
              <w:bidi w:val="0"/>
              <w:snapToGrid/>
              <w:spacing w:line="240" w:lineRule="auto"/>
              <w:rPr>
                <w:szCs w:val="21"/>
              </w:rPr>
            </w:pPr>
            <w:r>
              <w:rPr>
                <w:szCs w:val="21"/>
              </w:rPr>
              <w:t>加强钢铁行业项目管理，各地、各部门不得以任何名义、任何方式备案新增钢铁产能项目。积极引导有效产能向优势企业集中；所有新备案钢铁项目必须落实产能置换指标，并向社会公告。对新增钢铁产能项目，各相关部门和机构不得办理土地供应、能评、环评、安评审批和新增授信支持等相关业务。对违法违规建设的，要追究责任</w:t>
            </w:r>
          </w:p>
        </w:tc>
        <w:tc>
          <w:tcPr>
            <w:tcW w:w="321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自搬迁芜湖三山经济开发区后，未新增产能，目前根据《国家发展改革委工业和信息化部关于印发对钢铁、电解铝、船舶行业违规项目清理意见的通知》（发改产业[2015]1494号）及《安徽省发展改革委安徽省经济和信息化委转发国家发展改革委工业和信息化部关于印发对钢铁电解铝船舶行业违规项目清理意见的通知》，厂区认定炼铁产能198万吨/年、炼钢产能</w:t>
            </w:r>
            <w:r>
              <w:rPr>
                <w:rFonts w:hint="eastAsia"/>
                <w:szCs w:val="21"/>
                <w:lang w:val="en-US" w:eastAsia="zh-CN"/>
              </w:rPr>
              <w:t>150</w:t>
            </w:r>
            <w:r>
              <w:rPr>
                <w:szCs w:val="21"/>
              </w:rPr>
              <w:t>万吨/年</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w:t>
            </w:r>
          </w:p>
        </w:tc>
        <w:tc>
          <w:tcPr>
            <w:tcW w:w="4335"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（二）化解过剩产能。</w:t>
            </w:r>
          </w:p>
          <w:p>
            <w:pPr>
              <w:pStyle w:val="41"/>
              <w:keepNext w:val="0"/>
              <w:keepLines w:val="0"/>
              <w:pageBreakBefore w:val="0"/>
              <w:kinsoku/>
              <w:wordWrap/>
              <w:bidi w:val="0"/>
              <w:snapToGrid/>
              <w:spacing w:line="240" w:lineRule="auto"/>
              <w:rPr>
                <w:szCs w:val="21"/>
              </w:rPr>
            </w:pPr>
            <w:r>
              <w:rPr>
                <w:szCs w:val="21"/>
              </w:rPr>
              <w:t>依法依规退出。充分发挥市场在资源配置中的决定性作用，对已不具备生存发展条件的企业，不得给予输血保护。严格执行环保、能耗、质量、安全、技术等法律法规和产业政策，达不到标准要求的钢铁产能要依法依规退出</w:t>
            </w:r>
          </w:p>
        </w:tc>
        <w:tc>
          <w:tcPr>
            <w:tcW w:w="321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环保方面：严格执行环境保护法，对污染物排放满足响应排放标准要求。</w:t>
            </w:r>
          </w:p>
          <w:p>
            <w:pPr>
              <w:pStyle w:val="41"/>
              <w:keepNext w:val="0"/>
              <w:keepLines w:val="0"/>
              <w:pageBreakBefore w:val="0"/>
              <w:kinsoku/>
              <w:wordWrap/>
              <w:bidi w:val="0"/>
              <w:snapToGrid/>
              <w:spacing w:line="240" w:lineRule="auto"/>
              <w:rPr>
                <w:szCs w:val="21"/>
              </w:rPr>
            </w:pPr>
            <w:r>
              <w:rPr>
                <w:szCs w:val="21"/>
              </w:rPr>
              <w:t>能耗方面：严格执行节约能源法，达到《粗钢生产主要工序单位产品能源消耗限额》等强制性标准要求。</w:t>
            </w:r>
          </w:p>
          <w:p>
            <w:pPr>
              <w:pStyle w:val="41"/>
              <w:keepNext w:val="0"/>
              <w:keepLines w:val="0"/>
              <w:pageBreakBefore w:val="0"/>
              <w:kinsoku/>
              <w:wordWrap/>
              <w:bidi w:val="0"/>
              <w:snapToGrid/>
              <w:spacing w:line="240" w:lineRule="auto"/>
              <w:rPr>
                <w:szCs w:val="21"/>
              </w:rPr>
            </w:pPr>
            <w:r>
              <w:rPr>
                <w:szCs w:val="21"/>
              </w:rPr>
              <w:t>质量方面：严格执行产品质量法，钢材产品质量达到强制性标准要求。</w:t>
            </w:r>
          </w:p>
          <w:p>
            <w:pPr>
              <w:pStyle w:val="41"/>
              <w:keepNext w:val="0"/>
              <w:keepLines w:val="0"/>
              <w:pageBreakBefore w:val="0"/>
              <w:kinsoku/>
              <w:wordWrap/>
              <w:bidi w:val="0"/>
              <w:snapToGrid/>
              <w:spacing w:line="240" w:lineRule="auto"/>
              <w:rPr>
                <w:szCs w:val="21"/>
              </w:rPr>
            </w:pPr>
            <w:r>
              <w:rPr>
                <w:szCs w:val="21"/>
              </w:rPr>
              <w:t xml:space="preserve">安全方面：严格执行安全生产法。 </w:t>
            </w:r>
          </w:p>
          <w:p>
            <w:pPr>
              <w:pStyle w:val="41"/>
              <w:keepNext w:val="0"/>
              <w:keepLines w:val="0"/>
              <w:pageBreakBefore w:val="0"/>
              <w:kinsoku/>
              <w:wordWrap/>
              <w:bidi w:val="0"/>
              <w:snapToGrid/>
              <w:spacing w:line="240" w:lineRule="auto"/>
              <w:rPr>
                <w:szCs w:val="21"/>
              </w:rPr>
            </w:pPr>
            <w:r>
              <w:rPr>
                <w:szCs w:val="21"/>
              </w:rPr>
              <w:t>技术方面：满足《产业结构调整指导目录（2011年本）（2013修正）》的有关规定</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.1.5与《钢铁行业规范条件（2015年修订）》符合性分析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进一步加强钢铁行业管理，建立统一开放、竞争有序的市场体系，强化环保节能，优化产业结构，促进钢铁产业转型升级，根据《国务院办公厅关于进一步加大节能减排力度加快钢铁工业结构调整的若干意见》（国办发[2010]34号）和《国务院关于化解产能严重过剩矛盾的指导意见》（国发[2013]41号）、相关法律法规及标准，对《钢铁行业规范条件（2012年修订）》进行修订，2015年5月19日工业和信息化部将修订后的《钢铁行业规范条件（2015年修订）》予以发布，本规范条件自2015年7月1日起实施。</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芜湖新兴铸管厂区与《钢铁行业规范条件（2015年修订）》中的主要内容符合性分析见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_Ref460830303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.1-5。</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.1-</w:t>
      </w:r>
      <w:r>
        <w:rPr>
          <w:rFonts w:hint="eastAsia" w:cs="Times New Roman"/>
          <w:lang w:val="en-US" w:eastAsia="zh-CN"/>
        </w:rPr>
        <w:t>5</w:t>
      </w:r>
      <w:r>
        <w:rPr>
          <w:rFonts w:cs="Times New Roman"/>
        </w:rPr>
        <w:t xml:space="preserve">  与《钢铁行业规范条件（2015年修订）》符合性分析</w:t>
      </w:r>
    </w:p>
    <w:tbl>
      <w:tblPr>
        <w:tblStyle w:val="21"/>
        <w:tblW w:w="907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52"/>
        <w:gridCol w:w="1308"/>
        <w:gridCol w:w="3027"/>
        <w:gridCol w:w="3210"/>
        <w:gridCol w:w="87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31"/>
              <w:keepNext w:val="0"/>
              <w:keepLines w:val="0"/>
              <w:pageBreakBefore w:val="0"/>
              <w:kinsoku/>
              <w:wordWrap/>
              <w:bidi w:val="0"/>
              <w:snapToGrid/>
              <w:spacing w:line="240" w:lineRule="auto"/>
              <w:rPr>
                <w:rFonts w:cs="Times New Roman"/>
                <w:sz w:val="21"/>
                <w:szCs w:val="21"/>
              </w:rPr>
            </w:pPr>
            <w:r>
              <w:rPr>
                <w:rFonts w:eastAsia="宋体" w:cs="Times New Roman"/>
                <w:b/>
                <w:bCs/>
                <w:sz w:val="21"/>
                <w:szCs w:val="21"/>
              </w:rPr>
              <w:t>序号</w:t>
            </w:r>
          </w:p>
        </w:tc>
        <w:tc>
          <w:tcPr>
            <w:tcW w:w="4335" w:type="dxa"/>
            <w:gridSpan w:val="2"/>
            <w:tcBorders>
              <w:tl2br w:val="nil"/>
              <w:tr2bl w:val="nil"/>
            </w:tcBorders>
            <w:vAlign w:val="center"/>
          </w:tcPr>
          <w:p>
            <w:pPr>
              <w:pStyle w:val="31"/>
              <w:keepNext w:val="0"/>
              <w:keepLines w:val="0"/>
              <w:pageBreakBefore w:val="0"/>
              <w:kinsoku/>
              <w:wordWrap/>
              <w:bidi w:val="0"/>
              <w:snapToGrid/>
              <w:spacing w:line="240" w:lineRule="auto"/>
              <w:rPr>
                <w:rFonts w:cs="Times New Roman"/>
                <w:sz w:val="21"/>
                <w:szCs w:val="21"/>
              </w:rPr>
            </w:pPr>
            <w:r>
              <w:rPr>
                <w:rFonts w:eastAsia="宋体" w:cs="Times New Roman"/>
                <w:b/>
                <w:bCs/>
                <w:sz w:val="21"/>
                <w:szCs w:val="21"/>
              </w:rPr>
              <w:t>文件内容要求</w:t>
            </w:r>
          </w:p>
        </w:tc>
        <w:tc>
          <w:tcPr>
            <w:tcW w:w="3210" w:type="dxa"/>
            <w:tcBorders>
              <w:tl2br w:val="nil"/>
              <w:tr2bl w:val="nil"/>
            </w:tcBorders>
            <w:vAlign w:val="center"/>
          </w:tcPr>
          <w:p>
            <w:pPr>
              <w:pStyle w:val="31"/>
              <w:keepNext w:val="0"/>
              <w:keepLines w:val="0"/>
              <w:pageBreakBefore w:val="0"/>
              <w:kinsoku/>
              <w:wordWrap/>
              <w:bidi w:val="0"/>
              <w:snapToGrid/>
              <w:spacing w:line="240" w:lineRule="auto"/>
              <w:rPr>
                <w:rFonts w:cs="Times New Roman"/>
                <w:sz w:val="21"/>
                <w:szCs w:val="21"/>
              </w:rPr>
            </w:pPr>
            <w:r>
              <w:rPr>
                <w:rFonts w:eastAsia="宋体" w:cs="Times New Roman"/>
                <w:b/>
                <w:bCs/>
                <w:sz w:val="21"/>
                <w:szCs w:val="21"/>
              </w:rPr>
              <w:t>芜湖新兴铸管实际建设情况</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b/>
                <w:bCs/>
                <w:szCs w:val="21"/>
              </w:rPr>
              <w:t>符合性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1</w:t>
            </w:r>
          </w:p>
        </w:tc>
        <w:tc>
          <w:tcPr>
            <w:tcW w:w="1308"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（一）产品质量</w:t>
            </w:r>
          </w:p>
        </w:tc>
        <w:tc>
          <w:tcPr>
            <w:tcW w:w="302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钢铁企业须建立完备的产品生产全过程质量保证制度和质量控制指标体系，具有产品质量保障机构和检化验设施，保持良好的产品质量信用记录，近两年内未发生重大产品质量问题</w:t>
            </w:r>
          </w:p>
        </w:tc>
        <w:tc>
          <w:tcPr>
            <w:tcW w:w="321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厂区已制定完整的产品生产质量保证制度和质量控制体系，根据实际调查近两年内企业未发生重大产品质量问题</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2</w:t>
            </w:r>
          </w:p>
        </w:tc>
        <w:tc>
          <w:tcPr>
            <w:tcW w:w="1308"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02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钢铁企业产品须符合国家、行业、地方标准。严禁生产Ⅱ级以下螺纹钢筋（直径14毫米及以下的II级螺纹钢除外）、热轧硅钢片等《部分工业行业淘汰落后生产工艺装备和产品指导目录（2010年本）》（工产业〔2010〕第122号）中需淘汰的钢材产品</w:t>
            </w:r>
          </w:p>
        </w:tc>
        <w:tc>
          <w:tcPr>
            <w:tcW w:w="3210" w:type="dxa"/>
            <w:tcBorders>
              <w:tl2br w:val="nil"/>
              <w:tr2bl w:val="nil"/>
            </w:tcBorders>
            <w:vAlign w:val="center"/>
          </w:tcPr>
          <w:p>
            <w:pPr>
              <w:pStyle w:val="41"/>
              <w:keepNext w:val="0"/>
              <w:keepLines w:val="0"/>
              <w:pageBreakBefore w:val="0"/>
              <w:kinsoku/>
              <w:wordWrap/>
              <w:bidi w:val="0"/>
              <w:snapToGrid/>
              <w:spacing w:line="240" w:lineRule="auto"/>
              <w:rPr>
                <w:szCs w:val="21"/>
              </w:rPr>
            </w:pPr>
            <w:r>
              <w:rPr>
                <w:bCs/>
              </w:rPr>
              <w:t>厂区各生产设施及产品均符合国家行业准入条件，污染物排放满足国家相应排放标</w:t>
            </w:r>
            <w:r>
              <w:rPr>
                <w:bCs/>
                <w:highlight w:val="none"/>
              </w:rPr>
              <w:t>准。厂区目前</w:t>
            </w:r>
            <w:r>
              <w:rPr>
                <w:rFonts w:hint="eastAsia"/>
                <w:bCs/>
                <w:highlight w:val="none"/>
                <w:lang w:eastAsia="zh-CN"/>
              </w:rPr>
              <w:t>核定</w:t>
            </w:r>
            <w:r>
              <w:rPr>
                <w:bCs/>
                <w:highlight w:val="none"/>
              </w:rPr>
              <w:t>产品分别为：80万t线材及90万t棒材，对照</w:t>
            </w:r>
            <w:r>
              <w:rPr>
                <w:szCs w:val="21"/>
                <w:highlight w:val="none"/>
              </w:rPr>
              <w:t>《部分工业行业淘汰落后生产</w:t>
            </w:r>
            <w:r>
              <w:rPr>
                <w:szCs w:val="21"/>
              </w:rPr>
              <w:t>工艺装备和产品指导目录（2010年本）》（工产业〔2010〕第122号），均不属于目录中规划的淘汰钢材产品</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3</w:t>
            </w:r>
          </w:p>
        </w:tc>
        <w:tc>
          <w:tcPr>
            <w:tcW w:w="1308"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（二）工艺与装置</w:t>
            </w:r>
          </w:p>
        </w:tc>
        <w:tc>
          <w:tcPr>
            <w:tcW w:w="302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严格控制新增钢铁生产能力。新建、改造钢铁企业须按照国发〔2013〕41号和《工业和信息化部关于印发部分产能严重过剩行业产能置换实施办法的通知》（工信部产业〔2015〕127号）要求，制定产能置换方案，实施等量或减量置换，在京津冀、长三角、珠三角等环境敏感区域，实施减量置换</w:t>
            </w:r>
          </w:p>
        </w:tc>
        <w:tc>
          <w:tcPr>
            <w:tcW w:w="3210" w:type="dxa"/>
            <w:tcBorders>
              <w:tl2br w:val="nil"/>
              <w:tr2bl w:val="nil"/>
            </w:tcBorders>
            <w:vAlign w:val="center"/>
          </w:tcPr>
          <w:p>
            <w:pPr>
              <w:pStyle w:val="41"/>
              <w:keepNext w:val="0"/>
              <w:keepLines w:val="0"/>
              <w:pageBreakBefore w:val="0"/>
              <w:kinsoku/>
              <w:wordWrap/>
              <w:bidi w:val="0"/>
              <w:snapToGrid/>
              <w:spacing w:line="240" w:lineRule="auto"/>
              <w:rPr>
                <w:bCs/>
              </w:rPr>
            </w:pPr>
            <w:r>
              <w:rPr>
                <w:szCs w:val="21"/>
              </w:rPr>
              <w:t>厂区自搬迁芜湖三山经济开发区后，未新增产能，目前根据《国家发展改革委工业和信息化部关于印发对钢铁、电解铝、船舶行业违规项目清理意见的通知》（发改产业[2015]1494号）及《安徽省发展改革委安徽省经济和信息化委转发国家发展改革委工业和信息化部关于印发对钢铁电解铝船舶行业违规项目清理意见的通知》，厂区认定炼铁产能198万吨/年、炼钢产能</w:t>
            </w:r>
            <w:r>
              <w:rPr>
                <w:rFonts w:hint="eastAsia"/>
                <w:szCs w:val="21"/>
                <w:lang w:val="en-US" w:eastAsia="zh-CN"/>
              </w:rPr>
              <w:t>150</w:t>
            </w:r>
            <w:r>
              <w:rPr>
                <w:szCs w:val="21"/>
              </w:rPr>
              <w:t>万吨/年</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4</w:t>
            </w:r>
          </w:p>
        </w:tc>
        <w:tc>
          <w:tcPr>
            <w:tcW w:w="1308"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02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新建、改造钢铁企业应按照全流程及经济规模设计和生产，实现生产流程各工序间的合理衔接和匹配。不得新建独立炼铁、炼钢、热轧企业；现有钢铁企业不得装备属于《产业结构调整指导目录（2011年本）（修正）》（国家发展改革委令第21号）、《部分工业行业淘汰落后生产工艺装备和产品指导目录（2010年本）》（工产业〔2010〕第122号）中需淘汰的落后工艺装备</w:t>
            </w:r>
          </w:p>
        </w:tc>
        <w:tc>
          <w:tcPr>
            <w:tcW w:w="3210"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芜湖新兴铸管是一家集烧结、焦化、炼铁、铸管、炼钢和轧钢为一体的钢铁联合企业，厂区内现有设备均不属于《产业结构调整指导目录（2011年本）（修正）》（国家发展改革委令第21号）、《部分工业行业淘汰落后生产工艺装备和产品指导目录（2010年本）》（工产业〔2010〕第122号）中需淘汰的落后工艺装备</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5</w:t>
            </w:r>
          </w:p>
        </w:tc>
        <w:tc>
          <w:tcPr>
            <w:tcW w:w="1308"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02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钢铁企业各工序须全面配备节能减排设施。各工序原辅材料及产品的生产、转运、筛分、破碎等产尘点须配备有效的除尘装置。焦炉须配套干熄焦、脱硫、煤气回收利用装置以及焦化酚氰废水生化处理和煤气脱硫废物处理装置，烧结须配套烟气脱硫（含脱硫产物回收或合理处置）及余热回收利用装置，球团须配套脱硫（含脱硫产物回收或合理处置）装置，高炉须配套煤粉喷吹、煤气净化回收利用和余压发电装置，转炉须配套煤气净化回收利用</w:t>
            </w:r>
            <w:bookmarkStart w:id="20" w:name="OLE_LINK1"/>
            <w:r>
              <w:rPr>
                <w:szCs w:val="21"/>
              </w:rPr>
              <w:t>装置</w:t>
            </w:r>
            <w:bookmarkEnd w:id="20"/>
            <w:r>
              <w:rPr>
                <w:szCs w:val="21"/>
              </w:rPr>
              <w:t>，轧钢须配套废水（含酸碱废液及乳化液）处理、轧制固废回收等装置。鼓励企业配套烧结脱硝、脱二噁英、脱氟化物，转炉、电炉、轧钢加热炉烟气余热回收利用，以及铁渣、钢渣、除尘灰、氧化铁皮等固废的处理装置和循环利用措施</w:t>
            </w:r>
          </w:p>
        </w:tc>
        <w:tc>
          <w:tcPr>
            <w:tcW w:w="3210" w:type="dxa"/>
            <w:tcBorders>
              <w:tl2br w:val="nil"/>
              <w:tr2bl w:val="nil"/>
            </w:tcBorders>
            <w:vAlign w:val="center"/>
          </w:tcPr>
          <w:p>
            <w:pPr>
              <w:pStyle w:val="41"/>
              <w:keepNext w:val="0"/>
              <w:keepLines w:val="0"/>
              <w:pageBreakBefore w:val="0"/>
              <w:kinsoku/>
              <w:wordWrap/>
              <w:bidi w:val="0"/>
              <w:snapToGrid/>
              <w:spacing w:line="240" w:lineRule="auto"/>
            </w:pPr>
            <w:r>
              <w:t>厂区目前在各工序原辅材料及产品的生产、转运、筛分、破碎等产尘点均配备有布袋除尘以及集气罩，有效的收集除尘。厂区焦炉熄焦采用干法熄焦工艺，目前针对焦化烟气，正在实施控硝脱硫脱硝技术升级，同时2018年厂区完成了焦化酚氰废水的提标升级改造。厂区烧结机机头烟气采用1套双室四电场静电除尘器净化，再经石灰石-石膏湿法脱硫、H</w:t>
            </w:r>
            <w:r>
              <w:rPr>
                <w:vertAlign w:val="subscript"/>
              </w:rPr>
              <w:t>2</w:t>
            </w:r>
            <w:r>
              <w:t>-SCR脱硝后由高70m烟囱排放。</w:t>
            </w:r>
          </w:p>
          <w:p>
            <w:pPr>
              <w:pStyle w:val="41"/>
              <w:keepNext w:val="0"/>
              <w:keepLines w:val="0"/>
              <w:pageBreakBefore w:val="0"/>
              <w:kinsoku/>
              <w:wordWrap/>
              <w:bidi w:val="0"/>
              <w:snapToGrid/>
              <w:spacing w:line="240" w:lineRule="auto"/>
            </w:pPr>
            <w:r>
              <w:t>轧钢废水排入厂区综合污水处理站，综合污水处理站设置了水解酸化池、生物接触氧化池可以有效的处理轧钢废水。</w:t>
            </w:r>
          </w:p>
          <w:p>
            <w:pPr>
              <w:pStyle w:val="41"/>
              <w:keepNext w:val="0"/>
              <w:keepLines w:val="0"/>
              <w:pageBreakBefore w:val="0"/>
              <w:kinsoku/>
              <w:wordWrap/>
              <w:bidi w:val="0"/>
              <w:snapToGrid/>
              <w:spacing w:line="240" w:lineRule="auto"/>
            </w:pPr>
            <w:r>
              <w:t>厂区目前针对烧结工序设置了1套双室四电场静电除尘器净化，再经石灰石-石膏湿法脱硫、H</w:t>
            </w:r>
            <w:r>
              <w:rPr>
                <w:vertAlign w:val="subscript"/>
              </w:rPr>
              <w:t>2</w:t>
            </w:r>
            <w:r>
              <w:t>-SCR脱硝，可有效的减少污染物的排放，同时对固体废物进行分类收集管理处理，如：钢渣经破碎，筛分、磁选处理后废钢返生产系统，尾渣作为建筑材料外销润江新型环保建材有限公司；铁渣返工频炉重熔；煤尘送备煤系统回用，焦粉收集后送烧结作配料</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6</w:t>
            </w:r>
          </w:p>
        </w:tc>
        <w:tc>
          <w:tcPr>
            <w:tcW w:w="1308"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02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钢铁企业须配备基础自动化级(L1级)和过程控制级 (L2级)自动化系统，有条件的企业应配备生产控制级(L3级)和企业管理级(L4级)自动化系统。鼓励企业集成现代通信与信息技术、计算机网络技术、行业技术和智能控制技术等两化融合技术，提高企业智能化水平</w:t>
            </w:r>
          </w:p>
        </w:tc>
        <w:tc>
          <w:tcPr>
            <w:tcW w:w="3210" w:type="dxa"/>
            <w:tcBorders>
              <w:tl2br w:val="nil"/>
              <w:tr2bl w:val="nil"/>
            </w:tcBorders>
            <w:vAlign w:val="center"/>
          </w:tcPr>
          <w:p>
            <w:pPr>
              <w:pStyle w:val="41"/>
              <w:keepNext w:val="0"/>
              <w:keepLines w:val="0"/>
              <w:pageBreakBefore w:val="0"/>
              <w:kinsoku/>
              <w:wordWrap/>
              <w:bidi w:val="0"/>
              <w:snapToGrid/>
              <w:spacing w:line="240" w:lineRule="auto"/>
            </w:pPr>
            <w:r>
              <w:t>厂区现状已配套基础自动化级(L1级)和过程控制级(L2级)自动化系统</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7</w:t>
            </w:r>
          </w:p>
        </w:tc>
        <w:tc>
          <w:tcPr>
            <w:tcW w:w="1308" w:type="dxa"/>
            <w:vMerge w:val="restart"/>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（三）环境保护</w:t>
            </w:r>
          </w:p>
        </w:tc>
        <w:tc>
          <w:tcPr>
            <w:tcW w:w="3027"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钢铁企业须具备健全的环境保护管理制度，配套建设污染物治理设施，烧结机头、球团焙烧、焦炉、自备电站排气筒须安装颗粒物、二氧化硫、氮氧化物在线自动监控系统</w:t>
            </w:r>
          </w:p>
        </w:tc>
        <w:tc>
          <w:tcPr>
            <w:tcW w:w="3210" w:type="dxa"/>
            <w:tcBorders>
              <w:tl2br w:val="nil"/>
              <w:tr2bl w:val="nil"/>
            </w:tcBorders>
            <w:vAlign w:val="center"/>
          </w:tcPr>
          <w:p>
            <w:pPr>
              <w:pStyle w:val="41"/>
              <w:keepNext w:val="0"/>
              <w:keepLines w:val="0"/>
              <w:pageBreakBefore w:val="0"/>
              <w:kinsoku/>
              <w:wordWrap/>
              <w:bidi w:val="0"/>
              <w:snapToGrid/>
              <w:spacing w:line="240" w:lineRule="auto"/>
            </w:pPr>
            <w:r>
              <w:t>厂区目前已配置健全的环保制度，分别位于烧结机机头烟气脱硫入口处、烧结机机头烟气脱硫出口处、烧结机机尾处、焦炉烟囱处、</w:t>
            </w:r>
            <w:r>
              <w:rPr>
                <w:rFonts w:hint="eastAsia"/>
                <w:lang w:eastAsia="zh-CN"/>
              </w:rPr>
              <w:t>焦化装煤、焦化出煤、干熄焦处、</w:t>
            </w:r>
            <w:r>
              <w:t>高炉矿槽除尘系统处、高炉出铁场除尘系统处、转炉二次烟气除尘系统处、130t/h锅炉烟囱处安装了</w:t>
            </w:r>
            <w:r>
              <w:rPr>
                <w:szCs w:val="21"/>
              </w:rPr>
              <w:t>颗粒物、二氧化硫、氮氧化物在线自动监控系统</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8</w:t>
            </w:r>
          </w:p>
        </w:tc>
        <w:tc>
          <w:tcPr>
            <w:tcW w:w="1308" w:type="dxa"/>
            <w:vMerge w:val="continue"/>
            <w:tcBorders>
              <w:tl2br w:val="nil"/>
              <w:tr2bl w:val="nil"/>
            </w:tcBorders>
            <w:vAlign w:val="center"/>
          </w:tcPr>
          <w:p>
            <w:pPr>
              <w:pStyle w:val="41"/>
              <w:keepNext w:val="0"/>
              <w:keepLines w:val="0"/>
              <w:pageBreakBefore w:val="0"/>
              <w:kinsoku/>
              <w:wordWrap/>
              <w:bidi w:val="0"/>
              <w:snapToGrid/>
              <w:spacing w:line="240" w:lineRule="auto"/>
              <w:rPr>
                <w:szCs w:val="21"/>
              </w:rPr>
            </w:pPr>
          </w:p>
        </w:tc>
        <w:tc>
          <w:tcPr>
            <w:tcW w:w="3027" w:type="dxa"/>
            <w:tcBorders>
              <w:tl2br w:val="nil"/>
              <w:tr2bl w:val="nil"/>
            </w:tcBorders>
            <w:vAlign w:val="center"/>
          </w:tcPr>
          <w:p>
            <w:pPr>
              <w:pStyle w:val="41"/>
              <w:keepNext w:val="0"/>
              <w:keepLines w:val="0"/>
              <w:pageBreakBefore w:val="0"/>
              <w:kinsoku/>
              <w:wordWrap/>
              <w:bidi w:val="0"/>
              <w:snapToGrid/>
              <w:spacing w:line="240" w:lineRule="auto"/>
              <w:rPr>
                <w:szCs w:val="22"/>
              </w:rPr>
            </w:pPr>
            <w:r>
              <w:t>钢铁企业须做到达标排放。大气污染物排放须符合《钢铁烧结、球团工业大气污染物排放标准》（GB28662）、《炼铁工业</w:t>
            </w:r>
            <w:r>
              <w:rPr>
                <w:szCs w:val="22"/>
              </w:rPr>
              <w:t>大气污染物排放标准》（GB28663）、《炼钢工业大气污染物排放标准》（GB28664）、《轧钢工业大气污染物排放标准》（GB28665）和《炼焦化学工业污染物排放标准》（GB16171）的规定。其中烧结、球团工序颗粒物浓度≤50毫克/立方米，二氧化硫浓度≤200毫克/立方米，氮氧化物浓度≤300毫克/立方米；高炉工序（原料系统、煤粉系统、高炉出铁场）颗粒物浓度≤25毫克/立方米；炼钢工序转炉（一次烟气）颗粒物浓度≤50毫克/立方米，电炉颗粒物浓度≤20毫克/立方米。《大气污染防治行动计划》（国发〔2013〕37号）规定的京津冀、长三角、珠三角等区域内的钢铁企业须执行大气污染物特别排放限值。</w:t>
            </w:r>
          </w:p>
          <w:p>
            <w:pPr>
              <w:pStyle w:val="41"/>
              <w:keepNext w:val="0"/>
              <w:keepLines w:val="0"/>
              <w:pageBreakBefore w:val="0"/>
              <w:kinsoku/>
              <w:wordWrap/>
              <w:bidi w:val="0"/>
              <w:snapToGrid/>
              <w:spacing w:line="240" w:lineRule="auto"/>
              <w:rPr>
                <w:szCs w:val="22"/>
              </w:rPr>
            </w:pPr>
            <w:r>
              <w:rPr>
                <w:szCs w:val="22"/>
              </w:rPr>
              <w:t>水污染物排放须符合《钢铁工业水污染物排放标准》（GB13456）的规定。其中钢铁联合企业（废水直接排放的）化学需氧量（COD）浓度≤50毫克/升（特别排放限值≤30毫克/升），氨氮浓度≤5毫克/升。</w:t>
            </w:r>
          </w:p>
          <w:p>
            <w:pPr>
              <w:pStyle w:val="41"/>
              <w:keepNext w:val="0"/>
              <w:keepLines w:val="0"/>
              <w:pageBreakBefore w:val="0"/>
              <w:kinsoku/>
              <w:wordWrap/>
              <w:bidi w:val="0"/>
              <w:snapToGrid/>
              <w:spacing w:line="240" w:lineRule="auto"/>
              <w:rPr>
                <w:szCs w:val="22"/>
              </w:rPr>
            </w:pPr>
            <w:r>
              <w:rPr>
                <w:szCs w:val="22"/>
              </w:rPr>
              <w:t>固体废物污染控制须符合《一般工业固体废物贮存、处置场污染控制标准》（GB18599），危险废物污染控制须符合《危险废物贮存污染控制标准》（GB18597）的规定。</w:t>
            </w:r>
          </w:p>
          <w:p>
            <w:pPr>
              <w:pStyle w:val="41"/>
              <w:keepNext w:val="0"/>
              <w:keepLines w:val="0"/>
              <w:pageBreakBefore w:val="0"/>
              <w:kinsoku/>
              <w:wordWrap/>
              <w:bidi w:val="0"/>
              <w:snapToGrid/>
              <w:spacing w:line="240" w:lineRule="auto"/>
            </w:pPr>
            <w:r>
              <w:rPr>
                <w:szCs w:val="22"/>
              </w:rPr>
              <w:t>噪声排放须符合《工业企业厂界环境噪声排放标准》（GB12348）的规定</w:t>
            </w:r>
          </w:p>
        </w:tc>
        <w:tc>
          <w:tcPr>
            <w:tcW w:w="3210" w:type="dxa"/>
            <w:tcBorders>
              <w:tl2br w:val="nil"/>
              <w:tr2bl w:val="nil"/>
            </w:tcBorders>
            <w:vAlign w:val="center"/>
          </w:tcPr>
          <w:p>
            <w:pPr>
              <w:pStyle w:val="41"/>
              <w:keepNext w:val="0"/>
              <w:keepLines w:val="0"/>
              <w:pageBreakBefore w:val="0"/>
              <w:kinsoku/>
              <w:wordWrap/>
              <w:bidi w:val="0"/>
              <w:snapToGrid/>
              <w:spacing w:line="240" w:lineRule="auto"/>
            </w:pPr>
            <w:r>
              <w:t>根据2016年芜湖市环境监测中心站验收监测报告、2017年至2018年安徽基越环境监测公司监测报告以及2019年安徽世标检测技术有限公司监测报告，污染物排放能够满足国家、行业污染物排放限值要求。</w:t>
            </w:r>
          </w:p>
          <w:p>
            <w:pPr>
              <w:pStyle w:val="41"/>
              <w:keepNext w:val="0"/>
              <w:keepLines w:val="0"/>
              <w:pageBreakBefore w:val="0"/>
              <w:kinsoku/>
              <w:wordWrap/>
              <w:bidi w:val="0"/>
              <w:snapToGrid/>
              <w:spacing w:line="240" w:lineRule="auto"/>
            </w:pPr>
            <w:r>
              <w:t>厂区生产废水经处理后回用于各生产单元，均不外排；生活污水经污水处理站处理后，与处理后的生产废水一起回用。</w:t>
            </w:r>
          </w:p>
          <w:p>
            <w:pPr>
              <w:pStyle w:val="41"/>
              <w:keepNext w:val="0"/>
              <w:keepLines w:val="0"/>
              <w:pageBreakBefore w:val="0"/>
              <w:kinsoku/>
              <w:wordWrap/>
              <w:bidi w:val="0"/>
              <w:snapToGrid/>
              <w:spacing w:line="240" w:lineRule="auto"/>
            </w:pPr>
            <w:r>
              <w:t>厂区固废分类收集处理，危险废物：水处理系统收集的废油收集至废油桶内，集中存放在轧钢车间废油暂存场。焦化工序煤气净化车间焦油氨水分离装置产生的焦油渣送备煤车间配入炼焦煤中炼焦；粗苯蒸馏再生器产生的残渣集中送油库焦油槽；蒸氨工段蒸氨塔产生的沥青渣送备煤车间配入炼焦煤中；酚氰废水处理站产生的少量剩余污泥经脱水后送备煤车间配入炼焦煤中炼焦；KXTT脱硫工艺产生的废活性炭配入炼焦煤中炼焦。铸管车间喷锌除尘系统收集的锌粉临时放置在公司危险废物暂存库中；含树脂的废砂芯临</w:t>
            </w:r>
            <w:r>
              <w:rPr>
                <w:szCs w:val="22"/>
              </w:rPr>
              <w:t>时放置在公司危险废物暂存库中，危险废物储存处均能满足《危险废物贮存污染控制标准》。一般固废：厂区钢渣储存于炼钢车间渣处理间，烧结脱硫渣存放于石膏库内，一般固废储存处均能满足《一般工业固体废物贮存、处置场污染控制标准》</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52"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9</w:t>
            </w:r>
          </w:p>
        </w:tc>
        <w:tc>
          <w:tcPr>
            <w:tcW w:w="1308" w:type="dxa"/>
            <w:vMerge w:val="continue"/>
            <w:tcBorders>
              <w:tl2br w:val="nil"/>
              <w:tr2bl w:val="nil"/>
            </w:tcBorders>
            <w:vAlign w:val="center"/>
          </w:tcPr>
          <w:p>
            <w:pPr>
              <w:pStyle w:val="41"/>
              <w:keepNext w:val="0"/>
              <w:keepLines w:val="0"/>
              <w:pageBreakBefore w:val="0"/>
              <w:kinsoku/>
              <w:wordWrap/>
              <w:bidi w:val="0"/>
              <w:snapToGrid/>
              <w:spacing w:line="240" w:lineRule="auto"/>
              <w:rPr>
                <w:szCs w:val="22"/>
              </w:rPr>
            </w:pPr>
          </w:p>
        </w:tc>
        <w:tc>
          <w:tcPr>
            <w:tcW w:w="3027"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钢铁企业须持有排污许可证。企业污染物排放总量不得超过环保部门核定的总量控制指标。有污染物减排任务的企业，须落实减排措施，满足减排指标要求</w:t>
            </w:r>
          </w:p>
        </w:tc>
        <w:tc>
          <w:tcPr>
            <w:tcW w:w="321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芜湖新兴铸管有限责任公司已取得的“排污许可证</w:t>
            </w:r>
            <w:r>
              <w:rPr>
                <w:szCs w:val="22"/>
                <w:highlight w:val="none"/>
              </w:rPr>
              <w:t>”（编号：91340208748920392N001P），根据后评价期间废气统计数据，二氧化硫</w:t>
            </w:r>
            <w:r>
              <w:rPr>
                <w:rFonts w:hint="eastAsia"/>
                <w:szCs w:val="22"/>
                <w:highlight w:val="none"/>
                <w:lang w:val="en-US" w:eastAsia="zh-CN"/>
              </w:rPr>
              <w:t>1075.145</w:t>
            </w:r>
            <w:r>
              <w:rPr>
                <w:szCs w:val="22"/>
                <w:highlight w:val="none"/>
              </w:rPr>
              <w:t>t/a、氮氧化物</w:t>
            </w:r>
            <w:r>
              <w:rPr>
                <w:rFonts w:hint="eastAsia"/>
                <w:szCs w:val="22"/>
                <w:highlight w:val="none"/>
                <w:lang w:val="en-US" w:eastAsia="zh-CN"/>
              </w:rPr>
              <w:t>2560.593</w:t>
            </w:r>
            <w:r>
              <w:rPr>
                <w:szCs w:val="22"/>
                <w:highlight w:val="none"/>
              </w:rPr>
              <w:t>t/a，均未超过</w:t>
            </w:r>
            <w:r>
              <w:rPr>
                <w:rFonts w:hint="eastAsia"/>
                <w:szCs w:val="22"/>
                <w:highlight w:val="none"/>
                <w:lang w:eastAsia="zh-CN"/>
              </w:rPr>
              <w:t>厂区</w:t>
            </w:r>
            <w:r>
              <w:rPr>
                <w:szCs w:val="22"/>
                <w:highlight w:val="none"/>
              </w:rPr>
              <w:t>核定总量（二氧化硫3450t/a、氮氧化物6411t/a）</w:t>
            </w:r>
          </w:p>
        </w:tc>
        <w:tc>
          <w:tcPr>
            <w:tcW w:w="874"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符合</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从</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_Ref460830303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.1-5中可以看出，厂区的建成符合《钢铁行业规范条件（2015年修订）》的相关要求。</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w:t>
      </w:r>
      <w:r>
        <w:rPr>
          <w:rFonts w:hint="eastAsia" w:ascii="Times New Roman"/>
          <w:b w:val="0"/>
          <w:lang w:val="en-US" w:eastAsia="zh-CN"/>
        </w:rPr>
        <w:t>0</w:t>
      </w:r>
      <w:r>
        <w:rPr>
          <w:rFonts w:ascii="Times New Roman"/>
          <w:b w:val="0"/>
        </w:rPr>
        <w:t>.2规划符合性分析</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.2.1与《芜湖市城市总体规划（2012-2030年）》相容性分析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《芜湖市城市总体规划（2012-2030年）》于2013年2月4日获得省人民政府批复。芜湖新兴铸管厂区与《芜湖市城市总体规划（2012-2030年）》的相容性分析见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_Ref461117402 \h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.2-1。由表可知，厂区符合《芜湖市城市总体规划（2012-2030年）》相关规定。</w:t>
      </w:r>
    </w:p>
    <w:p>
      <w:pPr>
        <w:pStyle w:val="31"/>
        <w:keepNext w:val="0"/>
        <w:keepLines w:val="0"/>
        <w:pageBreakBefore w:val="0"/>
        <w:kinsoku/>
        <w:wordWrap/>
        <w:bidi w:val="0"/>
        <w:snapToGrid/>
        <w:spacing w:line="360" w:lineRule="auto"/>
        <w:rPr>
          <w:rFonts w:cs="Times New Roman"/>
        </w:rPr>
      </w:pPr>
      <w:bookmarkStart w:id="21" w:name="_Ref461117402"/>
      <w:r>
        <w:rPr>
          <w:rFonts w:cs="Times New Roman"/>
        </w:rPr>
        <w:t>表</w:t>
      </w:r>
      <w:bookmarkEnd w:id="21"/>
      <w:r>
        <w:rPr>
          <w:rFonts w:cs="Times New Roman"/>
        </w:rPr>
        <w:t>1</w:t>
      </w:r>
      <w:r>
        <w:rPr>
          <w:rFonts w:hint="eastAsia" w:cs="Times New Roman"/>
          <w:lang w:val="en-US" w:eastAsia="zh-CN"/>
        </w:rPr>
        <w:t>0</w:t>
      </w:r>
      <w:r>
        <w:rPr>
          <w:rFonts w:cs="Times New Roman"/>
        </w:rPr>
        <w:t>.2-1  与《芜湖市城市总体规划（2012年-2030年）》相容性分析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4350"/>
        <w:gridCol w:w="3180"/>
        <w:gridCol w:w="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序号</w:t>
            </w:r>
          </w:p>
        </w:tc>
        <w:tc>
          <w:tcPr>
            <w:tcW w:w="435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文件内容要求</w:t>
            </w:r>
          </w:p>
        </w:tc>
        <w:tc>
          <w:tcPr>
            <w:tcW w:w="318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芜湖新兴铸管实际建设情况</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1</w:t>
            </w:r>
          </w:p>
        </w:tc>
        <w:tc>
          <w:tcPr>
            <w:tcW w:w="4350" w:type="dxa"/>
            <w:tcBorders>
              <w:tl2br w:val="nil"/>
              <w:tr2bl w:val="nil"/>
            </w:tcBorders>
            <w:vAlign w:val="center"/>
          </w:tcPr>
          <w:p>
            <w:pPr>
              <w:pStyle w:val="41"/>
              <w:keepNext w:val="0"/>
              <w:keepLines w:val="0"/>
              <w:pageBreakBefore w:val="0"/>
              <w:kinsoku/>
              <w:wordWrap/>
              <w:bidi w:val="0"/>
              <w:snapToGrid/>
            </w:pPr>
            <w:r>
              <w:t>二、城市发展目标</w:t>
            </w:r>
          </w:p>
          <w:p>
            <w:pPr>
              <w:pStyle w:val="41"/>
              <w:keepNext w:val="0"/>
              <w:keepLines w:val="0"/>
              <w:pageBreakBefore w:val="0"/>
              <w:kinsoku/>
              <w:wordWrap/>
              <w:bidi w:val="0"/>
              <w:snapToGrid/>
              <w:rPr>
                <w:szCs w:val="21"/>
              </w:rPr>
            </w:pPr>
            <w:r>
              <w:t>城市主要职能为全国重要的先进制造业基地、综合交通枢纽、现代物流中心和文化旅游中心</w:t>
            </w:r>
          </w:p>
        </w:tc>
        <w:tc>
          <w:tcPr>
            <w:tcW w:w="3180" w:type="dxa"/>
            <w:vMerge w:val="restart"/>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szCs w:val="21"/>
              </w:rPr>
            </w:pPr>
            <w:r>
              <w:rPr>
                <w:rFonts w:ascii="Times New Roman" w:hAnsi="Times New Roman" w:eastAsia="宋体" w:cs="Times New Roman"/>
                <w:szCs w:val="21"/>
              </w:rPr>
              <w:t>芜湖新兴铸管有限公司原位于芜湖市城市中心的弋江区，于2013年10月开始城市钢厂搬迁工作，搬迁后的厂址位于芜湖三山经济开发区，符合《芜湖市城市总体规划（2012年-2030年）》的城市发展目标。满足产业布局的要求</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2</w:t>
            </w:r>
          </w:p>
        </w:tc>
        <w:tc>
          <w:tcPr>
            <w:tcW w:w="4350" w:type="dxa"/>
            <w:tcBorders>
              <w:tl2br w:val="nil"/>
              <w:tr2bl w:val="nil"/>
            </w:tcBorders>
            <w:vAlign w:val="center"/>
          </w:tcPr>
          <w:p>
            <w:pPr>
              <w:pStyle w:val="41"/>
              <w:keepNext w:val="0"/>
              <w:keepLines w:val="0"/>
              <w:pageBreakBefore w:val="0"/>
              <w:kinsoku/>
              <w:wordWrap/>
              <w:bidi w:val="0"/>
              <w:snapToGrid/>
            </w:pPr>
            <w:r>
              <w:t>四、市域城镇体系</w:t>
            </w:r>
          </w:p>
          <w:p>
            <w:pPr>
              <w:pStyle w:val="41"/>
              <w:keepNext w:val="0"/>
              <w:keepLines w:val="0"/>
              <w:pageBreakBefore w:val="0"/>
              <w:kinsoku/>
              <w:wordWrap/>
              <w:bidi w:val="0"/>
              <w:snapToGrid/>
              <w:rPr>
                <w:szCs w:val="21"/>
              </w:rPr>
            </w:pPr>
            <w:r>
              <w:t>产业布局：规划坚持“自主创新、转型升级”的产业发展理念。努力构建具有自主品牌和国际竞争力的“445”现代产业体系：壮大四大支柱产业，加快培育高端装备、光电光伏、新材料、智能家电四大战略性新兴产业，优先发展金融、现代物流、服务外包、文化创意和旅游五大服务业；努力打造‘区域金融中心、区域贸易物流中心、区域文化旅游中心’</w:t>
            </w:r>
          </w:p>
        </w:tc>
        <w:tc>
          <w:tcPr>
            <w:tcW w:w="3180" w:type="dxa"/>
            <w:vMerge w:val="continue"/>
            <w:tcBorders>
              <w:tl2br w:val="nil"/>
              <w:tr2bl w:val="nil"/>
            </w:tcBorders>
            <w:vAlign w:val="center"/>
          </w:tcPr>
          <w:p>
            <w:pPr>
              <w:keepNext w:val="0"/>
              <w:keepLines w:val="0"/>
              <w:pageBreakBefore w:val="0"/>
              <w:kinsoku/>
              <w:wordWrap/>
              <w:bidi w:val="0"/>
              <w:snapToGrid/>
              <w:jc w:val="center"/>
              <w:textAlignment w:val="baseline"/>
              <w:rPr>
                <w:rFonts w:ascii="Times New Roman" w:hAnsi="Times New Roman" w:eastAsia="宋体" w:cs="Times New Roman"/>
                <w:szCs w:val="21"/>
              </w:rPr>
            </w:pP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bl>
    <w:p>
      <w:pPr>
        <w:keepNext w:val="0"/>
        <w:keepLines w:val="0"/>
        <w:pageBreakBefore w:val="0"/>
        <w:kinsoku/>
        <w:wordWrap/>
        <w:bidi w:val="0"/>
        <w:snapToGrid/>
        <w:spacing w:line="360" w:lineRule="auto"/>
        <w:ind w:left="-420" w:leftChars="-200"/>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5803900" cy="6814820"/>
            <wp:effectExtent l="0" t="0" r="6350" b="5080"/>
            <wp:docPr id="76" name="图片 76"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5.9"/>
                    <pic:cNvPicPr>
                      <a:picLocks noChangeAspect="1"/>
                    </pic:cNvPicPr>
                  </pic:nvPicPr>
                  <pic:blipFill>
                    <a:blip r:embed="rId155"/>
                    <a:stretch>
                      <a:fillRect/>
                    </a:stretch>
                  </pic:blipFill>
                  <pic:spPr>
                    <a:xfrm>
                      <a:off x="0" y="0"/>
                      <a:ext cx="5803900" cy="6814820"/>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图1</w:t>
      </w:r>
      <w:r>
        <w:rPr>
          <w:rFonts w:hint="eastAsia" w:cs="Times New Roman"/>
          <w:lang w:val="en-US" w:eastAsia="zh-CN"/>
        </w:rPr>
        <w:t>0</w:t>
      </w:r>
      <w:r>
        <w:rPr>
          <w:rFonts w:cs="Times New Roman"/>
        </w:rPr>
        <w:t>.2-1  与《芜湖市城市总体规划（2012年-2030年）》位置关系图</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.2.2与《三山经济开发区控制性详细规划（调整）》相容性分析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三山经济开发区前身为“芜湖三山绿色食品经济开发区”，2005年11月经省经委批准为安徽省中小企业创业基地；2009年5月，三山区委、区政府决定将绿色食品经济开发区和临江工业区（原三山临港工业集中区）整体合并。2009年7月，经安徽省人民政府批准同意更名为“安徽芜湖三山经济开发区”。为进一步落实芜湖市社会经济发展计划，顺利实施临江工业区新兴铸管等工业项目，指导与调控三山经济开发区用地开发建设，2010年12月，中铁芜湖规划设计研究院有限公司、三山经济开发区管委会编制了《三山经济开发区控制性详细规划（调整）》。《芜湖三山经济开发区控制性详规（调整）环境影响报告书》于2013年4月16日获得芜湖市环保局的批复（环审[2013]56号）。</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芜湖新兴铸管厂区与《三山经济开发区控制性详细规划（调整）》相容性分析见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_Ref461117462 \h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1.2-2。芜湖三山经济开发区土地规划见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_Ref461117449 \h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图1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.2-1。由表可知，厂区的建设符合《三山经济开发区控制性详细规划（调整）》的总体要求。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.2-2  与《三山经济开发区控制性详细规划（调整）》相容性分析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4350"/>
        <w:gridCol w:w="3180"/>
        <w:gridCol w:w="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序号</w:t>
            </w:r>
          </w:p>
        </w:tc>
        <w:tc>
          <w:tcPr>
            <w:tcW w:w="435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文件内容要求</w:t>
            </w:r>
          </w:p>
        </w:tc>
        <w:tc>
          <w:tcPr>
            <w:tcW w:w="318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芜湖新兴铸管实际建设情况</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1</w:t>
            </w:r>
          </w:p>
        </w:tc>
        <w:tc>
          <w:tcPr>
            <w:tcW w:w="4350" w:type="dxa"/>
            <w:tcBorders>
              <w:tl2br w:val="nil"/>
              <w:tr2bl w:val="nil"/>
            </w:tcBorders>
            <w:vAlign w:val="center"/>
          </w:tcPr>
          <w:p>
            <w:pPr>
              <w:pStyle w:val="41"/>
              <w:keepNext w:val="0"/>
              <w:keepLines w:val="0"/>
              <w:pageBreakBefore w:val="0"/>
              <w:kinsoku/>
              <w:wordWrap/>
              <w:bidi w:val="0"/>
              <w:snapToGrid/>
            </w:pPr>
            <w:r>
              <w:t>规划区功能定位：</w:t>
            </w:r>
          </w:p>
          <w:p>
            <w:pPr>
              <w:pStyle w:val="41"/>
              <w:keepNext w:val="0"/>
              <w:keepLines w:val="0"/>
              <w:pageBreakBefore w:val="0"/>
              <w:kinsoku/>
              <w:wordWrap/>
              <w:bidi w:val="0"/>
              <w:snapToGrid/>
              <w:rPr>
                <w:szCs w:val="21"/>
              </w:rPr>
            </w:pPr>
            <w:r>
              <w:t>三山经济开发区定位为芜湖市承接产业转移示范园区先导区，以发展钢铁及压延加工、先进制造业、临港产业及现代物流业为主导的产业强区</w:t>
            </w:r>
          </w:p>
        </w:tc>
        <w:tc>
          <w:tcPr>
            <w:tcW w:w="3180" w:type="dxa"/>
            <w:tcBorders>
              <w:tl2br w:val="nil"/>
              <w:tr2bl w:val="nil"/>
            </w:tcBorders>
            <w:vAlign w:val="center"/>
          </w:tcPr>
          <w:p>
            <w:pPr>
              <w:pStyle w:val="41"/>
              <w:keepNext w:val="0"/>
              <w:keepLines w:val="0"/>
              <w:pageBreakBefore w:val="0"/>
              <w:kinsoku/>
              <w:wordWrap/>
              <w:bidi w:val="0"/>
              <w:snapToGrid/>
              <w:rPr>
                <w:szCs w:val="21"/>
              </w:rPr>
            </w:pPr>
            <w:r>
              <w:t>厂区位于三山经济开发区内，符合三山经济开发区的功能定位</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2</w:t>
            </w:r>
          </w:p>
        </w:tc>
        <w:tc>
          <w:tcPr>
            <w:tcW w:w="4350" w:type="dxa"/>
            <w:tcBorders>
              <w:tl2br w:val="nil"/>
              <w:tr2bl w:val="nil"/>
            </w:tcBorders>
            <w:vAlign w:val="center"/>
          </w:tcPr>
          <w:p>
            <w:pPr>
              <w:pStyle w:val="41"/>
              <w:keepNext w:val="0"/>
              <w:keepLines w:val="0"/>
              <w:pageBreakBefore w:val="0"/>
              <w:kinsoku/>
              <w:wordWrap/>
              <w:bidi w:val="0"/>
              <w:snapToGrid/>
            </w:pPr>
            <w:r>
              <w:t>用地布局规划：</w:t>
            </w:r>
          </w:p>
          <w:p>
            <w:pPr>
              <w:pStyle w:val="41"/>
              <w:keepNext w:val="0"/>
              <w:keepLines w:val="0"/>
              <w:pageBreakBefore w:val="0"/>
              <w:kinsoku/>
              <w:wordWrap/>
              <w:bidi w:val="0"/>
              <w:snapToGrid/>
            </w:pPr>
            <w:r>
              <w:t>工业用地布局</w:t>
            </w:r>
          </w:p>
          <w:p>
            <w:pPr>
              <w:pStyle w:val="41"/>
              <w:keepNext w:val="0"/>
              <w:keepLines w:val="0"/>
              <w:pageBreakBefore w:val="0"/>
              <w:kinsoku/>
              <w:wordWrap/>
              <w:bidi w:val="0"/>
              <w:snapToGrid/>
              <w:rPr>
                <w:szCs w:val="21"/>
              </w:rPr>
            </w:pPr>
            <w:r>
              <w:t>三类工业用地（M3）：集中在疏港路、联合路、峨溪路围合区域</w:t>
            </w:r>
          </w:p>
        </w:tc>
        <w:tc>
          <w:tcPr>
            <w:tcW w:w="3180" w:type="dxa"/>
            <w:tcBorders>
              <w:tl2br w:val="nil"/>
              <w:tr2bl w:val="nil"/>
            </w:tcBorders>
            <w:vAlign w:val="center"/>
          </w:tcPr>
          <w:p>
            <w:pPr>
              <w:pStyle w:val="41"/>
              <w:keepNext w:val="0"/>
              <w:keepLines w:val="0"/>
              <w:pageBreakBefore w:val="0"/>
              <w:kinsoku/>
              <w:wordWrap/>
              <w:bidi w:val="0"/>
              <w:snapToGrid/>
              <w:rPr>
                <w:szCs w:val="21"/>
              </w:rPr>
            </w:pPr>
            <w:r>
              <w:t>厂区位于三山经济开发区的北部工业区，属三类工业用地规划</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3</w:t>
            </w:r>
          </w:p>
        </w:tc>
        <w:tc>
          <w:tcPr>
            <w:tcW w:w="4350" w:type="dxa"/>
            <w:tcBorders>
              <w:tl2br w:val="nil"/>
              <w:tr2bl w:val="nil"/>
            </w:tcBorders>
            <w:vAlign w:val="center"/>
          </w:tcPr>
          <w:p>
            <w:pPr>
              <w:pStyle w:val="41"/>
              <w:keepNext w:val="0"/>
              <w:keepLines w:val="0"/>
              <w:pageBreakBefore w:val="0"/>
              <w:kinsoku/>
              <w:wordWrap/>
              <w:bidi w:val="0"/>
              <w:snapToGrid/>
            </w:pPr>
            <w:r>
              <w:t>环境保护和协调规划：</w:t>
            </w:r>
          </w:p>
          <w:p>
            <w:pPr>
              <w:pStyle w:val="41"/>
              <w:keepNext w:val="0"/>
              <w:keepLines w:val="0"/>
              <w:pageBreakBefore w:val="0"/>
              <w:kinsoku/>
              <w:wordWrap/>
              <w:bidi w:val="0"/>
              <w:snapToGrid/>
            </w:pPr>
            <w:r>
              <w:t>（1）严格执行《环境空气质量标准》（GB3095-2012）和《大气污染综合排放标准》(GB162987-1996)，规划期内开发区内大气环境质量符合国家环境空气质量II级标准；全面实施工业废气污染全过程控制，重点加强燃烧排放SO</w:t>
            </w:r>
            <w:r>
              <w:rPr>
                <w:vertAlign w:val="subscript"/>
              </w:rPr>
              <w:t>2</w:t>
            </w:r>
            <w:r>
              <w:t>全过程污染控制；</w:t>
            </w:r>
          </w:p>
          <w:p>
            <w:pPr>
              <w:pStyle w:val="41"/>
              <w:keepNext w:val="0"/>
              <w:keepLines w:val="0"/>
              <w:pageBreakBefore w:val="0"/>
              <w:kinsoku/>
              <w:wordWrap/>
              <w:bidi w:val="0"/>
              <w:snapToGrid/>
              <w:rPr>
                <w:szCs w:val="21"/>
              </w:rPr>
            </w:pPr>
            <w:r>
              <w:t>（2）进行排放污染物总量控制，污水必须达标排放</w:t>
            </w:r>
          </w:p>
        </w:tc>
        <w:tc>
          <w:tcPr>
            <w:tcW w:w="3180" w:type="dxa"/>
            <w:tcBorders>
              <w:tl2br w:val="nil"/>
              <w:tr2bl w:val="nil"/>
            </w:tcBorders>
            <w:vAlign w:val="center"/>
          </w:tcPr>
          <w:p>
            <w:pPr>
              <w:pStyle w:val="41"/>
              <w:keepNext w:val="0"/>
              <w:keepLines w:val="0"/>
              <w:pageBreakBefore w:val="0"/>
              <w:kinsoku/>
              <w:wordWrap/>
              <w:bidi w:val="0"/>
              <w:snapToGrid/>
              <w:rPr>
                <w:szCs w:val="21"/>
              </w:rPr>
            </w:pPr>
            <w:r>
              <w:t>后评价期间环境空气质量现状监测结果表明，厂区所在区域环境空气质量能够满足《环境空气质量标准》（GB3095-2012）二级标准要求；各污染源污染物排放浓度均可满足国家相应排放标准要求；烧结机机头设有烟气脱硫、脱硝装置，焦炉烟气正在进行烟气控硝及脱硫脱硝改造，其他废气污染源均设有高效除尘系统，可实现全过程控制；污水实现“零”排放</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bl>
    <w:p>
      <w:pPr>
        <w:keepNext w:val="0"/>
        <w:keepLines w:val="0"/>
        <w:pageBreakBefore w:val="0"/>
        <w:kinsoku/>
        <w:wordWrap/>
        <w:bidi w:val="0"/>
        <w:snapToGrid/>
        <w:spacing w:line="360" w:lineRule="auto"/>
        <w:ind w:left="-420" w:leftChars="-200"/>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5803265" cy="5568950"/>
            <wp:effectExtent l="0" t="0" r="6985" b="12700"/>
            <wp:docPr id="83" name="图片 83"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5.9"/>
                    <pic:cNvPicPr>
                      <a:picLocks noChangeAspect="1"/>
                    </pic:cNvPicPr>
                  </pic:nvPicPr>
                  <pic:blipFill>
                    <a:blip r:embed="rId156"/>
                    <a:stretch>
                      <a:fillRect/>
                    </a:stretch>
                  </pic:blipFill>
                  <pic:spPr>
                    <a:xfrm>
                      <a:off x="0" y="0"/>
                      <a:ext cx="5803265" cy="5568950"/>
                    </a:xfrm>
                    <a:prstGeom prst="rect">
                      <a:avLst/>
                    </a:prstGeom>
                  </pic:spPr>
                </pic:pic>
              </a:graphicData>
            </a:graphic>
          </wp:inline>
        </w:drawing>
      </w:r>
    </w:p>
    <w:p>
      <w:pPr>
        <w:pStyle w:val="31"/>
        <w:keepNext w:val="0"/>
        <w:keepLines w:val="0"/>
        <w:pageBreakBefore w:val="0"/>
        <w:kinsoku/>
        <w:wordWrap/>
        <w:bidi w:val="0"/>
        <w:snapToGrid/>
        <w:spacing w:line="360" w:lineRule="auto"/>
        <w:rPr>
          <w:rFonts w:cs="Times New Roman"/>
        </w:rPr>
      </w:pPr>
      <w:r>
        <w:rPr>
          <w:rFonts w:cs="Times New Roman"/>
        </w:rPr>
        <w:t>图1</w:t>
      </w:r>
      <w:r>
        <w:rPr>
          <w:rFonts w:hint="eastAsia" w:cs="Times New Roman"/>
          <w:lang w:val="en-US" w:eastAsia="zh-CN"/>
        </w:rPr>
        <w:t>0</w:t>
      </w:r>
      <w:r>
        <w:rPr>
          <w:rFonts w:cs="Times New Roman"/>
        </w:rPr>
        <w:t>.2-2  与《三山经济开发区控制性详细规划（调整）》位置关系图</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.2.3与《国务院关于印发“十三五”生态环境保护规划的通知》相容性分析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为推进“十三五”期间环境保护事业的科学发展，加快资源节约型、环境友好型社会建设，国务院于2016年11月24日公布了《国务院关于印发“十三五”生态环境保护规划的通知》（国发[2016]65号）。</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芜湖新兴铸管厂区与《国务院关于印发“十三五”生态环境保护规划的通知》内容相容性分析见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_Ref460830583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.2-3。</w:t>
      </w:r>
    </w:p>
    <w:p>
      <w:pPr>
        <w:pStyle w:val="31"/>
        <w:keepNext w:val="0"/>
        <w:keepLines w:val="0"/>
        <w:pageBreakBefore w:val="0"/>
        <w:kinsoku/>
        <w:wordWrap/>
        <w:bidi w:val="0"/>
        <w:snapToGrid/>
        <w:spacing w:line="360" w:lineRule="auto"/>
        <w:rPr>
          <w:rFonts w:cs="Times New Roman"/>
        </w:rPr>
      </w:pPr>
      <w:bookmarkStart w:id="22" w:name="_Ref460830583"/>
      <w:r>
        <w:rPr>
          <w:rFonts w:cs="Times New Roman"/>
        </w:rPr>
        <w:t>表</w:t>
      </w:r>
      <w:bookmarkEnd w:id="22"/>
      <w:r>
        <w:rPr>
          <w:rFonts w:cs="Times New Roman"/>
        </w:rPr>
        <w:t>1</w:t>
      </w:r>
      <w:r>
        <w:rPr>
          <w:rFonts w:hint="eastAsia" w:cs="Times New Roman"/>
          <w:lang w:val="en-US" w:eastAsia="zh-CN"/>
        </w:rPr>
        <w:t>0</w:t>
      </w:r>
      <w:r>
        <w:rPr>
          <w:rFonts w:cs="Times New Roman"/>
        </w:rPr>
        <w:t>.2-3  与《国务院关于印发“十三五”生态环境保护规划的通知》相容性分析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426"/>
        <w:gridCol w:w="2924"/>
        <w:gridCol w:w="3180"/>
        <w:gridCol w:w="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序号</w:t>
            </w:r>
          </w:p>
        </w:tc>
        <w:tc>
          <w:tcPr>
            <w:tcW w:w="4350" w:type="dxa"/>
            <w:gridSpan w:val="2"/>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文件内容要求</w:t>
            </w:r>
          </w:p>
        </w:tc>
        <w:tc>
          <w:tcPr>
            <w:tcW w:w="318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芜湖新兴铸管实际建设情况</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1</w:t>
            </w:r>
          </w:p>
        </w:tc>
        <w:tc>
          <w:tcPr>
            <w:tcW w:w="1426" w:type="dxa"/>
            <w:vMerge w:val="restart"/>
            <w:tcBorders>
              <w:tl2br w:val="nil"/>
              <w:tr2bl w:val="nil"/>
            </w:tcBorders>
            <w:vAlign w:val="center"/>
          </w:tcPr>
          <w:p>
            <w:pPr>
              <w:pStyle w:val="41"/>
              <w:keepNext w:val="0"/>
              <w:keepLines w:val="0"/>
              <w:pageBreakBefore w:val="0"/>
              <w:kinsoku/>
              <w:wordWrap/>
              <w:bidi w:val="0"/>
              <w:snapToGrid/>
              <w:rPr>
                <w:szCs w:val="21"/>
              </w:rPr>
            </w:pPr>
            <w:r>
              <w:rPr>
                <w:szCs w:val="21"/>
              </w:rPr>
              <w:t>强化源头防控，夯实绿色发展基础</w:t>
            </w:r>
          </w:p>
        </w:tc>
        <w:tc>
          <w:tcPr>
            <w:tcW w:w="2924" w:type="dxa"/>
            <w:tcBorders>
              <w:tl2br w:val="nil"/>
              <w:tr2bl w:val="nil"/>
            </w:tcBorders>
            <w:vAlign w:val="center"/>
          </w:tcPr>
          <w:p>
            <w:pPr>
              <w:pStyle w:val="41"/>
              <w:keepNext w:val="0"/>
              <w:keepLines w:val="0"/>
              <w:pageBreakBefore w:val="0"/>
              <w:kinsoku/>
              <w:wordWrap/>
              <w:bidi w:val="0"/>
              <w:snapToGrid/>
              <w:rPr>
                <w:szCs w:val="21"/>
              </w:rPr>
            </w:pPr>
            <w:r>
              <w:rPr>
                <w:color w:val="333333"/>
                <w:szCs w:val="21"/>
                <w:shd w:val="clear" w:color="auto" w:fill="FFFFFF"/>
              </w:rPr>
              <w:t>推进供给侧结构性改革。调整优化产业结构，煤炭、钢铁、水泥、平板玻璃等产能过剩行业实行产能等量或减量置换</w:t>
            </w:r>
          </w:p>
        </w:tc>
        <w:tc>
          <w:tcPr>
            <w:tcW w:w="3180" w:type="dxa"/>
            <w:tcBorders>
              <w:tl2br w:val="nil"/>
              <w:tr2bl w:val="nil"/>
            </w:tcBorders>
            <w:vAlign w:val="center"/>
          </w:tcPr>
          <w:p>
            <w:pPr>
              <w:pStyle w:val="41"/>
              <w:keepNext w:val="0"/>
              <w:keepLines w:val="0"/>
              <w:pageBreakBefore w:val="0"/>
              <w:kinsoku/>
              <w:wordWrap/>
              <w:bidi w:val="0"/>
              <w:snapToGrid/>
              <w:rPr>
                <w:szCs w:val="21"/>
              </w:rPr>
            </w:pPr>
            <w:r>
              <w:rPr>
                <w:szCs w:val="21"/>
              </w:rPr>
              <w:t>厂区自搬迁芜湖三山经济开发区后，未新增产能，目前根据《国家发展改革委工业和信息化部关于印发对钢铁、电解铝、船舶行业违规项目清理意见的通知》（发改产业[2015]1494号）及《安徽省发展改革委安徽省经济和信息化委转发国家发展改革委工业和信息化部关于印发对钢铁电解铝船舶行业违规项目清理意见的通知》，厂区认定炼铁产能198万吨/年、炼钢产能1</w:t>
            </w:r>
            <w:r>
              <w:rPr>
                <w:rFonts w:hint="eastAsia"/>
                <w:szCs w:val="21"/>
                <w:lang w:val="en-US" w:eastAsia="zh-CN"/>
              </w:rPr>
              <w:t>50</w:t>
            </w:r>
            <w:r>
              <w:rPr>
                <w:szCs w:val="21"/>
              </w:rPr>
              <w:t>万吨/年</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2</w:t>
            </w:r>
          </w:p>
        </w:tc>
        <w:tc>
          <w:tcPr>
            <w:tcW w:w="1426" w:type="dxa"/>
            <w:vMerge w:val="continue"/>
            <w:tcBorders>
              <w:tl2br w:val="nil"/>
              <w:tr2bl w:val="nil"/>
            </w:tcBorders>
            <w:vAlign w:val="center"/>
          </w:tcPr>
          <w:p>
            <w:pPr>
              <w:pStyle w:val="41"/>
              <w:keepNext w:val="0"/>
              <w:keepLines w:val="0"/>
              <w:pageBreakBefore w:val="0"/>
              <w:kinsoku/>
              <w:wordWrap/>
              <w:bidi w:val="0"/>
              <w:snapToGrid/>
              <w:rPr>
                <w:szCs w:val="21"/>
              </w:rPr>
            </w:pPr>
          </w:p>
        </w:tc>
        <w:tc>
          <w:tcPr>
            <w:tcW w:w="2924" w:type="dxa"/>
            <w:tcBorders>
              <w:tl2br w:val="nil"/>
              <w:tr2bl w:val="nil"/>
            </w:tcBorders>
            <w:vAlign w:val="center"/>
          </w:tcPr>
          <w:p>
            <w:pPr>
              <w:pStyle w:val="41"/>
              <w:keepNext w:val="0"/>
              <w:keepLines w:val="0"/>
              <w:pageBreakBefore w:val="0"/>
              <w:kinsoku/>
              <w:wordWrap/>
              <w:bidi w:val="0"/>
              <w:snapToGrid/>
              <w:rPr>
                <w:szCs w:val="21"/>
              </w:rPr>
            </w:pPr>
            <w:r>
              <w:rPr>
                <w:color w:val="333333"/>
                <w:szCs w:val="21"/>
                <w:shd w:val="clear" w:color="auto" w:fill="FFFFFF"/>
              </w:rPr>
              <w:t>健全再生资源回收利用网络，规范完善废钢铁、废旧轮胎、废旧纺织品与服装、废塑料、废旧动力电池等综合利用行业管理</w:t>
            </w:r>
          </w:p>
        </w:tc>
        <w:tc>
          <w:tcPr>
            <w:tcW w:w="3180" w:type="dxa"/>
            <w:tcBorders>
              <w:tl2br w:val="nil"/>
              <w:tr2bl w:val="nil"/>
            </w:tcBorders>
            <w:vAlign w:val="center"/>
          </w:tcPr>
          <w:p>
            <w:pPr>
              <w:pStyle w:val="41"/>
              <w:keepNext w:val="0"/>
              <w:keepLines w:val="0"/>
              <w:pageBreakBefore w:val="0"/>
              <w:kinsoku/>
              <w:wordWrap/>
              <w:bidi w:val="0"/>
              <w:snapToGrid/>
              <w:rPr>
                <w:szCs w:val="21"/>
              </w:rPr>
            </w:pPr>
            <w:r>
              <w:rPr>
                <w:szCs w:val="21"/>
              </w:rPr>
              <w:t>厂区已经建成规范的固废收集及利用措施：固废中可综合利用的部分尽可能做到了综合利用，无法综合作用的部分全部外委有资质的单位进行安全处置，厂区固体废物的综合利用、安全处置率达到100%</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.2.4与《钢铁工业调整升级规划（2016-2020年）》相容性分析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钢铁工业调整升级规划（2016-2020年）》依据《中华人民共和国国民经济和社会发展第十三个五年规划纲要》、《中国制造2025》和《国务院关于钢铁行业化解过剩产能实现脱困发展的意见》编制，作为未来五年我国钢铁工业发展的指导性文件。</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芜湖新兴铸管厂区与《钢铁工业调整升级规划（2016-2020年）》内容相容性分析见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_Ref460830583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.2-4。</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.2-4  与《钢铁工业调整升级规划（2016-2020年）》相容性分析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426"/>
        <w:gridCol w:w="2924"/>
        <w:gridCol w:w="3180"/>
        <w:gridCol w:w="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序号</w:t>
            </w:r>
          </w:p>
        </w:tc>
        <w:tc>
          <w:tcPr>
            <w:tcW w:w="4350" w:type="dxa"/>
            <w:gridSpan w:val="2"/>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文件内容要求</w:t>
            </w:r>
          </w:p>
        </w:tc>
        <w:tc>
          <w:tcPr>
            <w:tcW w:w="318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芜湖新兴铸管实际建设情况</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b/>
                <w:bCs/>
                <w:sz w:val="21"/>
                <w:szCs w:val="21"/>
              </w:rPr>
            </w:pPr>
            <w:r>
              <w:rPr>
                <w:rFonts w:eastAsia="宋体" w:cs="Times New Roman"/>
                <w:b/>
                <w:bCs/>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1</w:t>
            </w:r>
          </w:p>
        </w:tc>
        <w:tc>
          <w:tcPr>
            <w:tcW w:w="1426" w:type="dxa"/>
            <w:vMerge w:val="restart"/>
            <w:tcBorders>
              <w:tl2br w:val="nil"/>
              <w:tr2bl w:val="nil"/>
            </w:tcBorders>
            <w:vAlign w:val="center"/>
          </w:tcPr>
          <w:p>
            <w:pPr>
              <w:pStyle w:val="41"/>
              <w:keepNext w:val="0"/>
              <w:keepLines w:val="0"/>
              <w:pageBreakBefore w:val="0"/>
              <w:kinsoku/>
              <w:wordWrap/>
              <w:bidi w:val="0"/>
              <w:snapToGrid/>
              <w:rPr>
                <w:szCs w:val="21"/>
              </w:rPr>
            </w:pPr>
            <w:r>
              <w:rPr>
                <w:szCs w:val="21"/>
              </w:rPr>
              <w:t>（一）积极稳妥去产能去杠杆</w:t>
            </w:r>
          </w:p>
        </w:tc>
        <w:tc>
          <w:tcPr>
            <w:tcW w:w="2924" w:type="dxa"/>
            <w:tcBorders>
              <w:tl2br w:val="nil"/>
              <w:tr2bl w:val="nil"/>
            </w:tcBorders>
            <w:vAlign w:val="center"/>
          </w:tcPr>
          <w:p>
            <w:pPr>
              <w:pStyle w:val="41"/>
              <w:keepNext w:val="0"/>
              <w:keepLines w:val="0"/>
              <w:pageBreakBefore w:val="0"/>
              <w:kinsoku/>
              <w:wordWrap/>
              <w:bidi w:val="0"/>
              <w:snapToGrid/>
              <w:rPr>
                <w:szCs w:val="21"/>
              </w:rPr>
            </w:pPr>
            <w:r>
              <w:rPr>
                <w:szCs w:val="21"/>
                <w:lang w:val="zh-CN"/>
              </w:rPr>
              <w:t>严禁新增钢铁产能。停止建设扩大钢铁产能规模的所有投资项目，将投资重点放在创新能力、绿色发展、智能制造、质量品牌、品种开发、延伸服务和产能合作等方面</w:t>
            </w:r>
          </w:p>
        </w:tc>
        <w:tc>
          <w:tcPr>
            <w:tcW w:w="3180" w:type="dxa"/>
            <w:tcBorders>
              <w:tl2br w:val="nil"/>
              <w:tr2bl w:val="nil"/>
            </w:tcBorders>
            <w:vAlign w:val="center"/>
          </w:tcPr>
          <w:p>
            <w:pPr>
              <w:pStyle w:val="41"/>
              <w:keepNext w:val="0"/>
              <w:keepLines w:val="0"/>
              <w:pageBreakBefore w:val="0"/>
              <w:kinsoku/>
              <w:wordWrap/>
              <w:bidi w:val="0"/>
              <w:snapToGrid/>
              <w:rPr>
                <w:szCs w:val="21"/>
              </w:rPr>
            </w:pPr>
            <w:r>
              <w:rPr>
                <w:szCs w:val="21"/>
              </w:rPr>
              <w:t>厂区自搬迁芜湖三山经济开发区后，未新增产能，目前根据《国家发展改革委工业和信息化部关于印发对钢铁、电解铝、船舶行业违规项目清理意见的通知》（发改产业[2015]1494号）及《安徽省发展改革委安徽省经济和信息化委转发国家发展改革委工业和信息化部关于印发对钢铁电解铝船舶行业违规项目清理意见的通知》，厂区认定炼铁产能198万吨/年、炼钢产能1</w:t>
            </w:r>
            <w:r>
              <w:rPr>
                <w:rFonts w:hint="eastAsia"/>
                <w:szCs w:val="21"/>
                <w:lang w:val="en-US" w:eastAsia="zh-CN"/>
              </w:rPr>
              <w:t>50</w:t>
            </w:r>
            <w:r>
              <w:rPr>
                <w:szCs w:val="21"/>
              </w:rPr>
              <w:t>万吨/年。自搬迁项目后，厂区针对污染防治措施进行了多次技术升级改造，如焦化废水升级提标改造</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2</w:t>
            </w:r>
          </w:p>
        </w:tc>
        <w:tc>
          <w:tcPr>
            <w:tcW w:w="1426" w:type="dxa"/>
            <w:vMerge w:val="continue"/>
            <w:tcBorders>
              <w:tl2br w:val="nil"/>
              <w:tr2bl w:val="nil"/>
            </w:tcBorders>
            <w:vAlign w:val="center"/>
          </w:tcPr>
          <w:p>
            <w:pPr>
              <w:pStyle w:val="41"/>
              <w:keepNext w:val="0"/>
              <w:keepLines w:val="0"/>
              <w:pageBreakBefore w:val="0"/>
              <w:kinsoku/>
              <w:wordWrap/>
              <w:bidi w:val="0"/>
              <w:snapToGrid/>
              <w:rPr>
                <w:szCs w:val="21"/>
              </w:rPr>
            </w:pPr>
          </w:p>
        </w:tc>
        <w:tc>
          <w:tcPr>
            <w:tcW w:w="2924" w:type="dxa"/>
            <w:tcBorders>
              <w:tl2br w:val="nil"/>
              <w:tr2bl w:val="nil"/>
            </w:tcBorders>
            <w:vAlign w:val="center"/>
          </w:tcPr>
          <w:p>
            <w:pPr>
              <w:pStyle w:val="41"/>
              <w:keepNext w:val="0"/>
              <w:keepLines w:val="0"/>
              <w:pageBreakBefore w:val="0"/>
              <w:kinsoku/>
              <w:wordWrap/>
              <w:bidi w:val="0"/>
              <w:snapToGrid/>
              <w:rPr>
                <w:szCs w:val="21"/>
              </w:rPr>
            </w:pPr>
            <w:r>
              <w:rPr>
                <w:szCs w:val="21"/>
              </w:rPr>
              <w:t>依法依规去</w:t>
            </w:r>
            <w:r>
              <w:rPr>
                <w:szCs w:val="21"/>
                <w:lang w:val="zh-CN"/>
              </w:rPr>
              <w:t>产能。2016年全面关停并拆除400立方米及以下炼铁高炉（符合《铸造生铁用企业认定规范条件》的铸造高炉除外），30吨及以下炼钢转炉、30吨及以下电炉（高合金钢电炉除外）等落后生产设备</w:t>
            </w:r>
          </w:p>
        </w:tc>
        <w:tc>
          <w:tcPr>
            <w:tcW w:w="3180" w:type="dxa"/>
            <w:tcBorders>
              <w:tl2br w:val="nil"/>
              <w:tr2bl w:val="nil"/>
            </w:tcBorders>
            <w:vAlign w:val="center"/>
          </w:tcPr>
          <w:p>
            <w:pPr>
              <w:pStyle w:val="41"/>
              <w:keepNext w:val="0"/>
              <w:keepLines w:val="0"/>
              <w:pageBreakBefore w:val="0"/>
              <w:kinsoku/>
              <w:wordWrap/>
              <w:bidi w:val="0"/>
              <w:snapToGrid/>
              <w:rPr>
                <w:szCs w:val="21"/>
              </w:rPr>
            </w:pPr>
            <w:r>
              <w:rPr>
                <w:szCs w:val="21"/>
              </w:rPr>
              <w:t>厂区目前有2座1280m</w:t>
            </w:r>
            <w:r>
              <w:rPr>
                <w:szCs w:val="21"/>
                <w:vertAlign w:val="superscript"/>
              </w:rPr>
              <w:t>3</w:t>
            </w:r>
            <w:r>
              <w:rPr>
                <w:szCs w:val="21"/>
              </w:rPr>
              <w:t>的炼铁高炉、2座120t炼钢转炉，均不属于限制类和淘汰类的生产设施，厂区未建设炼钢电炉</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3</w:t>
            </w:r>
          </w:p>
        </w:tc>
        <w:tc>
          <w:tcPr>
            <w:tcW w:w="1426" w:type="dxa"/>
            <w:tcBorders>
              <w:tl2br w:val="nil"/>
              <w:tr2bl w:val="nil"/>
            </w:tcBorders>
            <w:vAlign w:val="center"/>
          </w:tcPr>
          <w:p>
            <w:pPr>
              <w:pStyle w:val="41"/>
              <w:keepNext w:val="0"/>
              <w:keepLines w:val="0"/>
              <w:pageBreakBefore w:val="0"/>
              <w:kinsoku/>
              <w:wordWrap/>
              <w:bidi w:val="0"/>
              <w:snapToGrid/>
              <w:rPr>
                <w:szCs w:val="21"/>
              </w:rPr>
            </w:pPr>
            <w:bookmarkStart w:id="23" w:name="_Toc30669"/>
            <w:bookmarkStart w:id="24" w:name="_Toc28221"/>
            <w:bookmarkStart w:id="25" w:name="_Toc30816"/>
            <w:r>
              <w:rPr>
                <w:szCs w:val="21"/>
                <w:lang w:val="zh-CN"/>
              </w:rPr>
              <w:t>（二）</w:t>
            </w:r>
            <w:bookmarkEnd w:id="23"/>
            <w:bookmarkEnd w:id="24"/>
            <w:r>
              <w:rPr>
                <w:szCs w:val="21"/>
                <w:lang w:val="zh-CN"/>
              </w:rPr>
              <w:t>完善钢铁布局调整格局</w:t>
            </w:r>
            <w:bookmarkEnd w:id="25"/>
          </w:p>
        </w:tc>
        <w:tc>
          <w:tcPr>
            <w:tcW w:w="2924" w:type="dxa"/>
            <w:tcBorders>
              <w:tl2br w:val="nil"/>
              <w:tr2bl w:val="nil"/>
            </w:tcBorders>
            <w:vAlign w:val="center"/>
          </w:tcPr>
          <w:p>
            <w:pPr>
              <w:pStyle w:val="41"/>
              <w:keepNext w:val="0"/>
              <w:keepLines w:val="0"/>
              <w:pageBreakBefore w:val="0"/>
              <w:kinsoku/>
              <w:wordWrap/>
              <w:bidi w:val="0"/>
              <w:snapToGrid/>
              <w:rPr>
                <w:szCs w:val="21"/>
              </w:rPr>
            </w:pPr>
            <w:r>
              <w:rPr>
                <w:szCs w:val="21"/>
                <w:lang w:val="zh-CN"/>
              </w:rPr>
              <w:t>正在实施的城市钢厂搬迁项目必须实施减量搬迁，要坚决落实减量置换产能</w:t>
            </w:r>
          </w:p>
        </w:tc>
        <w:tc>
          <w:tcPr>
            <w:tcW w:w="3180" w:type="dxa"/>
            <w:tcBorders>
              <w:tl2br w:val="nil"/>
              <w:tr2bl w:val="nil"/>
            </w:tcBorders>
            <w:vAlign w:val="center"/>
          </w:tcPr>
          <w:p>
            <w:pPr>
              <w:pStyle w:val="41"/>
              <w:keepNext w:val="0"/>
              <w:keepLines w:val="0"/>
              <w:pageBreakBefore w:val="0"/>
              <w:kinsoku/>
              <w:wordWrap/>
              <w:bidi w:val="0"/>
              <w:snapToGrid/>
              <w:rPr>
                <w:szCs w:val="21"/>
              </w:rPr>
            </w:pPr>
            <w:r>
              <w:rPr>
                <w:szCs w:val="21"/>
              </w:rPr>
              <w:t>厂区搬迁前核定产能为炼铁产能220万吨/年、炼钢产能244万吨/年，搬迁后厂区通过技术升级改造，核定产能炼铁产能198万吨/年、炼钢产能</w:t>
            </w:r>
            <w:r>
              <w:rPr>
                <w:rFonts w:hint="eastAsia"/>
                <w:szCs w:val="21"/>
                <w:lang w:val="en-US" w:eastAsia="zh-CN"/>
              </w:rPr>
              <w:t>150</w:t>
            </w:r>
            <w:r>
              <w:rPr>
                <w:szCs w:val="21"/>
              </w:rPr>
              <w:t>万吨/年，实施了减量搬迁</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51"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r>
              <w:rPr>
                <w:rFonts w:eastAsia="宋体" w:cs="Times New Roman"/>
                <w:sz w:val="21"/>
                <w:szCs w:val="21"/>
              </w:rPr>
              <w:t>4</w:t>
            </w:r>
          </w:p>
        </w:tc>
        <w:tc>
          <w:tcPr>
            <w:tcW w:w="1426" w:type="dxa"/>
            <w:tcBorders>
              <w:tl2br w:val="nil"/>
              <w:tr2bl w:val="nil"/>
            </w:tcBorders>
            <w:vAlign w:val="center"/>
          </w:tcPr>
          <w:p>
            <w:pPr>
              <w:pStyle w:val="41"/>
              <w:keepNext w:val="0"/>
              <w:keepLines w:val="0"/>
              <w:pageBreakBefore w:val="0"/>
              <w:kinsoku/>
              <w:wordWrap/>
              <w:bidi w:val="0"/>
              <w:snapToGrid/>
              <w:rPr>
                <w:szCs w:val="21"/>
                <w:lang w:val="zh-CN"/>
              </w:rPr>
            </w:pPr>
            <w:r>
              <w:rPr>
                <w:szCs w:val="21"/>
                <w:lang w:val="zh-CN"/>
              </w:rPr>
              <w:t>（六）推进绿色制造</w:t>
            </w:r>
          </w:p>
        </w:tc>
        <w:tc>
          <w:tcPr>
            <w:tcW w:w="2924" w:type="dxa"/>
            <w:tcBorders>
              <w:tl2br w:val="nil"/>
              <w:tr2bl w:val="nil"/>
            </w:tcBorders>
            <w:vAlign w:val="center"/>
          </w:tcPr>
          <w:p>
            <w:pPr>
              <w:pStyle w:val="41"/>
              <w:keepNext w:val="0"/>
              <w:keepLines w:val="0"/>
              <w:pageBreakBefore w:val="0"/>
              <w:kinsoku/>
              <w:wordWrap/>
              <w:bidi w:val="0"/>
              <w:snapToGrid/>
              <w:rPr>
                <w:szCs w:val="22"/>
                <w:lang w:val="zh-CN"/>
              </w:rPr>
            </w:pPr>
            <w:r>
              <w:rPr>
                <w:lang w:val="zh-CN"/>
              </w:rPr>
              <w:t>全面完成烧结脱硫、干熄焦、高炉余压回收等改造，淘汰高炉煤气湿法除尘、转炉一次烟气传</w:t>
            </w:r>
            <w:r>
              <w:rPr>
                <w:szCs w:val="22"/>
                <w:lang w:val="zh-CN"/>
              </w:rPr>
              <w:t>统湿法除尘等高耗水工艺装备。</w:t>
            </w:r>
          </w:p>
          <w:p>
            <w:pPr>
              <w:pStyle w:val="41"/>
              <w:keepNext w:val="0"/>
              <w:keepLines w:val="0"/>
              <w:pageBreakBefore w:val="0"/>
              <w:kinsoku/>
              <w:wordWrap/>
              <w:bidi w:val="0"/>
              <w:snapToGrid/>
              <w:rPr>
                <w:szCs w:val="22"/>
                <w:lang w:val="zh-CN"/>
              </w:rPr>
            </w:pPr>
            <w:r>
              <w:rPr>
                <w:szCs w:val="22"/>
                <w:lang w:val="zh-CN"/>
              </w:rPr>
              <w:t>全面建成企业厂区主要污染物排放的环保在线监控体系。</w:t>
            </w:r>
          </w:p>
          <w:p>
            <w:pPr>
              <w:pStyle w:val="41"/>
              <w:keepNext w:val="0"/>
              <w:keepLines w:val="0"/>
              <w:pageBreakBefore w:val="0"/>
              <w:kinsoku/>
              <w:wordWrap/>
              <w:bidi w:val="0"/>
              <w:snapToGrid/>
              <w:rPr>
                <w:lang w:val="zh-CN"/>
              </w:rPr>
            </w:pPr>
            <w:r>
              <w:rPr>
                <w:szCs w:val="22"/>
                <w:lang w:val="zh-CN"/>
              </w:rPr>
              <w:t>研发推广先进节能环保技术，开展焦炉和烧结烟气脱硫脱硝、综合污水回用深度脱盐等节能环保难点技术示范专项活动</w:t>
            </w:r>
          </w:p>
        </w:tc>
        <w:tc>
          <w:tcPr>
            <w:tcW w:w="3180" w:type="dxa"/>
            <w:tcBorders>
              <w:tl2br w:val="nil"/>
              <w:tr2bl w:val="nil"/>
            </w:tcBorders>
            <w:vAlign w:val="center"/>
          </w:tcPr>
          <w:p>
            <w:pPr>
              <w:pStyle w:val="41"/>
              <w:keepNext w:val="0"/>
              <w:keepLines w:val="0"/>
              <w:pageBreakBefore w:val="0"/>
              <w:kinsoku/>
              <w:wordWrap/>
              <w:bidi w:val="0"/>
              <w:snapToGrid/>
              <w:rPr>
                <w:lang w:val="zh-CN"/>
              </w:rPr>
            </w:pPr>
            <w:r>
              <w:t>厂区焦炉熄焦采用干法熄焦工艺，焦化废水深度处理回用。</w:t>
            </w:r>
          </w:p>
          <w:p>
            <w:pPr>
              <w:pStyle w:val="41"/>
              <w:keepNext w:val="0"/>
              <w:keepLines w:val="0"/>
              <w:pageBreakBefore w:val="0"/>
              <w:kinsoku/>
              <w:wordWrap/>
              <w:bidi w:val="0"/>
              <w:snapToGrid/>
            </w:pPr>
            <w:r>
              <w:t>厂区现有大气污染源自动监测装置，分别位于烧结机机头烟气脱硫入口处、烧结机机头烟气脱硫出口处、烧结机机尾处、焦炉烟囱处、</w:t>
            </w:r>
            <w:r>
              <w:rPr>
                <w:rFonts w:hint="eastAsia"/>
                <w:lang w:eastAsia="zh-CN"/>
              </w:rPr>
              <w:t>焦化装煤、焦化出煤、干熄焦处、</w:t>
            </w:r>
            <w:r>
              <w:t>高炉矿槽除尘系统处、高炉出铁场除尘系统处、转炉二次烟气除尘系统处、130t/h锅炉烟囱处。</w:t>
            </w:r>
          </w:p>
          <w:p>
            <w:pPr>
              <w:pStyle w:val="41"/>
              <w:keepNext w:val="0"/>
              <w:keepLines w:val="0"/>
              <w:pageBreakBefore w:val="0"/>
              <w:kinsoku/>
              <w:wordWrap/>
              <w:bidi w:val="0"/>
              <w:snapToGrid/>
            </w:pPr>
            <w:r>
              <w:t>厂区现按照环保要求开展相应的环保专项活动，如针对焦化废水进行提标升级改造</w:t>
            </w:r>
          </w:p>
        </w:tc>
        <w:tc>
          <w:tcPr>
            <w:tcW w:w="890" w:type="dxa"/>
            <w:tcBorders>
              <w:tl2br w:val="nil"/>
              <w:tr2bl w:val="nil"/>
            </w:tcBorders>
            <w:vAlign w:val="center"/>
          </w:tcPr>
          <w:p>
            <w:pPr>
              <w:pStyle w:val="31"/>
              <w:keepNext w:val="0"/>
              <w:keepLines w:val="0"/>
              <w:pageBreakBefore w:val="0"/>
              <w:kinsoku/>
              <w:wordWrap/>
              <w:bidi w:val="0"/>
              <w:snapToGrid/>
              <w:spacing w:line="240" w:lineRule="auto"/>
              <w:rPr>
                <w:rFonts w:eastAsia="宋体" w:cs="Times New Roman"/>
                <w:sz w:val="21"/>
                <w:szCs w:val="21"/>
              </w:rPr>
            </w:pP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.2.5与《皖江城市带承接产业转移示范区规划》相容性分析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2010年1月12日，国务院正式批复《皖江城市带承接产业转移示范区规划》。作为首个获批复的国家级承接产业转移示范区，皖江城市带承接产业转移示范区是国家实施区域协调发展战略的又一重大举措，对于探索中西部地区承接产业转移新途径和新模式、深入实施促进中部地区崛起战略具有重要意义。根据规划，皖江城市带包括合肥、芜湖、马鞍山、铜陵、安庆、池州、巢湖、滁州、宣城九市，以及六安市的金安区和舒城县，共59个县（市、区）。示范区将重点围绕新型化工、装备制造、冶金及金属材料深加工和高新技术等产业，高起点承接沿海地区和国外产业转移，着力培育高技术产业，加快发展现代服务业，构建现代产业体系，发展壮大一批规模和水平居全国前列的产业集群，培育形成若干具有国际竞争力的行业龙头企业和世界品牌。</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芜湖新兴铸管厂区与《皖江城市带承接产业转移示范区规划》相容性分析见</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REF _Ref460831720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表1</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.2-5。</w:t>
      </w:r>
    </w:p>
    <w:p>
      <w:pPr>
        <w:pStyle w:val="31"/>
        <w:keepNext w:val="0"/>
        <w:keepLines w:val="0"/>
        <w:pageBreakBefore w:val="0"/>
        <w:kinsoku/>
        <w:wordWrap/>
        <w:bidi w:val="0"/>
        <w:snapToGrid/>
        <w:spacing w:line="360" w:lineRule="auto"/>
        <w:rPr>
          <w:rFonts w:cs="Times New Roman"/>
        </w:rPr>
      </w:pPr>
      <w:bookmarkStart w:id="26" w:name="_Ref460831720"/>
      <w:r>
        <w:rPr>
          <w:rFonts w:cs="Times New Roman"/>
        </w:rPr>
        <w:t>表</w:t>
      </w:r>
      <w:bookmarkEnd w:id="26"/>
      <w:r>
        <w:rPr>
          <w:rFonts w:cs="Times New Roman"/>
        </w:rPr>
        <w:t>1</w:t>
      </w:r>
      <w:r>
        <w:rPr>
          <w:rFonts w:hint="eastAsia" w:cs="Times New Roman"/>
          <w:lang w:val="en-US" w:eastAsia="zh-CN"/>
        </w:rPr>
        <w:t>0</w:t>
      </w:r>
      <w:r>
        <w:rPr>
          <w:rFonts w:cs="Times New Roman"/>
        </w:rPr>
        <w:t>.2-5  与《皖江城市带承接产业转移示范区规划》相容性分析</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71"/>
        <w:gridCol w:w="3645"/>
        <w:gridCol w:w="3454"/>
        <w:gridCol w:w="12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83" w:hRule="atLeast"/>
          <w:tblHeader/>
          <w:jc w:val="center"/>
        </w:trPr>
        <w:tc>
          <w:tcPr>
            <w:tcW w:w="771" w:type="dxa"/>
            <w:tcBorders>
              <w:tl2br w:val="nil"/>
              <w:tr2bl w:val="nil"/>
            </w:tcBorders>
            <w:vAlign w:val="center"/>
          </w:tcPr>
          <w:p>
            <w:pPr>
              <w:pStyle w:val="41"/>
              <w:keepNext w:val="0"/>
              <w:keepLines w:val="0"/>
              <w:pageBreakBefore w:val="0"/>
              <w:kinsoku/>
              <w:wordWrap/>
              <w:bidi w:val="0"/>
              <w:snapToGrid/>
              <w:spacing w:line="240" w:lineRule="auto"/>
            </w:pPr>
            <w:r>
              <w:rPr>
                <w:b/>
                <w:bCs/>
              </w:rPr>
              <w:t>序号</w:t>
            </w:r>
          </w:p>
        </w:tc>
        <w:tc>
          <w:tcPr>
            <w:tcW w:w="3645" w:type="dxa"/>
            <w:tcBorders>
              <w:tl2br w:val="nil"/>
              <w:tr2bl w:val="nil"/>
            </w:tcBorders>
            <w:vAlign w:val="center"/>
          </w:tcPr>
          <w:p>
            <w:pPr>
              <w:pStyle w:val="31"/>
              <w:keepNext w:val="0"/>
              <w:keepLines w:val="0"/>
              <w:pageBreakBefore w:val="0"/>
              <w:kinsoku/>
              <w:wordWrap/>
              <w:bidi w:val="0"/>
              <w:snapToGrid/>
              <w:spacing w:line="240" w:lineRule="auto"/>
              <w:rPr>
                <w:rFonts w:cs="Times New Roman"/>
              </w:rPr>
            </w:pPr>
            <w:r>
              <w:rPr>
                <w:rFonts w:eastAsia="宋体" w:cs="Times New Roman"/>
                <w:b/>
                <w:bCs/>
                <w:sz w:val="21"/>
                <w:szCs w:val="21"/>
              </w:rPr>
              <w:t>文件内容要求</w:t>
            </w:r>
          </w:p>
        </w:tc>
        <w:tc>
          <w:tcPr>
            <w:tcW w:w="3454" w:type="dxa"/>
            <w:tcBorders>
              <w:tl2br w:val="nil"/>
              <w:tr2bl w:val="nil"/>
            </w:tcBorders>
            <w:vAlign w:val="center"/>
          </w:tcPr>
          <w:p>
            <w:pPr>
              <w:pStyle w:val="41"/>
              <w:keepNext w:val="0"/>
              <w:keepLines w:val="0"/>
              <w:pageBreakBefore w:val="0"/>
              <w:kinsoku/>
              <w:wordWrap/>
              <w:bidi w:val="0"/>
              <w:snapToGrid/>
              <w:spacing w:line="240" w:lineRule="auto"/>
            </w:pPr>
            <w:r>
              <w:rPr>
                <w:b/>
                <w:bCs/>
                <w:szCs w:val="21"/>
              </w:rPr>
              <w:t>芜湖新兴铸管实际建设情况</w:t>
            </w:r>
          </w:p>
        </w:tc>
        <w:tc>
          <w:tcPr>
            <w:tcW w:w="1201" w:type="dxa"/>
            <w:tcBorders>
              <w:tl2br w:val="nil"/>
              <w:tr2bl w:val="nil"/>
            </w:tcBorders>
            <w:vAlign w:val="center"/>
          </w:tcPr>
          <w:p>
            <w:pPr>
              <w:pStyle w:val="41"/>
              <w:keepNext w:val="0"/>
              <w:keepLines w:val="0"/>
              <w:pageBreakBefore w:val="0"/>
              <w:kinsoku/>
              <w:wordWrap/>
              <w:bidi w:val="0"/>
              <w:snapToGrid/>
              <w:spacing w:line="240" w:lineRule="auto"/>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83" w:hRule="atLeast"/>
          <w:jc w:val="center"/>
        </w:trPr>
        <w:tc>
          <w:tcPr>
            <w:tcW w:w="771"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3645" w:type="dxa"/>
            <w:tcBorders>
              <w:tl2br w:val="nil"/>
              <w:tr2bl w:val="nil"/>
            </w:tcBorders>
            <w:shd w:val="clear" w:color="auto" w:fill="auto"/>
            <w:vAlign w:val="center"/>
          </w:tcPr>
          <w:p>
            <w:pPr>
              <w:pStyle w:val="41"/>
              <w:keepNext w:val="0"/>
              <w:keepLines w:val="0"/>
              <w:pageBreakBefore w:val="0"/>
              <w:kinsoku/>
              <w:wordWrap/>
              <w:bidi w:val="0"/>
              <w:snapToGrid/>
              <w:spacing w:line="240" w:lineRule="auto"/>
            </w:pPr>
            <w:r>
              <w:t>马芜巢产业组团。包括马鞍山市、芜湖市和巢湖市无为县、和县。利用沿江港口优势和深水岸线资源，发挥骨干企业带动作用，重点承接发展汽车、钢铁、化工、建材、文化创意等产业。建设全国自主品牌汽车基地和精品钢基地</w:t>
            </w:r>
          </w:p>
        </w:tc>
        <w:tc>
          <w:tcPr>
            <w:tcW w:w="3454" w:type="dxa"/>
            <w:tcBorders>
              <w:tl2br w:val="nil"/>
              <w:tr2bl w:val="nil"/>
            </w:tcBorders>
            <w:shd w:val="clear" w:color="auto" w:fill="auto"/>
            <w:vAlign w:val="center"/>
          </w:tcPr>
          <w:p>
            <w:pPr>
              <w:pStyle w:val="41"/>
              <w:keepNext w:val="0"/>
              <w:keepLines w:val="0"/>
              <w:pageBreakBefore w:val="0"/>
              <w:kinsoku/>
              <w:wordWrap/>
              <w:bidi w:val="0"/>
              <w:snapToGrid/>
              <w:spacing w:line="240" w:lineRule="auto"/>
            </w:pPr>
            <w:r>
              <w:rPr>
                <w:szCs w:val="21"/>
              </w:rPr>
              <w:t>芜湖新兴铸管有限公司原位于芜湖市城市中心的弋江区，于2013年10月开始城市钢厂搬迁工作，搬迁后的厂址位于芜湖三山经济开发区</w:t>
            </w:r>
            <w:r>
              <w:t>，厂区可利用沿江港口的优势，发挥芜湖新兴铸管的带动作用，建设全国知名的精品钢基地</w:t>
            </w:r>
          </w:p>
        </w:tc>
        <w:tc>
          <w:tcPr>
            <w:tcW w:w="1201" w:type="dxa"/>
            <w:tcBorders>
              <w:tl2br w:val="nil"/>
              <w:tr2bl w:val="nil"/>
            </w:tcBorders>
            <w:shd w:val="clear" w:color="auto" w:fill="auto"/>
            <w:vAlign w:val="center"/>
          </w:tcPr>
          <w:p>
            <w:pPr>
              <w:pStyle w:val="41"/>
              <w:keepNext w:val="0"/>
              <w:keepLines w:val="0"/>
              <w:pageBreakBefore w:val="0"/>
              <w:kinsoku/>
              <w:wordWrap/>
              <w:bidi w:val="0"/>
              <w:snapToGrid/>
              <w:spacing w:line="240" w:lineRule="auto"/>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83" w:hRule="atLeast"/>
          <w:jc w:val="center"/>
        </w:trPr>
        <w:tc>
          <w:tcPr>
            <w:tcW w:w="771" w:type="dxa"/>
            <w:tcBorders>
              <w:tl2br w:val="nil"/>
              <w:tr2bl w:val="nil"/>
            </w:tcBorders>
            <w:vAlign w:val="center"/>
          </w:tcPr>
          <w:p>
            <w:pPr>
              <w:pStyle w:val="41"/>
              <w:keepNext w:val="0"/>
              <w:keepLines w:val="0"/>
              <w:pageBreakBefore w:val="0"/>
              <w:kinsoku/>
              <w:wordWrap/>
              <w:bidi w:val="0"/>
              <w:snapToGrid/>
              <w:spacing w:line="240" w:lineRule="auto"/>
            </w:pPr>
            <w:r>
              <w:t>2</w:t>
            </w:r>
          </w:p>
        </w:tc>
        <w:tc>
          <w:tcPr>
            <w:tcW w:w="3645" w:type="dxa"/>
            <w:tcBorders>
              <w:tl2br w:val="nil"/>
              <w:tr2bl w:val="nil"/>
            </w:tcBorders>
            <w:shd w:val="clear" w:color="auto" w:fill="auto"/>
            <w:vAlign w:val="center"/>
          </w:tcPr>
          <w:p>
            <w:pPr>
              <w:pStyle w:val="41"/>
              <w:keepNext w:val="0"/>
              <w:keepLines w:val="0"/>
              <w:pageBreakBefore w:val="0"/>
              <w:kinsoku/>
              <w:wordWrap/>
              <w:bidi w:val="0"/>
              <w:snapToGrid/>
              <w:spacing w:line="240" w:lineRule="auto"/>
            </w:pPr>
            <w:r>
              <w:t>引进国内外重点企业与示范区骨干企业联合重组、建立战略联盟。重点承接发展钢材短缺品种、有色金属合金</w:t>
            </w:r>
          </w:p>
          <w:p>
            <w:pPr>
              <w:pStyle w:val="41"/>
              <w:keepNext w:val="0"/>
              <w:keepLines w:val="0"/>
              <w:pageBreakBefore w:val="0"/>
              <w:kinsoku/>
              <w:wordWrap/>
              <w:bidi w:val="0"/>
              <w:snapToGrid/>
              <w:spacing w:line="240" w:lineRule="auto"/>
            </w:pPr>
            <w:r>
              <w:t>材料及精深加工产品。加快推进马钢、铜陵有色、芜湖新兴铸管等骨干企业结构调整和技术改造</w:t>
            </w:r>
          </w:p>
        </w:tc>
        <w:tc>
          <w:tcPr>
            <w:tcW w:w="3454" w:type="dxa"/>
            <w:tcBorders>
              <w:tl2br w:val="nil"/>
              <w:tr2bl w:val="nil"/>
            </w:tcBorders>
            <w:vAlign w:val="center"/>
          </w:tcPr>
          <w:p>
            <w:pPr>
              <w:pStyle w:val="41"/>
              <w:keepNext w:val="0"/>
              <w:keepLines w:val="0"/>
              <w:pageBreakBefore w:val="0"/>
              <w:kinsoku/>
              <w:wordWrap/>
              <w:bidi w:val="0"/>
              <w:snapToGrid/>
              <w:spacing w:line="240" w:lineRule="auto"/>
            </w:pPr>
            <w:r>
              <w:t>芜湖新兴铸管通过烧结工序技改、焦化工序技改进一步推进了厂区实现企业结构调整和技术改造的目标</w:t>
            </w:r>
          </w:p>
        </w:tc>
        <w:tc>
          <w:tcPr>
            <w:tcW w:w="1201" w:type="dxa"/>
            <w:tcBorders>
              <w:tl2br w:val="nil"/>
              <w:tr2bl w:val="nil"/>
            </w:tcBorders>
            <w:vAlign w:val="center"/>
          </w:tcPr>
          <w:p>
            <w:pPr>
              <w:pStyle w:val="41"/>
              <w:keepNext w:val="0"/>
              <w:keepLines w:val="0"/>
              <w:pageBreakBefore w:val="0"/>
              <w:kinsoku/>
              <w:wordWrap/>
              <w:bidi w:val="0"/>
              <w:snapToGrid/>
              <w:spacing w:line="240" w:lineRule="auto"/>
            </w:pPr>
            <w: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.2.6与《长江经济带生态环境保护规划》相容性分析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芜湖新兴铸管厂区与《长江经济带生态环境保护规划》（</w:t>
      </w:r>
      <w:r>
        <w:rPr>
          <w:rFonts w:ascii="Times New Roman" w:hAnsi="Times New Roman" w:eastAsia="宋体" w:cs="Times New Roman"/>
          <w:bCs/>
          <w:sz w:val="24"/>
          <w:szCs w:val="24"/>
        </w:rPr>
        <w:t>原环境保护部、发展改革委、水利部 环规财[2017]88号</w:t>
      </w:r>
      <w:r>
        <w:rPr>
          <w:rFonts w:ascii="Times New Roman" w:hAnsi="Times New Roman" w:eastAsia="宋体" w:cs="Times New Roman"/>
          <w:sz w:val="24"/>
          <w:szCs w:val="24"/>
        </w:rPr>
        <w:t>）符合性分析见表1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6</w:t>
      </w:r>
      <w:r>
        <w:rPr>
          <w:rFonts w:ascii="Times New Roman" w:hAnsi="Times New Roman" w:eastAsia="宋体" w:cs="Times New Roman"/>
          <w:sz w:val="24"/>
          <w:szCs w:val="24"/>
        </w:rPr>
        <w:t>。由表可知，厂区的建设符合相关要求。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w:t>
      </w:r>
      <w:r>
        <w:rPr>
          <w:rFonts w:hint="eastAsia" w:cs="Times New Roman"/>
          <w:lang w:val="en-US" w:eastAsia="zh-CN"/>
        </w:rPr>
        <w:t>2</w:t>
      </w:r>
      <w:r>
        <w:rPr>
          <w:rFonts w:cs="Times New Roman"/>
        </w:rPr>
        <w:t>-</w:t>
      </w:r>
      <w:r>
        <w:rPr>
          <w:rFonts w:hint="eastAsia" w:cs="Times New Roman"/>
          <w:lang w:val="en-US" w:eastAsia="zh-CN"/>
        </w:rPr>
        <w:t>6</w:t>
      </w:r>
      <w:r>
        <w:rPr>
          <w:rFonts w:cs="Times New Roman"/>
        </w:rPr>
        <w:t xml:space="preserve">  与《长江经济带生态环境保护规划》相符性分析</w:t>
      </w:r>
    </w:p>
    <w:tbl>
      <w:tblPr>
        <w:tblStyle w:val="21"/>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71"/>
        <w:gridCol w:w="3645"/>
        <w:gridCol w:w="3454"/>
        <w:gridCol w:w="12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83" w:hRule="atLeast"/>
          <w:tblHeader/>
          <w:jc w:val="center"/>
        </w:trPr>
        <w:tc>
          <w:tcPr>
            <w:tcW w:w="771" w:type="dxa"/>
            <w:tcBorders>
              <w:tl2br w:val="nil"/>
              <w:tr2bl w:val="nil"/>
            </w:tcBorders>
            <w:vAlign w:val="center"/>
          </w:tcPr>
          <w:p>
            <w:pPr>
              <w:pStyle w:val="41"/>
              <w:keepNext w:val="0"/>
              <w:keepLines w:val="0"/>
              <w:pageBreakBefore w:val="0"/>
              <w:kinsoku/>
              <w:wordWrap/>
              <w:bidi w:val="0"/>
              <w:snapToGrid/>
              <w:spacing w:line="240" w:lineRule="auto"/>
            </w:pPr>
            <w:r>
              <w:rPr>
                <w:b/>
                <w:bCs/>
              </w:rPr>
              <w:t>序号</w:t>
            </w:r>
          </w:p>
        </w:tc>
        <w:tc>
          <w:tcPr>
            <w:tcW w:w="3645" w:type="dxa"/>
            <w:tcBorders>
              <w:tl2br w:val="nil"/>
              <w:tr2bl w:val="nil"/>
            </w:tcBorders>
            <w:vAlign w:val="center"/>
          </w:tcPr>
          <w:p>
            <w:pPr>
              <w:pStyle w:val="31"/>
              <w:keepNext w:val="0"/>
              <w:keepLines w:val="0"/>
              <w:pageBreakBefore w:val="0"/>
              <w:kinsoku/>
              <w:wordWrap/>
              <w:bidi w:val="0"/>
              <w:snapToGrid/>
              <w:spacing w:line="240" w:lineRule="auto"/>
              <w:rPr>
                <w:rFonts w:cs="Times New Roman"/>
              </w:rPr>
            </w:pPr>
            <w:r>
              <w:rPr>
                <w:rFonts w:eastAsia="宋体" w:cs="Times New Roman"/>
                <w:b/>
                <w:bCs/>
                <w:sz w:val="21"/>
                <w:szCs w:val="21"/>
              </w:rPr>
              <w:t>文件内容要求</w:t>
            </w:r>
          </w:p>
        </w:tc>
        <w:tc>
          <w:tcPr>
            <w:tcW w:w="3454" w:type="dxa"/>
            <w:tcBorders>
              <w:tl2br w:val="nil"/>
              <w:tr2bl w:val="nil"/>
            </w:tcBorders>
            <w:vAlign w:val="center"/>
          </w:tcPr>
          <w:p>
            <w:pPr>
              <w:pStyle w:val="41"/>
              <w:keepNext w:val="0"/>
              <w:keepLines w:val="0"/>
              <w:pageBreakBefore w:val="0"/>
              <w:kinsoku/>
              <w:wordWrap/>
              <w:bidi w:val="0"/>
              <w:snapToGrid/>
              <w:spacing w:line="240" w:lineRule="auto"/>
            </w:pPr>
            <w:r>
              <w:rPr>
                <w:b/>
                <w:bCs/>
                <w:szCs w:val="21"/>
              </w:rPr>
              <w:t>芜湖新兴铸管实际建设情况</w:t>
            </w:r>
          </w:p>
        </w:tc>
        <w:tc>
          <w:tcPr>
            <w:tcW w:w="1201" w:type="dxa"/>
            <w:tcBorders>
              <w:tl2br w:val="nil"/>
              <w:tr2bl w:val="nil"/>
            </w:tcBorders>
            <w:vAlign w:val="center"/>
          </w:tcPr>
          <w:p>
            <w:pPr>
              <w:pStyle w:val="41"/>
              <w:keepNext w:val="0"/>
              <w:keepLines w:val="0"/>
              <w:pageBreakBefore w:val="0"/>
              <w:kinsoku/>
              <w:wordWrap/>
              <w:bidi w:val="0"/>
              <w:snapToGrid/>
              <w:spacing w:line="240" w:lineRule="auto"/>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83" w:hRule="atLeast"/>
          <w:jc w:val="center"/>
        </w:trPr>
        <w:tc>
          <w:tcPr>
            <w:tcW w:w="771" w:type="dxa"/>
            <w:tcBorders>
              <w:tl2br w:val="nil"/>
              <w:tr2bl w:val="nil"/>
            </w:tcBorders>
            <w:vAlign w:val="center"/>
          </w:tcPr>
          <w:p>
            <w:pPr>
              <w:pStyle w:val="41"/>
              <w:keepNext w:val="0"/>
              <w:keepLines w:val="0"/>
              <w:pageBreakBefore w:val="0"/>
              <w:kinsoku/>
              <w:wordWrap/>
              <w:bidi w:val="0"/>
              <w:snapToGrid/>
              <w:spacing w:line="240" w:lineRule="auto"/>
            </w:pPr>
            <w:r>
              <w:t>1</w:t>
            </w:r>
          </w:p>
        </w:tc>
        <w:tc>
          <w:tcPr>
            <w:tcW w:w="3645" w:type="dxa"/>
            <w:tcBorders>
              <w:tl2br w:val="nil"/>
              <w:tr2bl w:val="nil"/>
            </w:tcBorders>
            <w:shd w:val="clear" w:color="auto" w:fill="auto"/>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eastAsia="zh-CN"/>
              </w:rPr>
              <w:t>严格控制高耗能水行业发展。以供给侧结构性改革为契机，倒逼钢铁、造纸、纺织。火电等高耗水行业化解过剩产能，严禁新增产能</w:t>
            </w:r>
          </w:p>
        </w:tc>
        <w:tc>
          <w:tcPr>
            <w:tcW w:w="3454" w:type="dxa"/>
            <w:tcBorders>
              <w:tl2br w:val="nil"/>
              <w:tr2bl w:val="nil"/>
            </w:tcBorders>
            <w:shd w:val="clear" w:color="auto" w:fill="auto"/>
            <w:vAlign w:val="center"/>
          </w:tcPr>
          <w:p>
            <w:pPr>
              <w:pStyle w:val="41"/>
              <w:keepNext w:val="0"/>
              <w:keepLines w:val="0"/>
              <w:pageBreakBefore w:val="0"/>
              <w:kinsoku/>
              <w:wordWrap/>
              <w:bidi w:val="0"/>
              <w:snapToGrid/>
              <w:spacing w:line="240" w:lineRule="auto"/>
            </w:pPr>
            <w:r>
              <w:rPr>
                <w:szCs w:val="21"/>
              </w:rPr>
              <w:t>厂区自搬迁芜湖三山经济开发区后，未新增产能，目前根据《国家发展改革委工业和信息化部关于印发对钢铁、电解铝、船舶行业违规项目清理意见的通知》（发改产业[2015]1494号）及《安徽省发展改革委安徽省经济和信息化委转发国家发展改革委工业和信息化部关于印发对钢铁电解铝船舶行业违规项目清理意见的通知》，厂区认定炼铁产能198万吨/年、炼钢产能</w:t>
            </w:r>
            <w:r>
              <w:rPr>
                <w:rFonts w:hint="eastAsia"/>
                <w:szCs w:val="21"/>
                <w:lang w:val="en-US" w:eastAsia="zh-CN"/>
              </w:rPr>
              <w:t>150</w:t>
            </w:r>
            <w:r>
              <w:rPr>
                <w:szCs w:val="21"/>
              </w:rPr>
              <w:t>万吨/年</w:t>
            </w:r>
          </w:p>
        </w:tc>
        <w:tc>
          <w:tcPr>
            <w:tcW w:w="1201" w:type="dxa"/>
            <w:tcBorders>
              <w:tl2br w:val="nil"/>
              <w:tr2bl w:val="nil"/>
            </w:tcBorders>
            <w:shd w:val="clear" w:color="auto" w:fill="auto"/>
            <w:vAlign w:val="center"/>
          </w:tcPr>
          <w:p>
            <w:pPr>
              <w:pStyle w:val="41"/>
              <w:keepNext w:val="0"/>
              <w:keepLines w:val="0"/>
              <w:pageBreakBefore w:val="0"/>
              <w:kinsoku/>
              <w:wordWrap/>
              <w:bidi w:val="0"/>
              <w:snapToGrid/>
              <w:spacing w:line="240" w:lineRule="auto"/>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83" w:hRule="atLeast"/>
          <w:jc w:val="center"/>
        </w:trPr>
        <w:tc>
          <w:tcPr>
            <w:tcW w:w="771" w:type="dxa"/>
            <w:tcBorders>
              <w:tl2br w:val="nil"/>
              <w:tr2bl w:val="nil"/>
            </w:tcBorders>
            <w:vAlign w:val="center"/>
          </w:tcPr>
          <w:p>
            <w:pPr>
              <w:pStyle w:val="41"/>
              <w:keepNext w:val="0"/>
              <w:keepLines w:val="0"/>
              <w:pageBreakBefore w:val="0"/>
              <w:kinsoku/>
              <w:wordWrap/>
              <w:bidi w:val="0"/>
              <w:snapToGrid/>
              <w:spacing w:line="240" w:lineRule="auto"/>
            </w:pPr>
            <w:r>
              <w:t>2</w:t>
            </w:r>
          </w:p>
        </w:tc>
        <w:tc>
          <w:tcPr>
            <w:tcW w:w="3645" w:type="dxa"/>
            <w:tcBorders>
              <w:tl2br w:val="nil"/>
              <w:tr2bl w:val="nil"/>
            </w:tcBorders>
            <w:shd w:val="clear" w:color="auto" w:fill="auto"/>
            <w:vAlign w:val="center"/>
          </w:tcPr>
          <w:p>
            <w:pPr>
              <w:pStyle w:val="41"/>
              <w:keepNext w:val="0"/>
              <w:keepLines w:val="0"/>
              <w:pageBreakBefore w:val="0"/>
              <w:kinsoku/>
              <w:wordWrap/>
              <w:bidi w:val="0"/>
              <w:snapToGrid/>
              <w:spacing w:line="240" w:lineRule="auto"/>
              <w:rPr>
                <w:rFonts w:hint="default" w:eastAsia="宋体"/>
                <w:lang w:val="en-US" w:eastAsia="zh-CN"/>
              </w:rPr>
            </w:pPr>
            <w:r>
              <w:rPr>
                <w:rFonts w:hint="eastAsia"/>
                <w:lang w:eastAsia="zh-CN"/>
              </w:rPr>
              <w:t>实施城市空气质量达标计划。</w:t>
            </w:r>
            <w:r>
              <w:rPr>
                <w:rFonts w:hint="eastAsia"/>
                <w:lang w:val="en-US" w:eastAsia="zh-CN"/>
              </w:rPr>
              <w:t>钢铁行业烧结机脱硫改造等</w:t>
            </w:r>
          </w:p>
        </w:tc>
        <w:tc>
          <w:tcPr>
            <w:tcW w:w="3454" w:type="dxa"/>
            <w:tcBorders>
              <w:tl2br w:val="nil"/>
              <w:tr2bl w:val="nil"/>
            </w:tcBorders>
            <w:vAlign w:val="center"/>
          </w:tcPr>
          <w:p>
            <w:pPr>
              <w:keepNext w:val="0"/>
              <w:keepLines w:val="0"/>
              <w:pageBreakBefore w:val="0"/>
              <w:kinsoku/>
              <w:wordWrap/>
              <w:bidi w:val="0"/>
              <w:snapToGrid/>
              <w:jc w:val="center"/>
            </w:pPr>
            <w:r>
              <w:rPr>
                <w:rFonts w:hint="eastAsia" w:ascii="Times New Roman" w:hAnsi="Times New Roman" w:eastAsia="宋体" w:cs="Times New Roman"/>
                <w:kern w:val="0"/>
                <w:sz w:val="21"/>
                <w:szCs w:val="21"/>
                <w:lang w:val="en-US" w:eastAsia="zh-CN" w:bidi="ar-SA"/>
              </w:rPr>
              <w:t>厂区烧结技改工序于</w:t>
            </w:r>
            <w:r>
              <w:rPr>
                <w:rFonts w:ascii="Times New Roman" w:hAnsi="Times New Roman" w:eastAsia="宋体" w:cs="Times New Roman"/>
                <w:kern w:val="0"/>
                <w:sz w:val="21"/>
                <w:szCs w:val="21"/>
                <w:lang w:val="en-US" w:eastAsia="zh-CN" w:bidi="ar-SA"/>
              </w:rPr>
              <w:t>2016年11月23日</w:t>
            </w:r>
            <w:r>
              <w:rPr>
                <w:rFonts w:hint="eastAsia" w:ascii="Times New Roman" w:hAnsi="Times New Roman" w:eastAsia="宋体" w:cs="Times New Roman"/>
                <w:kern w:val="0"/>
                <w:sz w:val="21"/>
                <w:szCs w:val="21"/>
                <w:lang w:val="en-US" w:eastAsia="zh-CN" w:bidi="ar-SA"/>
              </w:rPr>
              <w:t>获得环评批复（</w:t>
            </w:r>
            <w:r>
              <w:rPr>
                <w:rFonts w:ascii="Times New Roman" w:hAnsi="Times New Roman" w:eastAsia="宋体" w:cs="Times New Roman"/>
                <w:kern w:val="0"/>
                <w:sz w:val="21"/>
                <w:szCs w:val="21"/>
                <w:lang w:val="en-US" w:eastAsia="zh-CN" w:bidi="ar-SA"/>
              </w:rPr>
              <w:t>芜湖市环保局 环行审[2016]79号</w:t>
            </w:r>
            <w:r>
              <w:rPr>
                <w:rFonts w:hint="eastAsia" w:ascii="Times New Roman" w:hAnsi="Times New Roman" w:eastAsia="宋体" w:cs="Times New Roman"/>
                <w:kern w:val="0"/>
                <w:sz w:val="21"/>
                <w:szCs w:val="21"/>
                <w:lang w:val="en-US" w:eastAsia="zh-CN" w:bidi="ar-SA"/>
              </w:rPr>
              <w:t>），技改后</w:t>
            </w:r>
            <w:r>
              <w:rPr>
                <w:rFonts w:ascii="Times New Roman" w:hAnsi="Times New Roman" w:eastAsia="宋体" w:cs="Times New Roman"/>
                <w:kern w:val="0"/>
                <w:sz w:val="21"/>
                <w:szCs w:val="21"/>
                <w:lang w:val="en-US" w:eastAsia="zh-CN" w:bidi="ar-SA"/>
              </w:rPr>
              <w:t>厂区烧结机机头烟气采用1套双室四电场静电除尘器净化，再经石灰石-石膏湿法脱硫、H2-SCR脱硝后由高70m烟囱排放</w:t>
            </w:r>
          </w:p>
        </w:tc>
        <w:tc>
          <w:tcPr>
            <w:tcW w:w="1201" w:type="dxa"/>
            <w:tcBorders>
              <w:tl2br w:val="nil"/>
              <w:tr2bl w:val="nil"/>
            </w:tcBorders>
            <w:vAlign w:val="center"/>
          </w:tcPr>
          <w:p>
            <w:pPr>
              <w:pStyle w:val="41"/>
              <w:keepNext w:val="0"/>
              <w:keepLines w:val="0"/>
              <w:pageBreakBefore w:val="0"/>
              <w:kinsoku/>
              <w:wordWrap/>
              <w:bidi w:val="0"/>
              <w:snapToGrid/>
              <w:spacing w:line="240" w:lineRule="auto"/>
            </w:pPr>
            <w:r>
              <w:t>符合</w:t>
            </w:r>
          </w:p>
        </w:tc>
      </w:tr>
    </w:tbl>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w:t>
      </w:r>
      <w:r>
        <w:rPr>
          <w:rFonts w:hint="eastAsia" w:ascii="Times New Roman"/>
          <w:b w:val="0"/>
          <w:lang w:val="en-US" w:eastAsia="zh-CN"/>
        </w:rPr>
        <w:t>0</w:t>
      </w:r>
      <w:r>
        <w:rPr>
          <w:rFonts w:ascii="Times New Roman"/>
          <w:b w:val="0"/>
        </w:rPr>
        <w:t>.3环境管理政策符合性分析</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.3.1与《国务院关于印发水污染防治行动计划的通知》相符性分析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芜湖新兴铸管厂区与《国务院关于印发水污染防治行动计划的通知》（国发[2015]17号）符合性分析见表1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.3-1。由表可知，厂区的建设符合相关要求。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.3-1  与《国务院关于印发水污染防治行动计划的通知》相符性分析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320"/>
        <w:gridCol w:w="4110"/>
        <w:gridCol w:w="1936"/>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序号</w:t>
            </w:r>
          </w:p>
        </w:tc>
        <w:tc>
          <w:tcPr>
            <w:tcW w:w="5430" w:type="dxa"/>
            <w:gridSpan w:val="2"/>
            <w:tcBorders>
              <w:tl2br w:val="nil"/>
              <w:tr2bl w:val="nil"/>
            </w:tcBorders>
            <w:vAlign w:val="center"/>
          </w:tcPr>
          <w:p>
            <w:pPr>
              <w:pStyle w:val="31"/>
              <w:keepNext w:val="0"/>
              <w:keepLines w:val="0"/>
              <w:pageBreakBefore w:val="0"/>
              <w:kinsoku/>
              <w:wordWrap/>
              <w:bidi w:val="0"/>
              <w:snapToGrid/>
              <w:spacing w:line="240" w:lineRule="auto"/>
              <w:rPr>
                <w:rFonts w:cs="Times New Roman"/>
                <w:b/>
                <w:bCs/>
              </w:rPr>
            </w:pPr>
            <w:r>
              <w:rPr>
                <w:rFonts w:eastAsia="宋体" w:cs="Times New Roman"/>
                <w:b/>
                <w:bCs/>
                <w:sz w:val="21"/>
                <w:szCs w:val="21"/>
              </w:rPr>
              <w:t>文件内容要求</w:t>
            </w:r>
          </w:p>
        </w:tc>
        <w:tc>
          <w:tcPr>
            <w:tcW w:w="1936"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1"/>
              </w:rPr>
              <w:t>芜湖新兴铸管实际建设情况</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1</w:t>
            </w:r>
          </w:p>
        </w:tc>
        <w:tc>
          <w:tcPr>
            <w:tcW w:w="1320" w:type="dxa"/>
            <w:tcBorders>
              <w:tl2br w:val="nil"/>
              <w:tr2bl w:val="nil"/>
            </w:tcBorders>
            <w:vAlign w:val="center"/>
          </w:tcPr>
          <w:p>
            <w:pPr>
              <w:pStyle w:val="41"/>
              <w:keepNext w:val="0"/>
              <w:keepLines w:val="0"/>
              <w:pageBreakBefore w:val="0"/>
              <w:kinsoku/>
              <w:wordWrap/>
              <w:bidi w:val="0"/>
              <w:adjustRightInd w:val="0"/>
              <w:snapToGrid/>
              <w:spacing w:line="240" w:lineRule="auto"/>
              <w:rPr>
                <w:szCs w:val="22"/>
              </w:rPr>
            </w:pPr>
            <w:r>
              <w:rPr>
                <w:shd w:val="clear" w:color="auto" w:fill="FFFFFF"/>
              </w:rPr>
              <w:t>一、全面控制污染物排放</w:t>
            </w:r>
          </w:p>
        </w:tc>
        <w:tc>
          <w:tcPr>
            <w:tcW w:w="4110" w:type="dxa"/>
            <w:tcBorders>
              <w:tl2br w:val="nil"/>
              <w:tr2bl w:val="nil"/>
            </w:tcBorders>
            <w:vAlign w:val="center"/>
          </w:tcPr>
          <w:p>
            <w:pPr>
              <w:pStyle w:val="41"/>
              <w:keepNext w:val="0"/>
              <w:keepLines w:val="0"/>
              <w:pageBreakBefore w:val="0"/>
              <w:kinsoku/>
              <w:wordWrap/>
              <w:bidi w:val="0"/>
              <w:adjustRightInd w:val="0"/>
              <w:snapToGrid/>
              <w:spacing w:line="240" w:lineRule="auto"/>
              <w:rPr>
                <w:shd w:val="clear" w:color="auto" w:fill="FFFFFF"/>
              </w:rPr>
            </w:pPr>
            <w:r>
              <w:rPr>
                <w:shd w:val="clear" w:color="auto" w:fill="FFFFFF"/>
              </w:rPr>
              <w:t>2016年底前，按照水污染防治法律法规要求，全部取缔不符合国家产业政策的小型造纸、制革、印染、染料、炼焦、炼硫、炼砷、炼油、电镀、农药等严重污染水环境的生产项目；</w:t>
            </w:r>
          </w:p>
          <w:p>
            <w:pPr>
              <w:pStyle w:val="41"/>
              <w:keepNext w:val="0"/>
              <w:keepLines w:val="0"/>
              <w:pageBreakBefore w:val="0"/>
              <w:kinsoku/>
              <w:wordWrap/>
              <w:bidi w:val="0"/>
              <w:adjustRightInd w:val="0"/>
              <w:snapToGrid/>
              <w:spacing w:line="240" w:lineRule="auto"/>
              <w:rPr>
                <w:szCs w:val="22"/>
              </w:rPr>
            </w:pPr>
            <w:r>
              <w:rPr>
                <w:shd w:val="clear" w:color="auto" w:fill="FFFFFF"/>
              </w:rPr>
              <w:t>2017年底前，钢铁企业焦炉完成干熄焦技术改造</w:t>
            </w:r>
          </w:p>
        </w:tc>
        <w:tc>
          <w:tcPr>
            <w:tcW w:w="1936" w:type="dxa"/>
            <w:tcBorders>
              <w:tl2br w:val="nil"/>
              <w:tr2bl w:val="nil"/>
            </w:tcBorders>
            <w:vAlign w:val="center"/>
          </w:tcPr>
          <w:p>
            <w:pPr>
              <w:pStyle w:val="41"/>
              <w:keepNext w:val="0"/>
              <w:keepLines w:val="0"/>
              <w:pageBreakBefore w:val="0"/>
              <w:kinsoku/>
              <w:wordWrap/>
              <w:bidi w:val="0"/>
              <w:adjustRightInd w:val="0"/>
              <w:snapToGrid/>
              <w:spacing w:line="240" w:lineRule="auto"/>
              <w:rPr>
                <w:szCs w:val="22"/>
              </w:rPr>
            </w:pPr>
            <w:r>
              <w:rPr>
                <w:bCs/>
              </w:rPr>
              <w:t>厂区焦化采用干熄焦工艺</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2</w:t>
            </w:r>
          </w:p>
        </w:tc>
        <w:tc>
          <w:tcPr>
            <w:tcW w:w="1320" w:type="dxa"/>
            <w:tcBorders>
              <w:tl2br w:val="nil"/>
              <w:tr2bl w:val="nil"/>
            </w:tcBorders>
            <w:vAlign w:val="center"/>
          </w:tcPr>
          <w:p>
            <w:pPr>
              <w:pStyle w:val="41"/>
              <w:keepNext w:val="0"/>
              <w:keepLines w:val="0"/>
              <w:pageBreakBefore w:val="0"/>
              <w:kinsoku/>
              <w:wordWrap/>
              <w:bidi w:val="0"/>
              <w:adjustRightInd w:val="0"/>
              <w:snapToGrid/>
              <w:spacing w:line="240" w:lineRule="auto"/>
              <w:rPr>
                <w:szCs w:val="22"/>
              </w:rPr>
            </w:pPr>
            <w:r>
              <w:t>二、</w:t>
            </w:r>
            <w:r>
              <w:rPr>
                <w:shd w:val="clear" w:color="auto" w:fill="FFFFFF"/>
              </w:rPr>
              <w:t>推动经济结构转型升级</w:t>
            </w:r>
          </w:p>
        </w:tc>
        <w:tc>
          <w:tcPr>
            <w:tcW w:w="4110" w:type="dxa"/>
            <w:tcBorders>
              <w:tl2br w:val="nil"/>
              <w:tr2bl w:val="nil"/>
            </w:tcBorders>
            <w:vAlign w:val="center"/>
          </w:tcPr>
          <w:p>
            <w:pPr>
              <w:pStyle w:val="41"/>
              <w:keepNext w:val="0"/>
              <w:keepLines w:val="0"/>
              <w:pageBreakBefore w:val="0"/>
              <w:kinsoku/>
              <w:wordWrap/>
              <w:bidi w:val="0"/>
              <w:adjustRightInd w:val="0"/>
              <w:snapToGrid/>
              <w:spacing w:line="240" w:lineRule="auto"/>
              <w:rPr>
                <w:shd w:val="clear" w:color="auto" w:fill="FFFFFF"/>
              </w:rPr>
            </w:pPr>
            <w:r>
              <w:rPr>
                <w:shd w:val="clear" w:color="auto" w:fill="FFFFFF"/>
              </w:rPr>
              <w:t>调整产业结构。依法淘汰落后产能。自2015年起，各地要依据部分工业行业淘汰落后生产工艺装备和产品指导目录、产业结构调整指导目录及相关行业污染物排放标准，结合水质改善要求及产业发展情况，制定并实施分年度的落后产能淘汰方案，报工业和信息化部、环境保护部备案。</w:t>
            </w:r>
          </w:p>
          <w:p>
            <w:pPr>
              <w:pStyle w:val="41"/>
              <w:keepNext w:val="0"/>
              <w:keepLines w:val="0"/>
              <w:pageBreakBefore w:val="0"/>
              <w:kinsoku/>
              <w:wordWrap/>
              <w:bidi w:val="0"/>
              <w:adjustRightInd w:val="0"/>
              <w:snapToGrid/>
              <w:spacing w:line="240" w:lineRule="auto"/>
              <w:rPr>
                <w:szCs w:val="22"/>
              </w:rPr>
            </w:pPr>
            <w:r>
              <w:rPr>
                <w:shd w:val="clear" w:color="auto" w:fill="FFFFFF"/>
              </w:rPr>
              <w:t>推进循环发展。加强工业水循环利用。推进矿井水综合利用，煤炭矿区的补充用水、周边地区生产和生态用水应优先使用矿井水，加强洗煤废水循环利用。鼓励钢铁、纺织印染、造纸、石油石化、化工、制革等高耗水企业废水深度处理回用</w:t>
            </w:r>
          </w:p>
        </w:tc>
        <w:tc>
          <w:tcPr>
            <w:tcW w:w="1936" w:type="dxa"/>
            <w:tcBorders>
              <w:tl2br w:val="nil"/>
              <w:tr2bl w:val="nil"/>
            </w:tcBorders>
            <w:vAlign w:val="center"/>
          </w:tcPr>
          <w:p>
            <w:pPr>
              <w:pStyle w:val="41"/>
              <w:keepNext w:val="0"/>
              <w:keepLines w:val="0"/>
              <w:pageBreakBefore w:val="0"/>
              <w:kinsoku/>
              <w:wordWrap/>
              <w:bidi w:val="0"/>
              <w:adjustRightInd w:val="0"/>
              <w:snapToGrid/>
              <w:spacing w:line="240" w:lineRule="auto"/>
              <w:rPr>
                <w:bCs/>
              </w:rPr>
            </w:pPr>
            <w:r>
              <w:rPr>
                <w:bCs/>
              </w:rPr>
              <w:t>厂区生产设施均不属于落后生产工艺装备。</w:t>
            </w:r>
          </w:p>
          <w:p>
            <w:pPr>
              <w:pStyle w:val="41"/>
              <w:keepNext w:val="0"/>
              <w:keepLines w:val="0"/>
              <w:pageBreakBefore w:val="0"/>
              <w:kinsoku/>
              <w:wordWrap/>
              <w:bidi w:val="0"/>
              <w:adjustRightInd w:val="0"/>
              <w:snapToGrid/>
              <w:spacing w:line="240" w:lineRule="auto"/>
              <w:rPr>
                <w:szCs w:val="22"/>
              </w:rPr>
            </w:pPr>
            <w:r>
              <w:rPr>
                <w:bCs/>
              </w:rPr>
              <w:t>厂区</w:t>
            </w:r>
            <w:r>
              <w:t>各生产工序产生的废水经各自的水处理系统处理后大部分循环使用，少量排入全厂综合污水处理中心，经统一处理后全部回用，不外排</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3</w:t>
            </w:r>
          </w:p>
        </w:tc>
        <w:tc>
          <w:tcPr>
            <w:tcW w:w="1320" w:type="dxa"/>
            <w:tcBorders>
              <w:tl2br w:val="nil"/>
              <w:tr2bl w:val="nil"/>
            </w:tcBorders>
            <w:vAlign w:val="center"/>
          </w:tcPr>
          <w:p>
            <w:pPr>
              <w:pStyle w:val="41"/>
              <w:keepNext w:val="0"/>
              <w:keepLines w:val="0"/>
              <w:pageBreakBefore w:val="0"/>
              <w:kinsoku/>
              <w:wordWrap/>
              <w:bidi w:val="0"/>
              <w:adjustRightInd w:val="0"/>
              <w:snapToGrid/>
              <w:spacing w:line="240" w:lineRule="auto"/>
              <w:rPr>
                <w:szCs w:val="22"/>
              </w:rPr>
            </w:pPr>
            <w:r>
              <w:rPr>
                <w:shd w:val="clear" w:color="auto" w:fill="FFFFFF"/>
              </w:rPr>
              <w:t>三、着力节约保护水资源</w:t>
            </w:r>
          </w:p>
        </w:tc>
        <w:tc>
          <w:tcPr>
            <w:tcW w:w="4110" w:type="dxa"/>
            <w:tcBorders>
              <w:tl2br w:val="nil"/>
              <w:tr2bl w:val="nil"/>
            </w:tcBorders>
            <w:vAlign w:val="center"/>
          </w:tcPr>
          <w:p>
            <w:pPr>
              <w:pStyle w:val="41"/>
              <w:keepNext w:val="0"/>
              <w:keepLines w:val="0"/>
              <w:pageBreakBefore w:val="0"/>
              <w:kinsoku/>
              <w:wordWrap/>
              <w:bidi w:val="0"/>
              <w:adjustRightInd w:val="0"/>
              <w:snapToGrid/>
              <w:spacing w:line="240" w:lineRule="auto"/>
              <w:rPr>
                <w:shd w:val="clear" w:color="auto" w:fill="FFFFFF"/>
              </w:rPr>
            </w:pPr>
            <w:r>
              <w:rPr>
                <w:shd w:val="clear" w:color="auto" w:fill="FFFFFF"/>
              </w:rPr>
              <w:t>（八）控制用水总量。实施最严格水资源管理。健全取用水总量控制指标体系。加强相关规划和项目建设布局水资源论证工作，国民经济和社会发展规划以及城市总体规划的编制、重大建设项目的布局，应充分考虑当地水资源条件和防洪要求。对取用水总量已达到或超过控制指标的地区，暂停审批其建设项目新增取水许可。对纳入取水许可管理的单位和其他用水大户实行计划用水管理。新建、改建、扩建项目用水要达到行业先进水平，节水设施应与主体工程同时设计、同时施工、同时投运。</w:t>
            </w:r>
          </w:p>
          <w:p>
            <w:pPr>
              <w:pStyle w:val="41"/>
              <w:keepNext w:val="0"/>
              <w:keepLines w:val="0"/>
              <w:pageBreakBefore w:val="0"/>
              <w:kinsoku/>
              <w:wordWrap/>
              <w:bidi w:val="0"/>
              <w:adjustRightInd w:val="0"/>
              <w:snapToGrid/>
              <w:spacing w:line="240" w:lineRule="auto"/>
            </w:pPr>
            <w:r>
              <w:t>严控地下水超采。在地面沉降、地裂缝、岩溶塌陷等地质灾害易发区开发利用地下水，应进行地质灾害危险性评估。严格控制开采深层承压水，地热水、矿泉水开发应严格实行取水许可和采矿许可。依法规范机井建设管理，排查登记已建机井，未经批准的和公共供水管网覆盖范围内的自备水井，一律予以关闭。编制地面沉降区、海水入侵区等区域地下水压采方案。开展华北地下水超采区综合治理，超采区内禁止工农业生产及服务业新增取用地下水。京津冀区域实施土地整治、农业开发、扶贫等农业基础设施项目，不得以配套打井为条件。2017年底前，完成地下水禁采区、限采区和地面沉降控制区范围划定工作，京津冀、长三角、珠三角等区域提前一年完成。</w:t>
            </w:r>
          </w:p>
          <w:p>
            <w:pPr>
              <w:pStyle w:val="41"/>
              <w:keepNext w:val="0"/>
              <w:keepLines w:val="0"/>
              <w:pageBreakBefore w:val="0"/>
              <w:kinsoku/>
              <w:wordWrap/>
              <w:bidi w:val="0"/>
              <w:adjustRightInd w:val="0"/>
              <w:snapToGrid/>
              <w:spacing w:line="240" w:lineRule="auto"/>
            </w:pPr>
            <w:r>
              <w:t>（九）提高用水效率。建立万元国内生产总值水耗指标等用水效率评估体系，把节水目标任务完成情况纳入地方政府政绩考核。将再生水、雨水和微咸水等非常规水源纳入水资源统一配置。到2020年，全国万元国内生产总值用水量、万元工业增加值用水量比2013年分别下降35%、30%以上。</w:t>
            </w:r>
          </w:p>
          <w:p>
            <w:pPr>
              <w:pStyle w:val="41"/>
              <w:keepNext w:val="0"/>
              <w:keepLines w:val="0"/>
              <w:pageBreakBefore w:val="0"/>
              <w:kinsoku/>
              <w:wordWrap/>
              <w:bidi w:val="0"/>
              <w:adjustRightInd w:val="0"/>
              <w:snapToGrid/>
              <w:spacing w:line="240" w:lineRule="auto"/>
              <w:rPr>
                <w:szCs w:val="22"/>
              </w:rPr>
            </w:pPr>
            <w:r>
              <w:t>抓好工业节水。制定国家鼓励和淘汰的用水技术、工艺、产品和设备目录，完善高耗水行业取用水定额标准。开展节水诊断、水平衡测试、用水效率评估，严格用水定额管理。到2020年，电力、钢铁、纺织、造纸、石油石化、化工、食品发酵等高耗水行业达到先进定额标准</w:t>
            </w:r>
          </w:p>
        </w:tc>
        <w:tc>
          <w:tcPr>
            <w:tcW w:w="1936" w:type="dxa"/>
            <w:tcBorders>
              <w:tl2br w:val="nil"/>
              <w:tr2bl w:val="nil"/>
            </w:tcBorders>
            <w:vAlign w:val="center"/>
          </w:tcPr>
          <w:p>
            <w:pPr>
              <w:pStyle w:val="41"/>
              <w:keepNext w:val="0"/>
              <w:keepLines w:val="0"/>
              <w:pageBreakBefore w:val="0"/>
              <w:kinsoku/>
              <w:wordWrap/>
              <w:bidi w:val="0"/>
              <w:adjustRightInd w:val="0"/>
              <w:snapToGrid/>
              <w:spacing w:line="240" w:lineRule="auto"/>
            </w:pPr>
            <w:r>
              <w:t>厂区生产水源来自长江及综合污水处理站回用水，生活水源为市政自来水公司，不取用地下水资源。</w:t>
            </w:r>
          </w:p>
          <w:p>
            <w:pPr>
              <w:pStyle w:val="41"/>
              <w:keepNext w:val="0"/>
              <w:keepLines w:val="0"/>
              <w:pageBreakBefore w:val="0"/>
              <w:kinsoku/>
              <w:wordWrap/>
              <w:bidi w:val="0"/>
              <w:adjustRightInd w:val="0"/>
              <w:snapToGrid/>
              <w:spacing w:line="240" w:lineRule="auto"/>
              <w:rPr>
                <w:szCs w:val="22"/>
              </w:rPr>
            </w:pPr>
            <w:r>
              <w:t>厂区生产废水、生活污水经全厂综合污水处理中心处理后全部回用，不外</w:t>
            </w:r>
            <w:r>
              <w:rPr>
                <w:highlight w:val="none"/>
              </w:rPr>
              <w:t>排，水重复利用率为97.</w:t>
            </w:r>
            <w:r>
              <w:rPr>
                <w:rFonts w:hint="eastAsia"/>
                <w:highlight w:val="none"/>
                <w:lang w:val="en-US" w:eastAsia="zh-CN"/>
              </w:rPr>
              <w:t>89</w:t>
            </w:r>
            <w:r>
              <w:rPr>
                <w:highlight w:val="none"/>
              </w:rPr>
              <w:t>%</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.3.2与《国务院关于印发大气污染防治行动计划的通知》相符性分析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芜湖新兴铸管厂区与《国务院关于印发大气污染防治行动计划的通知》（国发[2013]37号）符合性分析见表1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.3-2。由表可知，厂区的建设符合相关要求。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.3-2  与《国务院关于印发大气污染防治行动计划的通知》相符性分析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320"/>
        <w:gridCol w:w="4145"/>
        <w:gridCol w:w="1901"/>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序号</w:t>
            </w:r>
          </w:p>
        </w:tc>
        <w:tc>
          <w:tcPr>
            <w:tcW w:w="5465" w:type="dxa"/>
            <w:gridSpan w:val="2"/>
            <w:tcBorders>
              <w:tl2br w:val="nil"/>
              <w:tr2bl w:val="nil"/>
            </w:tcBorders>
            <w:vAlign w:val="center"/>
          </w:tcPr>
          <w:p>
            <w:pPr>
              <w:pStyle w:val="31"/>
              <w:keepNext w:val="0"/>
              <w:keepLines w:val="0"/>
              <w:pageBreakBefore w:val="0"/>
              <w:kinsoku/>
              <w:wordWrap/>
              <w:bidi w:val="0"/>
              <w:snapToGrid/>
              <w:spacing w:line="240" w:lineRule="auto"/>
              <w:rPr>
                <w:rFonts w:cs="Times New Roman"/>
                <w:b/>
                <w:bCs/>
              </w:rPr>
            </w:pPr>
            <w:r>
              <w:rPr>
                <w:rFonts w:eastAsia="宋体" w:cs="Times New Roman"/>
                <w:b/>
                <w:bCs/>
                <w:sz w:val="21"/>
                <w:szCs w:val="21"/>
              </w:rPr>
              <w:t>文件内容要求</w:t>
            </w:r>
          </w:p>
        </w:tc>
        <w:tc>
          <w:tcPr>
            <w:tcW w:w="1901"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1"/>
              </w:rPr>
              <w:t>芜湖新兴铸管实际建设情况</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1</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hd w:val="clear" w:color="auto" w:fill="FFFFFF"/>
              </w:rPr>
              <w:t>一、加大综合治理力度，减少多污染物排放</w:t>
            </w:r>
          </w:p>
        </w:tc>
        <w:tc>
          <w:tcPr>
            <w:tcW w:w="4145" w:type="dxa"/>
            <w:tcBorders>
              <w:tl2br w:val="nil"/>
              <w:tr2bl w:val="nil"/>
            </w:tcBorders>
            <w:vAlign w:val="center"/>
          </w:tcPr>
          <w:p>
            <w:pPr>
              <w:pStyle w:val="41"/>
              <w:keepNext w:val="0"/>
              <w:keepLines w:val="0"/>
              <w:pageBreakBefore w:val="0"/>
              <w:kinsoku/>
              <w:wordWrap/>
              <w:bidi w:val="0"/>
              <w:snapToGrid/>
              <w:spacing w:line="240" w:lineRule="auto"/>
            </w:pPr>
            <w:r>
              <w:t>（一）加强工业企业大气污染综合治理。全面整治燃煤小锅炉；</w:t>
            </w:r>
          </w:p>
          <w:p>
            <w:pPr>
              <w:pStyle w:val="41"/>
              <w:keepNext w:val="0"/>
              <w:keepLines w:val="0"/>
              <w:pageBreakBefore w:val="0"/>
              <w:kinsoku/>
              <w:wordWrap/>
              <w:bidi w:val="0"/>
              <w:snapToGrid/>
              <w:spacing w:line="240" w:lineRule="auto"/>
              <w:ind w:firstLine="405"/>
            </w:pPr>
            <w:r>
              <w:t>加快重点行业脱硫、脱硝、除尘改造工程建设。所有燃煤电厂、钢铁企业的烧结机和球团生产设备、石油炼制企业的催化裂化装置、有色金属冶炼企业都要安装脱硫设施；</w:t>
            </w:r>
          </w:p>
          <w:p>
            <w:pPr>
              <w:pStyle w:val="41"/>
              <w:keepNext w:val="0"/>
              <w:keepLines w:val="0"/>
              <w:pageBreakBefore w:val="0"/>
              <w:kinsoku/>
              <w:wordWrap/>
              <w:bidi w:val="0"/>
              <w:snapToGrid/>
              <w:spacing w:line="240" w:lineRule="auto"/>
              <w:rPr>
                <w:szCs w:val="22"/>
              </w:rPr>
            </w:pPr>
            <w:r>
              <w:t>（二）深化面源污染治理。大型煤堆、料堆要实现封闭储存或建设防风抑尘设施。推进城市及周边绿化和防风防沙林建设，扩大城市建成区绿地规模</w:t>
            </w:r>
          </w:p>
        </w:tc>
        <w:tc>
          <w:tcPr>
            <w:tcW w:w="1901" w:type="dxa"/>
            <w:tcBorders>
              <w:tl2br w:val="nil"/>
              <w:tr2bl w:val="nil"/>
            </w:tcBorders>
            <w:vAlign w:val="center"/>
          </w:tcPr>
          <w:p>
            <w:pPr>
              <w:pStyle w:val="41"/>
              <w:keepNext w:val="0"/>
              <w:keepLines w:val="0"/>
              <w:pageBreakBefore w:val="0"/>
              <w:kinsoku/>
              <w:wordWrap/>
              <w:bidi w:val="0"/>
              <w:snapToGrid/>
              <w:spacing w:line="240" w:lineRule="auto"/>
              <w:rPr>
                <w:szCs w:val="22"/>
              </w:rPr>
            </w:pPr>
            <w:r>
              <w:rPr>
                <w:bCs/>
              </w:rPr>
              <w:t>厂区不涉及燃煤锅炉。烧结机配套建设有</w:t>
            </w:r>
            <w:r>
              <w:t>石灰-石膏法脱硫及H</w:t>
            </w:r>
            <w:r>
              <w:rPr>
                <w:vertAlign w:val="subscript"/>
              </w:rPr>
              <w:t>2</w:t>
            </w:r>
            <w:r>
              <w:t>-SCR脱硝装置</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2</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zCs w:val="22"/>
              </w:rPr>
            </w:pPr>
            <w:r>
              <w:t>二、调整优化产业结构，推动产业转型升级</w:t>
            </w:r>
          </w:p>
        </w:tc>
        <w:tc>
          <w:tcPr>
            <w:tcW w:w="4145" w:type="dxa"/>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r>
              <w:rPr>
                <w:shd w:val="clear" w:color="auto" w:fill="FFFFFF"/>
              </w:rPr>
              <w:t>（四）严控“两高”行业新增产能。修订高耗能、高污染和资源性行业准入条件，明确资源能源节约和污染物排放等指标。有条件的地区要制定符合当地功能定位、严于国家要求的产业准入目录。严格控制“两高”行业新增产能，新、改、扩建项目要实行产能等量或减量置换；</w:t>
            </w:r>
          </w:p>
          <w:p>
            <w:pPr>
              <w:pStyle w:val="41"/>
              <w:keepNext w:val="0"/>
              <w:keepLines w:val="0"/>
              <w:pageBreakBefore w:val="0"/>
              <w:kinsoku/>
              <w:wordWrap/>
              <w:bidi w:val="0"/>
              <w:snapToGrid/>
              <w:spacing w:line="240" w:lineRule="auto"/>
              <w:rPr>
                <w:szCs w:val="22"/>
              </w:rPr>
            </w:pPr>
            <w:r>
              <w:t>（五）加快淘汰落后产能。结合产业发展实际和环境质量状况，进一步提高环保、能耗、安全、质量等标准，分区域明确落后产能淘汰任务，倒逼产业转型升级</w:t>
            </w:r>
          </w:p>
        </w:tc>
        <w:tc>
          <w:tcPr>
            <w:tcW w:w="1901" w:type="dxa"/>
            <w:tcBorders>
              <w:tl2br w:val="nil"/>
              <w:tr2bl w:val="nil"/>
            </w:tcBorders>
            <w:vAlign w:val="center"/>
          </w:tcPr>
          <w:p>
            <w:pPr>
              <w:pStyle w:val="41"/>
              <w:keepNext w:val="0"/>
              <w:keepLines w:val="0"/>
              <w:pageBreakBefore w:val="0"/>
              <w:kinsoku/>
              <w:wordWrap/>
              <w:bidi w:val="0"/>
              <w:snapToGrid/>
              <w:spacing w:line="240" w:lineRule="auto"/>
              <w:rPr>
                <w:bCs/>
              </w:rPr>
            </w:pPr>
            <w:r>
              <w:rPr>
                <w:bCs/>
              </w:rPr>
              <w:t>厂区属城市钢厂搬迁项目，实行的是产能等量置换。</w:t>
            </w:r>
          </w:p>
          <w:p>
            <w:pPr>
              <w:pStyle w:val="41"/>
              <w:keepNext w:val="0"/>
              <w:keepLines w:val="0"/>
              <w:pageBreakBefore w:val="0"/>
              <w:kinsoku/>
              <w:wordWrap/>
              <w:bidi w:val="0"/>
              <w:snapToGrid/>
              <w:spacing w:line="240" w:lineRule="auto"/>
              <w:rPr>
                <w:szCs w:val="22"/>
              </w:rPr>
            </w:pPr>
            <w:r>
              <w:rPr>
                <w:bCs/>
              </w:rPr>
              <w:t>厂区各生产设施均符合国家行业准入条件，污染物排放满足国家相应排放标准</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3</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zCs w:val="22"/>
              </w:rPr>
            </w:pPr>
            <w:r>
              <w:t>三、加快企业技术改造，提高科技创新能力</w:t>
            </w:r>
          </w:p>
        </w:tc>
        <w:tc>
          <w:tcPr>
            <w:tcW w:w="4145" w:type="dxa"/>
            <w:tcBorders>
              <w:tl2br w:val="nil"/>
              <w:tr2bl w:val="nil"/>
            </w:tcBorders>
            <w:vAlign w:val="center"/>
          </w:tcPr>
          <w:p>
            <w:pPr>
              <w:pStyle w:val="41"/>
              <w:keepNext w:val="0"/>
              <w:keepLines w:val="0"/>
              <w:pageBreakBefore w:val="0"/>
              <w:kinsoku/>
              <w:wordWrap/>
              <w:bidi w:val="0"/>
              <w:snapToGrid/>
              <w:spacing w:line="240" w:lineRule="auto"/>
            </w:pPr>
            <w:r>
              <w:t>（九）全面推行清洁生产。对钢铁、水泥、化工、石化、有色金属冶炼等重点行业进行清洁生产审核，针对节能减排关键领域和薄弱环节，采用先进适用的技术、工艺和装备，实施清洁生产技术改造；</w:t>
            </w:r>
          </w:p>
          <w:p>
            <w:pPr>
              <w:pStyle w:val="41"/>
              <w:keepNext w:val="0"/>
              <w:keepLines w:val="0"/>
              <w:pageBreakBefore w:val="0"/>
              <w:kinsoku/>
              <w:wordWrap/>
              <w:bidi w:val="0"/>
              <w:snapToGrid/>
              <w:spacing w:line="240" w:lineRule="auto"/>
              <w:rPr>
                <w:szCs w:val="22"/>
              </w:rPr>
            </w:pPr>
            <w:r>
              <w:t>（十）大力发展循环经济。鼓励产业集聚发展，实施园区循环化改造，推进能源梯级利用、水资源循环利用、废物交换利用、土地节约集约利用，促进企业循环式生产、园区循环式发展、产业循环式组合，构建循环型工业体系。推动水泥、钢铁等工业窑炉、高炉实施废物协同处置</w:t>
            </w:r>
          </w:p>
        </w:tc>
        <w:tc>
          <w:tcPr>
            <w:tcW w:w="1901" w:type="dxa"/>
            <w:tcBorders>
              <w:tl2br w:val="nil"/>
              <w:tr2bl w:val="nil"/>
            </w:tcBorders>
            <w:vAlign w:val="center"/>
          </w:tcPr>
          <w:p>
            <w:pPr>
              <w:pStyle w:val="41"/>
              <w:keepNext w:val="0"/>
              <w:keepLines w:val="0"/>
              <w:pageBreakBefore w:val="0"/>
              <w:kinsoku/>
              <w:wordWrap/>
              <w:bidi w:val="0"/>
              <w:snapToGrid/>
              <w:spacing w:line="240" w:lineRule="auto"/>
              <w:rPr>
                <w:szCs w:val="22"/>
              </w:rPr>
            </w:pPr>
            <w:r>
              <w:t>厂区采用了先进的清洁生产工艺，如采用烧结环冷机、转炉和加热炉烟气余热回收、采用大型化、连续化的生产设备组织生产，选用清洁的原、燃料（副产煤气）等，节约能源消耗，从源头上减少污染物的产生</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.3.3与《国务院关于印发打赢蓝天保卫战三年行动计划的通知》相符性分析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w:t>
      </w:r>
      <w:r>
        <w:rPr>
          <w:rFonts w:ascii="Times New Roman" w:hAnsi="Times New Roman" w:eastAsia="宋体" w:cs="Times New Roman"/>
          <w:bCs/>
          <w:sz w:val="24"/>
          <w:szCs w:val="24"/>
        </w:rPr>
        <w:t>国务院关于印发打赢蓝天保卫战三年行动计划的通知</w:t>
      </w:r>
      <w:r>
        <w:rPr>
          <w:rFonts w:ascii="Times New Roman" w:hAnsi="Times New Roman" w:eastAsia="宋体" w:cs="Times New Roman"/>
          <w:sz w:val="24"/>
          <w:szCs w:val="24"/>
        </w:rPr>
        <w:t>》（国发[2018]22号）符合性分析见表1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.3-3。由表可知，厂区的建设符合相关要求。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.3-3  与《国务院关于印发打赢蓝天保卫战三年行动计划的通知》相符性分析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320"/>
        <w:gridCol w:w="3170"/>
        <w:gridCol w:w="2876"/>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序号</w:t>
            </w:r>
          </w:p>
        </w:tc>
        <w:tc>
          <w:tcPr>
            <w:tcW w:w="4490" w:type="dxa"/>
            <w:gridSpan w:val="2"/>
            <w:tcBorders>
              <w:tl2br w:val="nil"/>
              <w:tr2bl w:val="nil"/>
            </w:tcBorders>
            <w:vAlign w:val="center"/>
          </w:tcPr>
          <w:p>
            <w:pPr>
              <w:pStyle w:val="31"/>
              <w:keepNext w:val="0"/>
              <w:keepLines w:val="0"/>
              <w:pageBreakBefore w:val="0"/>
              <w:kinsoku/>
              <w:wordWrap/>
              <w:bidi w:val="0"/>
              <w:snapToGrid/>
              <w:spacing w:line="240" w:lineRule="auto"/>
              <w:rPr>
                <w:rFonts w:cs="Times New Roman"/>
                <w:b/>
                <w:bCs/>
              </w:rPr>
            </w:pPr>
            <w:r>
              <w:rPr>
                <w:rFonts w:eastAsia="宋体" w:cs="Times New Roman"/>
                <w:b/>
                <w:bCs/>
                <w:sz w:val="21"/>
                <w:szCs w:val="21"/>
              </w:rPr>
              <w:t>文件内容要求</w:t>
            </w:r>
          </w:p>
        </w:tc>
        <w:tc>
          <w:tcPr>
            <w:tcW w:w="2876"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1"/>
              </w:rPr>
              <w:t>芜湖新兴铸管实际建设情况</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1</w:t>
            </w:r>
          </w:p>
        </w:tc>
        <w:tc>
          <w:tcPr>
            <w:tcW w:w="1320" w:type="dxa"/>
            <w:vMerge w:val="restart"/>
            <w:tcBorders>
              <w:tl2br w:val="nil"/>
              <w:tr2bl w:val="nil"/>
            </w:tcBorders>
            <w:vAlign w:val="center"/>
          </w:tcPr>
          <w:p>
            <w:pPr>
              <w:pStyle w:val="41"/>
              <w:keepNext w:val="0"/>
              <w:keepLines w:val="0"/>
              <w:pageBreakBefore w:val="0"/>
              <w:kinsoku/>
              <w:wordWrap/>
              <w:bidi w:val="0"/>
              <w:snapToGrid/>
              <w:spacing w:line="240" w:lineRule="auto"/>
              <w:rPr>
                <w:szCs w:val="22"/>
              </w:rPr>
            </w:pPr>
            <w:r>
              <w:rPr>
                <w:shd w:val="clear" w:color="auto" w:fill="FFFFFF"/>
              </w:rPr>
              <w:t>二、调整优化产业结构，推进产业绿色发展</w:t>
            </w:r>
          </w:p>
        </w:tc>
        <w:tc>
          <w:tcPr>
            <w:tcW w:w="3170" w:type="dxa"/>
            <w:tcBorders>
              <w:tl2br w:val="nil"/>
              <w:tr2bl w:val="nil"/>
            </w:tcBorders>
            <w:vAlign w:val="center"/>
          </w:tcPr>
          <w:p>
            <w:pPr>
              <w:pStyle w:val="41"/>
              <w:keepNext w:val="0"/>
              <w:keepLines w:val="0"/>
              <w:pageBreakBefore w:val="0"/>
              <w:kinsoku/>
              <w:wordWrap/>
              <w:bidi w:val="0"/>
              <w:snapToGrid/>
              <w:spacing w:line="240" w:lineRule="auto"/>
            </w:pPr>
            <w:r>
              <w:t>（四）优化产业布局。新、改、扩建钢铁、石化、化工、焦化、建材、有色等项目的环境影响评价，应满足区域、规划环评要求。</w:t>
            </w:r>
          </w:p>
          <w:p>
            <w:pPr>
              <w:pStyle w:val="41"/>
              <w:keepNext w:val="0"/>
              <w:keepLines w:val="0"/>
              <w:pageBreakBefore w:val="0"/>
              <w:kinsoku/>
              <w:wordWrap/>
              <w:bidi w:val="0"/>
              <w:snapToGrid/>
              <w:spacing w:line="240" w:lineRule="auto"/>
              <w:rPr>
                <w:szCs w:val="22"/>
              </w:rPr>
            </w:pPr>
            <w:r>
              <w:rPr>
                <w:color w:val="333333"/>
                <w:shd w:val="clear" w:color="auto" w:fill="FFFFFF"/>
              </w:rPr>
              <w:t>加大区域产业布局调整力度。加快城市建成区重污染企业搬迁改造或关闭退出，推动实施一批水泥、平板玻璃、焦化、化工等重污染企业搬迁工程</w:t>
            </w:r>
          </w:p>
        </w:tc>
        <w:tc>
          <w:tcPr>
            <w:tcW w:w="2876" w:type="dxa"/>
            <w:tcBorders>
              <w:tl2br w:val="nil"/>
              <w:tr2bl w:val="nil"/>
            </w:tcBorders>
            <w:vAlign w:val="center"/>
          </w:tcPr>
          <w:p>
            <w:pPr>
              <w:pStyle w:val="41"/>
              <w:keepNext w:val="0"/>
              <w:keepLines w:val="0"/>
              <w:pageBreakBefore w:val="0"/>
              <w:kinsoku/>
              <w:wordWrap/>
              <w:bidi w:val="0"/>
              <w:snapToGrid/>
              <w:spacing w:line="240" w:lineRule="auto"/>
            </w:pPr>
            <w:r>
              <w:rPr>
                <w:szCs w:val="21"/>
              </w:rPr>
              <w:t>芜湖新兴铸管有限公司原位于芜湖市城市中心的弋江区，于2013年10月开始城市钢厂搬迁工作，搬迁后的厂址位于芜湖三山经济开发区，符合《芜湖市城市总体规划（2012年-2030年）》的城市发展目标</w:t>
            </w:r>
            <w:r>
              <w:rPr>
                <w:szCs w:val="22"/>
              </w:rPr>
              <w:t>与《三山经济开发区控制性详细规划（调整）》发展要求目标</w:t>
            </w:r>
            <w:r>
              <w:rPr>
                <w:szCs w:val="21"/>
              </w:rPr>
              <w:t>。满足产业布局的要求</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2</w:t>
            </w:r>
          </w:p>
        </w:tc>
        <w:tc>
          <w:tcPr>
            <w:tcW w:w="1320" w:type="dxa"/>
            <w:vMerge w:val="continue"/>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p>
        </w:tc>
        <w:tc>
          <w:tcPr>
            <w:tcW w:w="3170" w:type="dxa"/>
            <w:tcBorders>
              <w:tl2br w:val="nil"/>
              <w:tr2bl w:val="nil"/>
            </w:tcBorders>
            <w:vAlign w:val="center"/>
          </w:tcPr>
          <w:p>
            <w:pPr>
              <w:pStyle w:val="41"/>
              <w:keepNext w:val="0"/>
              <w:keepLines w:val="0"/>
              <w:pageBreakBefore w:val="0"/>
              <w:kinsoku/>
              <w:wordWrap/>
              <w:bidi w:val="0"/>
              <w:snapToGrid/>
              <w:spacing w:line="240" w:lineRule="auto"/>
              <w:rPr>
                <w:color w:val="333333"/>
                <w:shd w:val="clear" w:color="auto" w:fill="FFFFFF"/>
              </w:rPr>
            </w:pPr>
            <w:r>
              <w:rPr>
                <w:color w:val="333333"/>
                <w:shd w:val="clear" w:color="auto" w:fill="FFFFFF"/>
              </w:rPr>
              <w:t>（五）严控“两高”行业产能。重点区域严禁新增钢铁、焦化、电解铝、铸造、水泥和平板玻璃等产能；严格执行钢铁、水泥、平板玻璃等行业产能置换实施办法；新、改、扩建涉及大宗物料运输的建设项目，原则上不得采用公路运输</w:t>
            </w:r>
          </w:p>
        </w:tc>
        <w:tc>
          <w:tcPr>
            <w:tcW w:w="287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自搬迁芜湖三山经济开发区后，未新增产能，目前根据《国家发展改革委工业和信息化部关于印发对钢铁、电解铝、船舶行业违规项目清理意见的通知》（发改产业[2015]1494号）及《安徽省发展改革委安徽省经济和信息化委转发国家发展改革委工业和信息化部关于印发对钢铁电解铝船舶行业违规项目清理意见的通知》，厂区认定炼铁产能198万吨/年、炼钢产能</w:t>
            </w:r>
            <w:r>
              <w:rPr>
                <w:rFonts w:hint="eastAsia"/>
                <w:szCs w:val="21"/>
                <w:lang w:val="en-US" w:eastAsia="zh-CN"/>
              </w:rPr>
              <w:t>150</w:t>
            </w:r>
            <w:r>
              <w:rPr>
                <w:szCs w:val="21"/>
              </w:rPr>
              <w:t>万吨/年</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3</w:t>
            </w:r>
          </w:p>
        </w:tc>
        <w:tc>
          <w:tcPr>
            <w:tcW w:w="1320" w:type="dxa"/>
            <w:vMerge w:val="continue"/>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p>
        </w:tc>
        <w:tc>
          <w:tcPr>
            <w:tcW w:w="3170" w:type="dxa"/>
            <w:tcBorders>
              <w:tl2br w:val="nil"/>
              <w:tr2bl w:val="nil"/>
            </w:tcBorders>
            <w:vAlign w:val="center"/>
          </w:tcPr>
          <w:p>
            <w:pPr>
              <w:pStyle w:val="41"/>
              <w:keepNext w:val="0"/>
              <w:keepLines w:val="0"/>
              <w:pageBreakBefore w:val="0"/>
              <w:kinsoku/>
              <w:wordWrap/>
              <w:bidi w:val="0"/>
              <w:snapToGrid/>
              <w:spacing w:line="240" w:lineRule="auto"/>
              <w:rPr>
                <w:color w:val="333333"/>
                <w:shd w:val="clear" w:color="auto" w:fill="FFFFFF"/>
              </w:rPr>
            </w:pPr>
            <w:r>
              <w:rPr>
                <w:color w:val="333333"/>
                <w:shd w:val="clear" w:color="auto" w:fill="FFFFFF"/>
              </w:rPr>
              <w:t>（七）深化工业污染治理。推动实施钢铁等行业超低排放改造，重点区域城市建成区内焦炉实施炉体加罩封闭，并对废气进行收集处理。强化工业企业无组织排放管控。开展钢铁、建材、有色、火电、焦化、铸造等重点行业及燃煤锅炉无组织排放排查，建立管理台账，对物料（含废渣）运输、装卸、储存、转移和工艺过程等无组织排放实施深度治理</w:t>
            </w:r>
          </w:p>
        </w:tc>
        <w:tc>
          <w:tcPr>
            <w:tcW w:w="287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目前芜湖新兴铸管已着手制定厂区超低排放改造工作。《芜湖新兴铸管有限责任公司2×58孔焦炉技术改造项目验收报告》中明确，厂区焦炉已实行炉体加罩封闭，收集焦炉逸散烟尘。厂区已对厂区无组织排放点进行相应设施治理，</w:t>
            </w:r>
            <w:r>
              <w:t>各产尘点均设有高效除尘装置</w:t>
            </w:r>
            <w:r>
              <w:rPr>
                <w:szCs w:val="21"/>
              </w:rPr>
              <w:t>如：原料场设有挡风抑尘墙，带式输送机上部设有密闭防护罩，原料场各种原/燃料在输送、转运过程中产尘点设置密闭罩和袋式除尘器</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4</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zCs w:val="22"/>
              </w:rPr>
            </w:pPr>
            <w:r>
              <w:t>四、积极调整运输结构，发展绿色交通体系</w:t>
            </w:r>
          </w:p>
        </w:tc>
        <w:tc>
          <w:tcPr>
            <w:tcW w:w="31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hd w:val="clear" w:color="auto" w:fill="FFFFFF"/>
              </w:rPr>
              <w:t>（十四）优化调整货物运输结构。钢铁、电解铝、电力、焦化等重点企业要加快铁路专用线建设，充分利用已有铁路专用线能力，大幅提高铁路运输比例，2020年重点区域达到50%以上</w:t>
            </w:r>
          </w:p>
        </w:tc>
        <w:tc>
          <w:tcPr>
            <w:tcW w:w="2876" w:type="dxa"/>
            <w:tcBorders>
              <w:tl2br w:val="nil"/>
              <w:tr2bl w:val="nil"/>
            </w:tcBorders>
            <w:vAlign w:val="center"/>
          </w:tcPr>
          <w:p>
            <w:pPr>
              <w:pStyle w:val="41"/>
              <w:keepNext w:val="0"/>
              <w:keepLines w:val="0"/>
              <w:pageBreakBefore w:val="0"/>
              <w:kinsoku/>
              <w:wordWrap/>
              <w:bidi w:val="0"/>
              <w:snapToGrid/>
              <w:spacing w:line="240" w:lineRule="auto"/>
              <w:rPr>
                <w:szCs w:val="22"/>
              </w:rPr>
            </w:pPr>
            <w:r>
              <w:rPr>
                <w:bCs/>
              </w:rPr>
              <w:t>厂区原辅材料中大部分物料均通过铁路运输至厂区，如炼焦煤、球化剂、锌丝等，厂区内设置2条铁路卸车线，每条线长120m，可停卸8节车皮，共配置4台链斗卸车机卸车</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.3.4与《重点行业二噁英污染防治技术政府》相符性分析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芜湖新兴铸管厂区与《重点行业二噁英污染防治技术政府》（</w:t>
      </w:r>
      <w:r>
        <w:rPr>
          <w:rFonts w:ascii="Times New Roman" w:hAnsi="Times New Roman" w:eastAsia="宋体" w:cs="Times New Roman"/>
          <w:bCs/>
          <w:sz w:val="24"/>
          <w:szCs w:val="24"/>
        </w:rPr>
        <w:t>环境保护部公告2015年第90号</w:t>
      </w:r>
      <w:r>
        <w:rPr>
          <w:rFonts w:ascii="Times New Roman" w:hAnsi="Times New Roman" w:eastAsia="宋体" w:cs="Times New Roman"/>
          <w:sz w:val="24"/>
          <w:szCs w:val="24"/>
        </w:rPr>
        <w:t>）符合性分析见表1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.3-4。由表可知，厂区的建设符合相关二噁英防治要求。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.3-4  与《重点行业二噁英污染防治技术政府》相符性分析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320"/>
        <w:gridCol w:w="3170"/>
        <w:gridCol w:w="2876"/>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序号</w:t>
            </w:r>
          </w:p>
        </w:tc>
        <w:tc>
          <w:tcPr>
            <w:tcW w:w="4490" w:type="dxa"/>
            <w:gridSpan w:val="2"/>
            <w:tcBorders>
              <w:tl2br w:val="nil"/>
              <w:tr2bl w:val="nil"/>
            </w:tcBorders>
            <w:vAlign w:val="center"/>
          </w:tcPr>
          <w:p>
            <w:pPr>
              <w:pStyle w:val="31"/>
              <w:keepNext w:val="0"/>
              <w:keepLines w:val="0"/>
              <w:pageBreakBefore w:val="0"/>
              <w:kinsoku/>
              <w:wordWrap/>
              <w:bidi w:val="0"/>
              <w:snapToGrid/>
              <w:spacing w:line="240" w:lineRule="auto"/>
              <w:rPr>
                <w:rFonts w:cs="Times New Roman"/>
                <w:b/>
                <w:bCs/>
              </w:rPr>
            </w:pPr>
            <w:r>
              <w:rPr>
                <w:rFonts w:eastAsia="宋体" w:cs="Times New Roman"/>
                <w:b/>
                <w:bCs/>
                <w:sz w:val="21"/>
                <w:szCs w:val="21"/>
              </w:rPr>
              <w:t>文件内容要求</w:t>
            </w:r>
          </w:p>
        </w:tc>
        <w:tc>
          <w:tcPr>
            <w:tcW w:w="2876"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1"/>
              </w:rPr>
              <w:t>芜湖新兴铸管实际建设情况</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1</w:t>
            </w:r>
          </w:p>
        </w:tc>
        <w:tc>
          <w:tcPr>
            <w:tcW w:w="4490" w:type="dxa"/>
            <w:gridSpan w:val="2"/>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本技术政策所涉及的重点行业包括：铁矿石烧结、电弧炉炼钢、再生有色金属（铜、铝、铅、锌）生产、废弃物焚烧、纸浆造纸、遗体火化和特定有机氯化工产品生产等</w:t>
            </w:r>
          </w:p>
        </w:tc>
        <w:tc>
          <w:tcPr>
            <w:tcW w:w="2876" w:type="dxa"/>
            <w:tcBorders>
              <w:tl2br w:val="nil"/>
              <w:tr2bl w:val="nil"/>
            </w:tcBorders>
            <w:vAlign w:val="center"/>
          </w:tcPr>
          <w:p>
            <w:pPr>
              <w:pStyle w:val="41"/>
              <w:keepNext w:val="0"/>
              <w:keepLines w:val="0"/>
              <w:pageBreakBefore w:val="0"/>
              <w:kinsoku/>
              <w:wordWrap/>
              <w:bidi w:val="0"/>
              <w:snapToGrid/>
              <w:spacing w:line="240" w:lineRule="auto"/>
              <w:rPr>
                <w:szCs w:val="22"/>
              </w:rPr>
            </w:pPr>
            <w:r>
              <w:t>厂区现有烧结原材料包括含铁原料（进口铁精矿、国内铁精矿）、熔剂（活性石灰、石灰石、轻烧白云石）、燃料（焦粉、无烟煤、焦炉煤</w:t>
            </w:r>
            <w:r>
              <w:rPr>
                <w:szCs w:val="22"/>
              </w:rPr>
              <w:t>气），属于重点行业（铁矿石烧结）。</w:t>
            </w:r>
          </w:p>
          <w:p>
            <w:pPr>
              <w:pStyle w:val="41"/>
              <w:keepNext w:val="0"/>
              <w:keepLines w:val="0"/>
              <w:pageBreakBefore w:val="0"/>
              <w:kinsoku/>
              <w:wordWrap/>
              <w:bidi w:val="0"/>
              <w:snapToGrid/>
              <w:spacing w:line="240" w:lineRule="auto"/>
            </w:pPr>
            <w:r>
              <w:rPr>
                <w:szCs w:val="22"/>
              </w:rPr>
              <w:t>厂区炼钢采用</w:t>
            </w:r>
            <w:r>
              <w:t>2座顶底复吹120t转炉、1座120t LF钢包精炼炉，属于重点行业（</w:t>
            </w:r>
            <w:r>
              <w:rPr>
                <w:szCs w:val="22"/>
              </w:rPr>
              <w:t>电弧炉炼钢</w:t>
            </w:r>
            <w:r>
              <w:t>）</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2</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r>
              <w:rPr>
                <w:shd w:val="clear" w:color="auto" w:fill="FFFFFF"/>
              </w:rPr>
              <w:t>源头削减</w:t>
            </w:r>
          </w:p>
        </w:tc>
        <w:tc>
          <w:tcPr>
            <w:tcW w:w="3170" w:type="dxa"/>
            <w:tcBorders>
              <w:tl2br w:val="nil"/>
              <w:tr2bl w:val="nil"/>
            </w:tcBorders>
            <w:vAlign w:val="center"/>
          </w:tcPr>
          <w:p>
            <w:pPr>
              <w:pStyle w:val="41"/>
              <w:keepNext w:val="0"/>
              <w:keepLines w:val="0"/>
              <w:pageBreakBefore w:val="0"/>
              <w:kinsoku/>
              <w:wordWrap/>
              <w:bidi w:val="0"/>
              <w:snapToGrid/>
              <w:spacing w:line="240" w:lineRule="auto"/>
              <w:rPr>
                <w:color w:val="333333"/>
                <w:shd w:val="clear" w:color="auto" w:fill="FFFFFF"/>
              </w:rPr>
            </w:pPr>
            <w:r>
              <w:rPr>
                <w:color w:val="333333"/>
                <w:shd w:val="clear" w:color="auto" w:fill="FFFFFF"/>
              </w:rPr>
              <w:t>铁矿石烧结宜采用大型烧结机；鼓励采用小球烧结、厚料层烧结、热风烧结和低温烧结等工艺技术，减少设备漏风率；鼓励采用烧结热烟气循环技术,减少烟气和二噁英排放量。</w:t>
            </w:r>
          </w:p>
          <w:p>
            <w:pPr>
              <w:pStyle w:val="41"/>
              <w:keepNext w:val="0"/>
              <w:keepLines w:val="0"/>
              <w:pageBreakBefore w:val="0"/>
              <w:kinsoku/>
              <w:wordWrap/>
              <w:bidi w:val="0"/>
              <w:snapToGrid/>
              <w:spacing w:line="240" w:lineRule="auto"/>
              <w:rPr>
                <w:color w:val="333333"/>
                <w:shd w:val="clear" w:color="auto" w:fill="FFFFFF"/>
              </w:rPr>
            </w:pPr>
            <w:r>
              <w:rPr>
                <w:color w:val="333333"/>
                <w:shd w:val="clear" w:color="auto" w:fill="FFFFFF"/>
              </w:rPr>
              <w:t>铁矿石烧结工艺应选用氯、铜等杂质含量低的高品位铁精矿；宜选用无烟煤和低氯化物含量的添加剂,减少氯化钙熔剂的使用；加入生产原料中的轧钢皮、铁屑等应进行除油预处理</w:t>
            </w:r>
          </w:p>
        </w:tc>
        <w:tc>
          <w:tcPr>
            <w:tcW w:w="287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厂区于2016年对现有两台烧结机进行技改，技改后烧结机使用面积由180m</w:t>
            </w:r>
            <w:r>
              <w:rPr>
                <w:szCs w:val="21"/>
                <w:vertAlign w:val="superscript"/>
              </w:rPr>
              <w:t>2</w:t>
            </w:r>
            <w:r>
              <w:rPr>
                <w:szCs w:val="21"/>
              </w:rPr>
              <w:t>改造为265m</w:t>
            </w:r>
            <w:r>
              <w:rPr>
                <w:szCs w:val="21"/>
                <w:vertAlign w:val="superscript"/>
              </w:rPr>
              <w:t>2</w:t>
            </w:r>
            <w:r>
              <w:rPr>
                <w:szCs w:val="21"/>
              </w:rPr>
              <w:t>，厂区现烧结工艺采用了</w:t>
            </w:r>
            <w:r>
              <w:rPr>
                <w:color w:val="333333"/>
                <w:shd w:val="clear" w:color="auto" w:fill="FFFFFF"/>
              </w:rPr>
              <w:t>小球烧结、厚料层烧结、热风烧结和低温烧结等工艺技术。</w:t>
            </w:r>
          </w:p>
          <w:p>
            <w:pPr>
              <w:pStyle w:val="41"/>
              <w:keepNext w:val="0"/>
              <w:keepLines w:val="0"/>
              <w:pageBreakBefore w:val="0"/>
              <w:kinsoku/>
              <w:wordWrap/>
              <w:bidi w:val="0"/>
              <w:snapToGrid/>
              <w:spacing w:line="240" w:lineRule="auto"/>
              <w:rPr>
                <w:szCs w:val="21"/>
              </w:rPr>
            </w:pPr>
            <w:r>
              <w:rPr>
                <w:szCs w:val="21"/>
              </w:rPr>
              <w:t>厂区目前采购的铁精矿</w:t>
            </w:r>
            <w:r>
              <w:rPr>
                <w:color w:val="333333"/>
                <w:shd w:val="clear" w:color="auto" w:fill="FFFFFF"/>
              </w:rPr>
              <w:t>氯、铜等杂质含量均很低，硫的含量更是≤0.2%，厂区烧结工序熔剂采用</w:t>
            </w:r>
            <w:r>
              <w:t>活性石灰、石灰石、轻烧白云石，不涉及氯化钙，生产中涉及的废钢等均进行除油预处理</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3</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r>
              <w:rPr>
                <w:shd w:val="clear" w:color="auto" w:fill="FFFFFF"/>
              </w:rPr>
              <w:t>过程控制</w:t>
            </w:r>
          </w:p>
        </w:tc>
        <w:tc>
          <w:tcPr>
            <w:tcW w:w="3170" w:type="dxa"/>
            <w:tcBorders>
              <w:tl2br w:val="nil"/>
              <w:tr2bl w:val="nil"/>
            </w:tcBorders>
            <w:vAlign w:val="center"/>
          </w:tcPr>
          <w:p>
            <w:pPr>
              <w:pStyle w:val="41"/>
              <w:keepNext w:val="0"/>
              <w:keepLines w:val="0"/>
              <w:pageBreakBefore w:val="0"/>
              <w:kinsoku/>
              <w:wordWrap/>
              <w:bidi w:val="0"/>
              <w:snapToGrid/>
              <w:spacing w:line="240" w:lineRule="auto"/>
              <w:rPr>
                <w:color w:val="333333"/>
                <w:shd w:val="clear" w:color="auto" w:fill="FFFFFF"/>
              </w:rPr>
            </w:pPr>
            <w:r>
              <w:rPr>
                <w:color w:val="333333"/>
                <w:shd w:val="clear" w:color="auto" w:fill="FFFFFF"/>
              </w:rPr>
              <w:t>铁矿石烧结、电弧炉炼钢、再生有色金属生产、废弃物焚烧和遗体火化设施应设置先进、完善、可靠的自动控制系统和工况参数在线监测系统</w:t>
            </w:r>
          </w:p>
        </w:tc>
        <w:tc>
          <w:tcPr>
            <w:tcW w:w="2876"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目前，厂区在</w:t>
            </w:r>
            <w:r>
              <w:rPr>
                <w:kern w:val="24"/>
                <w:szCs w:val="21"/>
              </w:rPr>
              <w:t>烧结机机头烟气脱硫入口、烧结机机头烟气脱硫出口以及烧结机机尾处均安装自动监测装置</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4</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末端治理</w:t>
            </w:r>
          </w:p>
        </w:tc>
        <w:tc>
          <w:tcPr>
            <w:tcW w:w="3170" w:type="dxa"/>
            <w:tcBorders>
              <w:tl2br w:val="nil"/>
              <w:tr2bl w:val="nil"/>
            </w:tcBorders>
            <w:vAlign w:val="center"/>
          </w:tcPr>
          <w:p>
            <w:pPr>
              <w:pStyle w:val="41"/>
              <w:keepNext w:val="0"/>
              <w:keepLines w:val="0"/>
              <w:pageBreakBefore w:val="0"/>
              <w:kinsoku/>
              <w:wordWrap/>
              <w:bidi w:val="0"/>
              <w:snapToGrid/>
              <w:spacing w:line="240" w:lineRule="auto"/>
            </w:pPr>
            <w:r>
              <w:t>铁矿石烧结机头烟气宜优先采用电袋符合除尘技术，机尾烟气宜采用高效袋式除尘技术</w:t>
            </w:r>
          </w:p>
        </w:tc>
        <w:tc>
          <w:tcPr>
            <w:tcW w:w="2876" w:type="dxa"/>
            <w:tcBorders>
              <w:tl2br w:val="nil"/>
              <w:tr2bl w:val="nil"/>
            </w:tcBorders>
            <w:vAlign w:val="center"/>
          </w:tcPr>
          <w:p>
            <w:pPr>
              <w:pStyle w:val="41"/>
              <w:keepNext w:val="0"/>
              <w:keepLines w:val="0"/>
              <w:pageBreakBefore w:val="0"/>
              <w:kinsoku/>
              <w:wordWrap/>
              <w:bidi w:val="0"/>
              <w:snapToGrid/>
              <w:spacing w:line="240" w:lineRule="auto"/>
            </w:pPr>
            <w:r>
              <w:t>厂区烧结机机头烟气采用1套双室四电场静电除尘器净化，再经石灰石-石膏湿法脱硫、H</w:t>
            </w:r>
            <w:r>
              <w:rPr>
                <w:vertAlign w:val="subscript"/>
              </w:rPr>
              <w:t>2</w:t>
            </w:r>
            <w:r>
              <w:t>-SCR脱硝</w:t>
            </w:r>
            <w:r>
              <w:rPr>
                <w:szCs w:val="22"/>
              </w:rPr>
              <w:t>后由高70m烟囱排放</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.3.5与《2019年安徽省大气污染防治重点工作任务》相符性分析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芜湖新兴铸管厂区与《2019年安徽省大气污染防治重点工作任务》（皖大气办2019[5]号）符合性分析见表1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.3-5。由表可知，厂区的建设符合相关要求。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.3-5  与《2019年安徽省大气污染防治重点工作任务》相符性分析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320"/>
        <w:gridCol w:w="3125"/>
        <w:gridCol w:w="2921"/>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序号</w:t>
            </w:r>
          </w:p>
        </w:tc>
        <w:tc>
          <w:tcPr>
            <w:tcW w:w="4445" w:type="dxa"/>
            <w:gridSpan w:val="2"/>
            <w:tcBorders>
              <w:tl2br w:val="nil"/>
              <w:tr2bl w:val="nil"/>
            </w:tcBorders>
            <w:vAlign w:val="center"/>
          </w:tcPr>
          <w:p>
            <w:pPr>
              <w:pStyle w:val="31"/>
              <w:keepNext w:val="0"/>
              <w:keepLines w:val="0"/>
              <w:pageBreakBefore w:val="0"/>
              <w:kinsoku/>
              <w:wordWrap/>
              <w:bidi w:val="0"/>
              <w:snapToGrid/>
              <w:spacing w:line="240" w:lineRule="auto"/>
              <w:rPr>
                <w:rFonts w:cs="Times New Roman"/>
                <w:b/>
                <w:bCs/>
              </w:rPr>
            </w:pPr>
            <w:r>
              <w:rPr>
                <w:rFonts w:eastAsia="宋体" w:cs="Times New Roman"/>
                <w:b/>
                <w:bCs/>
                <w:sz w:val="21"/>
                <w:szCs w:val="21"/>
              </w:rPr>
              <w:t>文件内容要求</w:t>
            </w:r>
          </w:p>
        </w:tc>
        <w:tc>
          <w:tcPr>
            <w:tcW w:w="2921"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1"/>
              </w:rPr>
              <w:t>芜湖新兴铸管实际建设情况</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1</w:t>
            </w:r>
          </w:p>
        </w:tc>
        <w:tc>
          <w:tcPr>
            <w:tcW w:w="1320" w:type="dxa"/>
            <w:vMerge w:val="restart"/>
            <w:tcBorders>
              <w:tl2br w:val="nil"/>
              <w:tr2bl w:val="nil"/>
            </w:tcBorders>
            <w:vAlign w:val="center"/>
          </w:tcPr>
          <w:p>
            <w:pPr>
              <w:pStyle w:val="41"/>
              <w:keepNext w:val="0"/>
              <w:keepLines w:val="0"/>
              <w:pageBreakBefore w:val="0"/>
              <w:kinsoku/>
              <w:wordWrap/>
              <w:bidi w:val="0"/>
              <w:snapToGrid/>
              <w:spacing w:line="240" w:lineRule="auto"/>
              <w:rPr>
                <w:szCs w:val="22"/>
              </w:rPr>
            </w:pPr>
            <w:r>
              <w:rPr>
                <w:shd w:val="clear" w:color="auto" w:fill="FFFFFF"/>
              </w:rPr>
              <w:t>（一）优化调整优化产业结构</w:t>
            </w:r>
          </w:p>
        </w:tc>
        <w:tc>
          <w:tcPr>
            <w:tcW w:w="3125" w:type="dxa"/>
            <w:tcBorders>
              <w:tl2br w:val="nil"/>
              <w:tr2bl w:val="nil"/>
            </w:tcBorders>
            <w:vAlign w:val="center"/>
          </w:tcPr>
          <w:p>
            <w:pPr>
              <w:pStyle w:val="41"/>
              <w:keepNext w:val="0"/>
              <w:keepLines w:val="0"/>
              <w:pageBreakBefore w:val="0"/>
              <w:kinsoku/>
              <w:wordWrap/>
              <w:bidi w:val="0"/>
              <w:snapToGrid/>
              <w:spacing w:line="240" w:lineRule="auto"/>
            </w:pPr>
            <w:r>
              <w:t>1.新、改、扩建钢铁、石化、化工、焦化、建材、有色等项目的环境影响评价，应满足区域、规划环评要求</w:t>
            </w:r>
          </w:p>
        </w:tc>
        <w:tc>
          <w:tcPr>
            <w:tcW w:w="2921" w:type="dxa"/>
            <w:vMerge w:val="restart"/>
            <w:tcBorders>
              <w:tl2br w:val="nil"/>
              <w:tr2bl w:val="nil"/>
            </w:tcBorders>
            <w:vAlign w:val="center"/>
          </w:tcPr>
          <w:p>
            <w:pPr>
              <w:pStyle w:val="41"/>
              <w:keepNext w:val="0"/>
              <w:keepLines w:val="0"/>
              <w:pageBreakBefore w:val="0"/>
              <w:kinsoku/>
              <w:wordWrap/>
              <w:bidi w:val="0"/>
              <w:snapToGrid/>
              <w:spacing w:line="240" w:lineRule="auto"/>
            </w:pPr>
            <w:r>
              <w:t>芜湖新兴铸管有限公司原位于芜湖市城市中心的弋江区，于2013年10月开始城市钢厂搬迁工作，搬迁后的厂址位于芜湖三山经济开发区，符合《芜湖市城市总体规划（2012年-2030年）》的城市发展目标与《三山经济开发区控制性详细规划（调整）》发展要求目标。满足产业布局的要求</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2</w:t>
            </w:r>
          </w:p>
        </w:tc>
        <w:tc>
          <w:tcPr>
            <w:tcW w:w="1320" w:type="dxa"/>
            <w:vMerge w:val="continue"/>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p>
        </w:tc>
        <w:tc>
          <w:tcPr>
            <w:tcW w:w="3125" w:type="dxa"/>
            <w:tcBorders>
              <w:tl2br w:val="nil"/>
              <w:tr2bl w:val="nil"/>
            </w:tcBorders>
            <w:vAlign w:val="center"/>
          </w:tcPr>
          <w:p>
            <w:pPr>
              <w:pStyle w:val="41"/>
              <w:keepNext w:val="0"/>
              <w:keepLines w:val="0"/>
              <w:pageBreakBefore w:val="0"/>
              <w:kinsoku/>
              <w:wordWrap/>
              <w:bidi w:val="0"/>
              <w:snapToGrid/>
              <w:spacing w:line="240" w:lineRule="auto"/>
            </w:pPr>
            <w:r>
              <w:t>2.加快区域产业调整。推动实施钢铁、水泥、平板玻璃、焦化、化工等重污染企业搬迁工程，确保如期完成搬迁改造任务</w:t>
            </w:r>
          </w:p>
        </w:tc>
        <w:tc>
          <w:tcPr>
            <w:tcW w:w="2921" w:type="dxa"/>
            <w:vMerge w:val="continue"/>
            <w:tcBorders>
              <w:tl2br w:val="nil"/>
              <w:tr2bl w:val="nil"/>
            </w:tcBorders>
            <w:vAlign w:val="center"/>
          </w:tcPr>
          <w:p>
            <w:pPr>
              <w:pStyle w:val="41"/>
              <w:keepNext w:val="0"/>
              <w:keepLines w:val="0"/>
              <w:pageBreakBefore w:val="0"/>
              <w:kinsoku/>
              <w:wordWrap/>
              <w:bidi w:val="0"/>
              <w:snapToGrid/>
              <w:spacing w:line="240" w:lineRule="auto"/>
            </w:pP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2" w:hRule="atLeast"/>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3</w:t>
            </w:r>
          </w:p>
        </w:tc>
        <w:tc>
          <w:tcPr>
            <w:tcW w:w="1320" w:type="dxa"/>
            <w:vMerge w:val="continue"/>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p>
        </w:tc>
        <w:tc>
          <w:tcPr>
            <w:tcW w:w="3125" w:type="dxa"/>
            <w:tcBorders>
              <w:tl2br w:val="nil"/>
              <w:tr2bl w:val="nil"/>
            </w:tcBorders>
            <w:vAlign w:val="center"/>
          </w:tcPr>
          <w:p>
            <w:pPr>
              <w:pStyle w:val="41"/>
              <w:keepNext w:val="0"/>
              <w:keepLines w:val="0"/>
              <w:pageBreakBefore w:val="0"/>
              <w:kinsoku/>
              <w:wordWrap/>
              <w:bidi w:val="0"/>
              <w:snapToGrid/>
              <w:spacing w:line="240" w:lineRule="auto"/>
            </w:pPr>
            <w:r>
              <w:t>3.加快落后产能淘汰和过剩产能压减。严禁新增钢铁、焦化、电解铝、铸造、水泥和平板玻璃等产能</w:t>
            </w:r>
          </w:p>
        </w:tc>
        <w:tc>
          <w:tcPr>
            <w:tcW w:w="2921" w:type="dxa"/>
            <w:tcBorders>
              <w:tl2br w:val="nil"/>
              <w:tr2bl w:val="nil"/>
            </w:tcBorders>
            <w:vAlign w:val="center"/>
          </w:tcPr>
          <w:p>
            <w:pPr>
              <w:pStyle w:val="41"/>
              <w:keepNext w:val="0"/>
              <w:keepLines w:val="0"/>
              <w:pageBreakBefore w:val="0"/>
              <w:kinsoku/>
              <w:wordWrap/>
              <w:bidi w:val="0"/>
              <w:snapToGrid/>
              <w:spacing w:line="240" w:lineRule="auto"/>
              <w:rPr>
                <w:szCs w:val="22"/>
              </w:rPr>
            </w:pPr>
            <w:r>
              <w:t>厂区自搬迁芜湖三山经济开发区后，未新增产能，目前根据《国家发展改革委工业和信息化部关于印发对钢铁、电解铝、船舶行业违规项目清理意见的通知》（发改产业[2015]1494号）及《安徽省发展改革委安徽省经济和信息化委转发国家发展改革委工业和信息化部关于印发对钢铁电解铝船舶行业违规项目清理意见的</w:t>
            </w:r>
            <w:r>
              <w:rPr>
                <w:szCs w:val="22"/>
              </w:rPr>
              <w:t>通知》，厂区认定炼铁产能198万吨/年、炼钢产能</w:t>
            </w:r>
            <w:r>
              <w:rPr>
                <w:rFonts w:hint="eastAsia"/>
                <w:szCs w:val="22"/>
                <w:lang w:val="en-US" w:eastAsia="zh-CN"/>
              </w:rPr>
              <w:t>150</w:t>
            </w:r>
            <w:r>
              <w:rPr>
                <w:szCs w:val="22"/>
              </w:rPr>
              <w:t>万吨/年</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4</w:t>
            </w:r>
          </w:p>
        </w:tc>
        <w:tc>
          <w:tcPr>
            <w:tcW w:w="1320" w:type="dxa"/>
            <w:vMerge w:val="continue"/>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p>
        </w:tc>
        <w:tc>
          <w:tcPr>
            <w:tcW w:w="3125" w:type="dxa"/>
            <w:tcBorders>
              <w:tl2br w:val="nil"/>
              <w:tr2bl w:val="nil"/>
            </w:tcBorders>
            <w:vAlign w:val="center"/>
          </w:tcPr>
          <w:p>
            <w:pPr>
              <w:pStyle w:val="41"/>
              <w:keepNext w:val="0"/>
              <w:keepLines w:val="0"/>
              <w:pageBreakBefore w:val="0"/>
              <w:kinsoku/>
              <w:wordWrap/>
              <w:bidi w:val="0"/>
              <w:snapToGrid/>
              <w:spacing w:line="240" w:lineRule="auto"/>
            </w:pPr>
            <w:r>
              <w:t>5.推进重点行业污染治理升级改造。加快推进钢铁行业超低排放改造。6月底前，完成</w:t>
            </w:r>
            <w:r>
              <w:rPr>
                <w:color w:val="333333"/>
                <w:shd w:val="clear" w:color="auto" w:fill="FFFFFF"/>
              </w:rPr>
              <w:t>钢铁、建材、有色、火电、焦化、铸造等重点行业及燃煤锅炉无组织排放排查，建立管理台账，10月底前，完成对物料（含废渣）运输、装卸、储存、转移和工艺过程等无组织排放实施深度治理</w:t>
            </w:r>
          </w:p>
        </w:tc>
        <w:tc>
          <w:tcPr>
            <w:tcW w:w="2921"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目前芜湖新兴铸管已着手制定厂区超低排放改造工作。《芜湖新兴铸管有限责任公司2×58孔焦炉技术改造项目验收报告》中明确，厂区焦炉已实行炉体加罩封闭，收集焦炉逸散烟尘。厂区已对厂区无组织排放点进行相应设施治理，各产尘点均设有高效除尘装置如：原料场设有挡风抑尘墙，带式输送机上部设有密闭防护罩，原料场各种原/燃料在输送、转运过程中产尘点设置密闭罩和袋式除尘器</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.3.6与《关于全面打造水清岸绿产业优 美丽长江（安徽）经济带的实施意见》相符性分析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芜湖新兴铸管厂区与《关于全面打造水清岸绿产业优 美丽长江（安徽）经济带的实施意见》（中共安徽省委 皖发[2018]21号）符合性分析见表1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.3-6。由表可知，厂区的建设符合相关要求。</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.3-6  与《关于全面打造水清岸绿产业优 美丽长江（安徽）经济带的实施意见》相符性分析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320"/>
        <w:gridCol w:w="3185"/>
        <w:gridCol w:w="2861"/>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序号</w:t>
            </w:r>
          </w:p>
        </w:tc>
        <w:tc>
          <w:tcPr>
            <w:tcW w:w="4505" w:type="dxa"/>
            <w:gridSpan w:val="2"/>
            <w:tcBorders>
              <w:tl2br w:val="nil"/>
              <w:tr2bl w:val="nil"/>
            </w:tcBorders>
            <w:vAlign w:val="center"/>
          </w:tcPr>
          <w:p>
            <w:pPr>
              <w:pStyle w:val="31"/>
              <w:keepNext w:val="0"/>
              <w:keepLines w:val="0"/>
              <w:pageBreakBefore w:val="0"/>
              <w:kinsoku/>
              <w:wordWrap/>
              <w:bidi w:val="0"/>
              <w:snapToGrid/>
              <w:spacing w:line="240" w:lineRule="auto"/>
              <w:rPr>
                <w:rFonts w:cs="Times New Roman"/>
                <w:b/>
                <w:bCs/>
              </w:rPr>
            </w:pPr>
            <w:r>
              <w:rPr>
                <w:rFonts w:eastAsia="宋体" w:cs="Times New Roman"/>
                <w:b/>
                <w:bCs/>
                <w:sz w:val="21"/>
                <w:szCs w:val="21"/>
              </w:rPr>
              <w:t>文件内容要求</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1"/>
              </w:rPr>
              <w:t>芜湖新兴铸管实际建设情况</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1</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hd w:val="clear" w:color="auto" w:fill="FFFFFF"/>
              </w:rPr>
              <w:t>（一）开展“禁新建”行动</w:t>
            </w:r>
          </w:p>
        </w:tc>
        <w:tc>
          <w:tcPr>
            <w:tcW w:w="3185" w:type="dxa"/>
            <w:tcBorders>
              <w:tl2br w:val="nil"/>
              <w:tr2bl w:val="nil"/>
            </w:tcBorders>
            <w:vAlign w:val="center"/>
          </w:tcPr>
          <w:p>
            <w:pPr>
              <w:pStyle w:val="41"/>
              <w:keepNext w:val="0"/>
              <w:keepLines w:val="0"/>
              <w:pageBreakBefore w:val="0"/>
              <w:kinsoku/>
              <w:wordWrap/>
              <w:bidi w:val="0"/>
              <w:snapToGrid/>
              <w:spacing w:line="240" w:lineRule="auto"/>
            </w:pPr>
            <w:r>
              <w:t>1.严禁1公里范围内新建项目。2018年7月起，长江干流及主要支流岸线1公里范围内，除必须实施的防洪护岸、河道治理、供水、航道整治、港口码头及集疏运通道、道路及跨江桥隧、公共管理、生态环境治理、国家重要基础设施等事关公共安全和公众利益建设项目，以及长江岸线规划确定的城市建设区内非工业项目外，不得新批建设项目，不得布局新的工业园区</w:t>
            </w:r>
          </w:p>
        </w:tc>
        <w:tc>
          <w:tcPr>
            <w:tcW w:w="2861" w:type="dxa"/>
            <w:tcBorders>
              <w:tl2br w:val="nil"/>
              <w:tr2bl w:val="nil"/>
            </w:tcBorders>
            <w:vAlign w:val="center"/>
          </w:tcPr>
          <w:p>
            <w:pPr>
              <w:pStyle w:val="41"/>
              <w:keepNext w:val="0"/>
              <w:keepLines w:val="0"/>
              <w:pageBreakBefore w:val="0"/>
              <w:kinsoku/>
              <w:wordWrap/>
              <w:bidi w:val="0"/>
              <w:snapToGrid/>
              <w:spacing w:line="240" w:lineRule="auto"/>
            </w:pPr>
            <w:r>
              <w:t>芜湖新兴铸管有限公司边界距离长江岸边</w:t>
            </w:r>
            <w:r>
              <w:rPr>
                <w:szCs w:val="21"/>
              </w:rPr>
              <w:t>&lt;1km，厂区于2011年搬迁至三山区现有位置，期间针对厂区污染物治理进行了多次技术升级改造，如焦化废水提标升级改造，属于环境治理、技术改造升级项目。厂区的建设</w:t>
            </w:r>
            <w:r>
              <w:t>符合《芜湖市城市总体规划（2012年-2030年）》的城市发展目标与《三山经济开发区控制性详细规划（调整）》发展要求目标，满足产业布局的要求</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2</w:t>
            </w:r>
          </w:p>
        </w:tc>
        <w:tc>
          <w:tcPr>
            <w:tcW w:w="1320" w:type="dxa"/>
            <w:vMerge w:val="restart"/>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r>
              <w:rPr>
                <w:shd w:val="clear" w:color="auto" w:fill="FFFFFF"/>
              </w:rPr>
              <w:t>（二）开展“减存量”行动</w:t>
            </w:r>
          </w:p>
        </w:tc>
        <w:tc>
          <w:tcPr>
            <w:tcW w:w="3185" w:type="dxa"/>
            <w:tcBorders>
              <w:tl2br w:val="nil"/>
              <w:tr2bl w:val="nil"/>
            </w:tcBorders>
            <w:vAlign w:val="center"/>
          </w:tcPr>
          <w:p>
            <w:pPr>
              <w:pStyle w:val="41"/>
              <w:keepNext w:val="0"/>
              <w:keepLines w:val="0"/>
              <w:pageBreakBefore w:val="0"/>
              <w:kinsoku/>
              <w:wordWrap/>
              <w:bidi w:val="0"/>
              <w:snapToGrid/>
              <w:spacing w:line="240" w:lineRule="auto"/>
            </w:pPr>
            <w:r>
              <w:t>2.坚央淘汰关停落后产能。以钢铁、水泥、平板玻璃等国家确定的行业为重点，综合运用法治、经济、科技和必要的行政手段，严格常态化执法和强制性标准实施，促使一批能耗、环保、安全、技术不达标和生产不合格产品或淘汰类产能的企业，依法依规关停退出。鼓励企业通过主动压减、兼并重组、转型转产、搬迁改造、国际产能合作等途径，退出过剩产能</w:t>
            </w:r>
          </w:p>
        </w:tc>
        <w:tc>
          <w:tcPr>
            <w:tcW w:w="2861" w:type="dxa"/>
            <w:tcBorders>
              <w:tl2br w:val="nil"/>
              <w:tr2bl w:val="nil"/>
            </w:tcBorders>
            <w:vAlign w:val="center"/>
          </w:tcPr>
          <w:p>
            <w:pPr>
              <w:pStyle w:val="41"/>
              <w:keepNext w:val="0"/>
              <w:keepLines w:val="0"/>
              <w:pageBreakBefore w:val="0"/>
              <w:kinsoku/>
              <w:wordWrap/>
              <w:bidi w:val="0"/>
              <w:snapToGrid/>
              <w:spacing w:line="240" w:lineRule="auto"/>
            </w:pPr>
            <w:r>
              <w:t>厂区自搬迁芜湖三山经济开发区后，未新增产能，目前根据《国家发展改革委工业和信息化部关于印发对钢铁、电解铝、船舶行业违规项目清理意见的通知》（发改产业[2015]1494号）及《安徽省发展改革委安徽省经济和信息化委转发国家发展改革委工业和信息化部关于印发对钢铁电解铝船舶行业违规项目清理意见的</w:t>
            </w:r>
            <w:r>
              <w:rPr>
                <w:szCs w:val="22"/>
              </w:rPr>
              <w:t>通知》，厂区认定炼铁产能198万吨/年、炼钢产能</w:t>
            </w:r>
            <w:r>
              <w:rPr>
                <w:rFonts w:hint="eastAsia"/>
                <w:szCs w:val="22"/>
                <w:lang w:val="en-US" w:eastAsia="zh-CN"/>
              </w:rPr>
              <w:t>150</w:t>
            </w:r>
            <w:r>
              <w:rPr>
                <w:szCs w:val="22"/>
              </w:rPr>
              <w:t>万吨/年</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3</w:t>
            </w:r>
          </w:p>
        </w:tc>
        <w:tc>
          <w:tcPr>
            <w:tcW w:w="1320" w:type="dxa"/>
            <w:vMerge w:val="continue"/>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p>
        </w:tc>
        <w:tc>
          <w:tcPr>
            <w:tcW w:w="3185" w:type="dxa"/>
            <w:tcBorders>
              <w:tl2br w:val="nil"/>
              <w:tr2bl w:val="nil"/>
            </w:tcBorders>
            <w:vAlign w:val="center"/>
          </w:tcPr>
          <w:p>
            <w:pPr>
              <w:pStyle w:val="41"/>
              <w:keepNext w:val="0"/>
              <w:keepLines w:val="0"/>
              <w:pageBreakBefore w:val="0"/>
              <w:kinsoku/>
              <w:wordWrap/>
              <w:bidi w:val="0"/>
              <w:snapToGrid/>
              <w:spacing w:line="240" w:lineRule="auto"/>
            </w:pPr>
            <w:r>
              <w:t>3.严格控制污染物排放。加强重点行业脱硫、脱硝、除尘设施运行监管，鼓励企业通过技术改造实现超低排放</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szCs w:val="22"/>
                <w:lang w:val="en-US" w:eastAsia="zh-CN"/>
              </w:rPr>
            </w:pPr>
            <w:r>
              <w:rPr>
                <w:szCs w:val="22"/>
              </w:rPr>
              <w:t>芜湖新兴铸管厂区目前污染物排放均能满足相应排放标准，厂区安排专人对环保设施运行情况进行监管，并在重点排污口设置污染源在线监测系统。同时芜湖新兴铸管已着手制定厂区超低排放改造工作</w:t>
            </w:r>
            <w:r>
              <w:rPr>
                <w:rFonts w:hint="eastAsia"/>
                <w:color w:val="FF0000"/>
                <w:szCs w:val="22"/>
                <w:lang w:eastAsia="zh-CN"/>
              </w:rPr>
              <w:t>，具体见表</w:t>
            </w:r>
            <w:r>
              <w:rPr>
                <w:rFonts w:hint="eastAsia"/>
                <w:color w:val="FF0000"/>
                <w:szCs w:val="22"/>
                <w:lang w:val="en-US" w:eastAsia="zh-CN"/>
              </w:rPr>
              <w:t>7.7-3</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4</w:t>
            </w:r>
          </w:p>
        </w:tc>
        <w:tc>
          <w:tcPr>
            <w:tcW w:w="1320" w:type="dxa"/>
            <w:vMerge w:val="continue"/>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p>
        </w:tc>
        <w:tc>
          <w:tcPr>
            <w:tcW w:w="3185" w:type="dxa"/>
            <w:tcBorders>
              <w:tl2br w:val="nil"/>
              <w:tr2bl w:val="nil"/>
            </w:tcBorders>
            <w:vAlign w:val="center"/>
          </w:tcPr>
          <w:p>
            <w:pPr>
              <w:pStyle w:val="41"/>
              <w:keepNext w:val="0"/>
              <w:keepLines w:val="0"/>
              <w:pageBreakBefore w:val="0"/>
              <w:kinsoku/>
              <w:wordWrap/>
              <w:bidi w:val="0"/>
              <w:snapToGrid/>
              <w:spacing w:line="240" w:lineRule="auto"/>
            </w:pPr>
            <w:r>
              <w:t>5.管住固体废物污染。进一步开展长江（安徽）经济带固体废物大排查，全面调查、评估重点工业行业危险废物产生、贮存、利用、处置情况</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厂区针对危险废物收集处置制定了一套收集处置管理办法，厂区危险废物收集处置均按照相关要求进行：焦油渣、沥青渣和废活性炭</w:t>
            </w:r>
            <w:r>
              <w:t>返回炼焦备煤系统，掺入炼焦煤炼焦；再生器残渣送油库焦油槽；生化污泥脱水后掺入炼焦煤炼焦，掺入炼焦煤炼焦；废油</w:t>
            </w:r>
            <w:r>
              <w:rPr>
                <w:rFonts w:hint="eastAsia"/>
              </w:rPr>
              <w:t>交马鞍山市关东润滑油有限责任公司处置</w:t>
            </w:r>
            <w:r>
              <w:t>；锌粉/泥送河</w:t>
            </w:r>
            <w:r>
              <w:rPr>
                <w:rFonts w:hint="eastAsia"/>
              </w:rPr>
              <w:t>芜湖市易晖金属有限公司</w:t>
            </w:r>
            <w:r>
              <w:t>；含树脂废砂芯送</w:t>
            </w:r>
            <w:r>
              <w:rPr>
                <w:rFonts w:hint="eastAsia"/>
              </w:rPr>
              <w:t>芜湖海创环保科技有限责任公司</w:t>
            </w:r>
            <w:r>
              <w:t>。各危险废物处置去向合理可行</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5</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r>
              <w:rPr>
                <w:shd w:val="clear" w:color="auto" w:fill="FFFFFF"/>
              </w:rPr>
              <w:t>（四）开展“进园区”行动</w:t>
            </w:r>
          </w:p>
        </w:tc>
        <w:tc>
          <w:tcPr>
            <w:tcW w:w="3185" w:type="dxa"/>
            <w:tcBorders>
              <w:tl2br w:val="nil"/>
              <w:tr2bl w:val="nil"/>
            </w:tcBorders>
            <w:vAlign w:val="center"/>
          </w:tcPr>
          <w:p>
            <w:pPr>
              <w:pStyle w:val="41"/>
              <w:keepNext w:val="0"/>
              <w:keepLines w:val="0"/>
              <w:pageBreakBefore w:val="0"/>
              <w:kinsoku/>
              <w:wordWrap/>
              <w:bidi w:val="0"/>
              <w:snapToGrid/>
              <w:spacing w:line="240" w:lineRule="auto"/>
            </w:pPr>
            <w:r>
              <w:t>1.搬迁企业进园区。搬迁企业进园区。长江千流及主要支流岸线1公里范围内的企业，依法依规必须搬迁的，全部搬入合规园区，厂区边界距岸线应大于1公里</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szCs w:val="22"/>
              </w:rPr>
            </w:pPr>
            <w:r>
              <w:rPr>
                <w:rFonts w:hint="eastAsia"/>
                <w:color w:val="FF0000"/>
                <w:szCs w:val="22"/>
                <w:lang w:eastAsia="zh-CN"/>
              </w:rPr>
              <w:t>根据厂区平面布置，厂区内原料场、轧钢车间、烧结车间、炼钢连铸车间均位于长江支流岸线</w:t>
            </w:r>
            <w:r>
              <w:rPr>
                <w:rFonts w:hint="eastAsia"/>
                <w:color w:val="FF0000"/>
                <w:szCs w:val="22"/>
                <w:lang w:val="en-US" w:eastAsia="zh-CN"/>
              </w:rPr>
              <w:t>1公里范围内，但由于企业自</w:t>
            </w:r>
            <w:r>
              <w:rPr>
                <w:color w:val="FF0000"/>
                <w:szCs w:val="22"/>
              </w:rPr>
              <w:t>2011年搬迁至芜湖市三山经济开发区内</w:t>
            </w:r>
            <w:r>
              <w:rPr>
                <w:rFonts w:hint="eastAsia"/>
                <w:color w:val="FF0000"/>
                <w:szCs w:val="22"/>
                <w:lang w:eastAsia="zh-CN"/>
              </w:rPr>
              <w:t>至今，已履行项目环保手续，同时符合三山经济开发区规划内容。厂区各污染防治措施有效可行，各污染物排放均可满足现行环保要求</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6</w:t>
            </w:r>
          </w:p>
        </w:tc>
        <w:tc>
          <w:tcPr>
            <w:tcW w:w="1320" w:type="dxa"/>
            <w:vMerge w:val="restart"/>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r>
              <w:rPr>
                <w:shd w:val="clear" w:color="auto" w:fill="FFFFFF"/>
              </w:rPr>
              <w:t>（六）开展“纳统管”行动</w:t>
            </w:r>
          </w:p>
        </w:tc>
        <w:tc>
          <w:tcPr>
            <w:tcW w:w="3185" w:type="dxa"/>
            <w:tcBorders>
              <w:tl2br w:val="nil"/>
              <w:tr2bl w:val="nil"/>
            </w:tcBorders>
            <w:vAlign w:val="center"/>
          </w:tcPr>
          <w:p>
            <w:pPr>
              <w:pStyle w:val="41"/>
              <w:keepNext w:val="0"/>
              <w:keepLines w:val="0"/>
              <w:pageBreakBefore w:val="0"/>
              <w:kinsoku/>
              <w:wordWrap/>
              <w:bidi w:val="0"/>
              <w:snapToGrid/>
              <w:spacing w:line="240" w:lineRule="auto"/>
            </w:pPr>
            <w:r>
              <w:t>1.园区企业污水处理全覆盖。园区工业污水和生活污水必须全部纳入统一污水管网，实行统一管理、不留死角。企业工业废水在排入园区污水处理厂之前，必须各自进行预处理，且达到园区污水处理厂统一纳管标准。加快园区污水集中处理设施和管网建设，尚未建设的，2018年底前全部开工建设，在建项目完工试运行</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厂区现状实行废水“零排放”。</w:t>
            </w:r>
            <w:r>
              <w:t>厂区内共设置两座污水处理站，焦化酚氰废水处理站和全厂综合污水处理站。焦化酚氰废水处理站处理蒸氨废水以及焦化工序焦化工序产生的轴承冷却水、地坪冲洗水，处理后的废水用于高炉冲渣用水、湿法熄焦补充水和烧结配料用水。全厂综合废水处理站处理厂区生活污水和其余生产废水，处理后的废水部分回用于各生产工序，部分进入深度处理除盐系统，主要回用于如原料场抑尘、烧结皮带除尘、地坪冲洗、高炉冲渣、炼钢/轧钢浊环水系统补水、铸管沙浆制备系统补水等工序</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7</w:t>
            </w:r>
          </w:p>
        </w:tc>
        <w:tc>
          <w:tcPr>
            <w:tcW w:w="1320" w:type="dxa"/>
            <w:vMerge w:val="continue"/>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p>
        </w:tc>
        <w:tc>
          <w:tcPr>
            <w:tcW w:w="3185" w:type="dxa"/>
            <w:tcBorders>
              <w:tl2br w:val="nil"/>
              <w:tr2bl w:val="nil"/>
            </w:tcBorders>
            <w:vAlign w:val="center"/>
          </w:tcPr>
          <w:p>
            <w:pPr>
              <w:pStyle w:val="41"/>
              <w:keepNext w:val="0"/>
              <w:keepLines w:val="0"/>
              <w:pageBreakBefore w:val="0"/>
              <w:kinsoku/>
              <w:wordWrap/>
              <w:bidi w:val="0"/>
              <w:snapToGrid/>
              <w:spacing w:line="240" w:lineRule="auto"/>
            </w:pPr>
            <w:r>
              <w:t>2.环保设备运行全覆盖。重点排污单位全部安装使用污染源自动在线监控设备并同生态环境主管部门联网，依法公开排污信息。建立重点排污单位自行监测与环境质量监测原始数据全面直传上报制度。逐步在污染治理设施、监测站房、排放口等位置安装视频监控设施。健全各级环境监测机构、环境监测设备运营维护机构和社会环境监测机构的监测数据质量管理制度</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szCs w:val="22"/>
              </w:rPr>
            </w:pPr>
            <w:r>
              <w:t>厂区目前已配置健全的环保制度，分别位于烧结机机头烟气脱硫入口处、烧结机机头烟气脱硫出口处、烧结机机尾处、焦炉烟囱处、</w:t>
            </w:r>
            <w:r>
              <w:rPr>
                <w:rFonts w:hint="eastAsia"/>
                <w:lang w:eastAsia="zh-CN"/>
              </w:rPr>
              <w:t>焦化装煤、焦化出煤、干熄焦处、</w:t>
            </w:r>
            <w:r>
              <w:t>高炉矿槽除尘系统处、高炉出铁场除尘系统处、转炉二次烟气除尘系统处、130t/h锅炉烟囱处安装了</w:t>
            </w:r>
            <w:r>
              <w:rPr>
                <w:szCs w:val="21"/>
              </w:rPr>
              <w:t>颗粒物、二氧化硫、氮氧化物在线自动监控系统，厂区目前已与芜湖市生态环境局联网，依法公开污染源自动在线监测数据</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符合</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.3.7与《关于推进实施钢铁行业超低排放的意见》相符性分析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芜湖新兴铸管厂区与《关于推进实施钢铁行业超低排放的意见》（</w:t>
      </w:r>
      <w:r>
        <w:rPr>
          <w:rFonts w:ascii="Times New Roman" w:hAnsi="Times New Roman" w:eastAsia="宋体" w:cs="Times New Roman"/>
          <w:bCs/>
          <w:sz w:val="24"/>
          <w:szCs w:val="24"/>
        </w:rPr>
        <w:t>生态环境部、国家发展和改革委员会、工业和信息化部、财政部、交通运输部 环大气[2019]35号</w:t>
      </w:r>
      <w:r>
        <w:rPr>
          <w:rFonts w:ascii="Times New Roman" w:hAnsi="Times New Roman" w:eastAsia="宋体" w:cs="Times New Roman"/>
          <w:sz w:val="24"/>
          <w:szCs w:val="24"/>
        </w:rPr>
        <w:t>）符合性分析见表1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。由表可知，</w:t>
      </w:r>
      <w:r>
        <w:rPr>
          <w:rFonts w:hint="eastAsia" w:ascii="Times New Roman" w:hAnsi="Times New Roman" w:eastAsia="宋体" w:cs="Times New Roman"/>
          <w:sz w:val="24"/>
          <w:szCs w:val="24"/>
          <w:lang w:eastAsia="zh-CN"/>
        </w:rPr>
        <w:t>针对《实施意见》厂区需改造场所较多，本评价要求厂区需于</w:t>
      </w:r>
      <w:r>
        <w:rPr>
          <w:rFonts w:hint="eastAsia" w:ascii="Times New Roman" w:hAnsi="Times New Roman" w:eastAsia="宋体" w:cs="Times New Roman"/>
          <w:sz w:val="24"/>
          <w:szCs w:val="24"/>
          <w:lang w:val="en-US" w:eastAsia="zh-CN"/>
        </w:rPr>
        <w:t>2020年底前，完成厂区超低排放改造，改造完成后各工序尾气可满足《实施意见》中表2超低排放限值要求</w:t>
      </w:r>
      <w:r>
        <w:rPr>
          <w:rFonts w:ascii="Times New Roman" w:hAnsi="Times New Roman" w:eastAsia="宋体" w:cs="Times New Roman"/>
          <w:sz w:val="24"/>
          <w:szCs w:val="24"/>
        </w:rPr>
        <w:t>。</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.3-</w:t>
      </w:r>
      <w:r>
        <w:rPr>
          <w:rFonts w:hint="eastAsia" w:cs="Times New Roman"/>
          <w:lang w:val="en-US" w:eastAsia="zh-CN"/>
        </w:rPr>
        <w:t>7</w:t>
      </w:r>
      <w:r>
        <w:rPr>
          <w:rFonts w:cs="Times New Roman"/>
        </w:rPr>
        <w:t xml:space="preserve">  与《关于推进实施钢铁行业超低排放的意见》相符性分析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4505"/>
        <w:gridCol w:w="2861"/>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序号</w:t>
            </w:r>
          </w:p>
        </w:tc>
        <w:tc>
          <w:tcPr>
            <w:tcW w:w="4505" w:type="dxa"/>
            <w:tcBorders>
              <w:tl2br w:val="nil"/>
              <w:tr2bl w:val="nil"/>
            </w:tcBorders>
            <w:vAlign w:val="center"/>
          </w:tcPr>
          <w:p>
            <w:pPr>
              <w:pStyle w:val="31"/>
              <w:keepNext w:val="0"/>
              <w:keepLines w:val="0"/>
              <w:pageBreakBefore w:val="0"/>
              <w:kinsoku/>
              <w:wordWrap/>
              <w:bidi w:val="0"/>
              <w:snapToGrid/>
              <w:spacing w:line="240" w:lineRule="auto"/>
              <w:rPr>
                <w:rFonts w:cs="Times New Roman"/>
                <w:b/>
                <w:bCs/>
              </w:rPr>
            </w:pPr>
            <w:r>
              <w:rPr>
                <w:rFonts w:eastAsia="宋体" w:cs="Times New Roman"/>
                <w:b/>
                <w:bCs/>
                <w:sz w:val="21"/>
                <w:szCs w:val="21"/>
              </w:rPr>
              <w:t>文件内容要求</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1"/>
              </w:rPr>
              <w:t>芜湖新兴铸管实际建设情况</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1</w:t>
            </w:r>
          </w:p>
        </w:tc>
        <w:tc>
          <w:tcPr>
            <w:tcW w:w="450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default"/>
                <w:lang w:val="en"/>
              </w:rPr>
              <w:t>有组织排放控制指标。烧结机机头、球团焙烧烟气颗粒物、二氧化硫、氮氧化物排放浓度小时均值分别不高于10、35、50毫克/立方米；其他主要污染源颗粒物、二氧化硫、氮氧化物排放浓度小时均值原则上分别不高于10、50、200毫克/立方米。达到超低排放的钢铁企业每月至少95%以上时段小时均值排放浓度满足上述要求</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lang w:val="en-US" w:eastAsia="zh-CN"/>
              </w:rPr>
            </w:pPr>
            <w:r>
              <w:rPr>
                <w:rFonts w:hint="eastAsia"/>
                <w:lang w:eastAsia="zh-CN"/>
              </w:rPr>
              <w:t>根据</w:t>
            </w:r>
            <w:r>
              <w:rPr>
                <w:rFonts w:hint="eastAsia" w:eastAsia="宋体"/>
                <w:lang w:eastAsia="zh-CN"/>
              </w:rPr>
              <w:t>2018年安徽基越环境监测公司以及2019年安徽世标检测技术有限公司</w:t>
            </w:r>
            <w:r>
              <w:rPr>
                <w:rFonts w:hint="eastAsia"/>
                <w:lang w:eastAsia="zh-CN"/>
              </w:rPr>
              <w:t>对厂区污染源监测的数据表明：目前仅烧结机尾烟尘烧结机头外排二氧化硫、焦化地面除尘烟尘等工序可满足超低排放限值要求，其余工序尾气均不能满足，本评价要求建设单位需在</w:t>
            </w:r>
            <w:r>
              <w:rPr>
                <w:rFonts w:hint="eastAsia"/>
                <w:lang w:val="en-US" w:eastAsia="zh-CN"/>
              </w:rPr>
              <w:t>2020年底前，完成厂区超低排放改造工作，保证改造完成后各工序尾气可满足《实施意见》中表2超低排放限值要求</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rFonts w:hint="eastAsia"/>
                <w:lang w:eastAsia="zh-CN"/>
              </w:rPr>
              <w:t>不符合，本评价要求建设单位需在</w:t>
            </w:r>
            <w:r>
              <w:rPr>
                <w:rFonts w:hint="eastAsia"/>
                <w:lang w:val="en-US" w:eastAsia="zh-CN"/>
              </w:rPr>
              <w:t>2020年底前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2</w:t>
            </w:r>
          </w:p>
        </w:tc>
        <w:tc>
          <w:tcPr>
            <w:tcW w:w="4505" w:type="dxa"/>
            <w:tcBorders>
              <w:tl2br w:val="nil"/>
              <w:tr2bl w:val="nil"/>
            </w:tcBorders>
            <w:vAlign w:val="center"/>
          </w:tcPr>
          <w:p>
            <w:pPr>
              <w:pStyle w:val="41"/>
              <w:keepNext w:val="0"/>
              <w:keepLines w:val="0"/>
              <w:pageBreakBefore w:val="0"/>
              <w:kinsoku/>
              <w:wordWrap/>
              <w:bidi w:val="0"/>
              <w:snapToGrid/>
              <w:spacing w:line="240" w:lineRule="auto"/>
            </w:pPr>
            <w:r>
              <w:rPr>
                <w:rFonts w:hint="default"/>
                <w:lang w:val="en"/>
              </w:rPr>
              <w:t>无组织排放控制措施。物料储存。石灰、除尘灰、脱硫灰、粉煤灰等粉状物料，应采用料仓、储罐等方式密闭储存。铁精矿、煤、焦炭、烧结矿、球团矿、石灰石、白云石、铁合金、钢渣、脱硫石膏等块状或粘湿物料，应采用密闭料仓或封闭料棚等方式储存。其他干渣堆存应采用喷淋（雾）等抑尘措施</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eastAsia="zh-CN"/>
              </w:rPr>
              <w:t>厂区目前仅煤储存于煤仓中，其余原料均位于原料场露天堆存，原料场设置防尘网及洒水措施，其余物料未进行密闭储存</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不</w:t>
            </w:r>
            <w:r>
              <w:rPr>
                <w:szCs w:val="22"/>
              </w:rPr>
              <w:t>符合</w:t>
            </w:r>
            <w:r>
              <w:rPr>
                <w:rFonts w:hint="eastAsia"/>
                <w:szCs w:val="22"/>
                <w:lang w:eastAsia="zh-CN"/>
              </w:rPr>
              <w:t>，仅煤储存与煤仓，其余原料均未密闭储存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3</w:t>
            </w:r>
          </w:p>
        </w:tc>
        <w:tc>
          <w:tcPr>
            <w:tcW w:w="4505" w:type="dxa"/>
            <w:tcBorders>
              <w:tl2br w:val="nil"/>
              <w:tr2bl w:val="nil"/>
            </w:tcBorders>
            <w:vAlign w:val="center"/>
          </w:tcPr>
          <w:p>
            <w:pPr>
              <w:pStyle w:val="41"/>
              <w:keepNext w:val="0"/>
              <w:keepLines w:val="0"/>
              <w:pageBreakBefore w:val="0"/>
              <w:kinsoku/>
              <w:wordWrap/>
              <w:bidi w:val="0"/>
              <w:snapToGrid/>
              <w:spacing w:line="240" w:lineRule="auto"/>
            </w:pPr>
            <w:r>
              <w:rPr>
                <w:rFonts w:hint="default"/>
                <w:lang w:val="en"/>
              </w:rPr>
              <w:t>物料输送。石灰、除尘灰、脱硫灰、粉煤灰等粉状物料，应采用管状带式输送机、气力输送设备、罐车等方式密闭输送。铁精矿、煤、焦炭、烧结矿、球团矿、石灰石、白云石、铁合金、高炉渣、钢渣、脱硫石膏等块状或粘湿物料，应采用管状带式输送机等方式密闭输送，或采用皮带通廊等方式封闭输送；确需汽车运输的，应使用封闭车厢或苫盖严密，装卸车时应采取加湿等抑尘措施。物料输送落料点等应配备集气罩和除尘设施，或采取喷雾等抑尘措施。料场出口应设置车轮和车身清洗设施。厂区道路应硬化，并采取清扫、洒水等措施，保持清洁</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厂区内，石灰、除尘灰、粉煤灰等各粉状物料，均通过密闭的皮带进行输送。</w:t>
            </w:r>
            <w:r>
              <w:rPr>
                <w:rFonts w:hint="default"/>
                <w:lang w:val="en"/>
              </w:rPr>
              <w:t>铁精矿、煤、焦炭、烧结矿</w:t>
            </w:r>
            <w:r>
              <w:rPr>
                <w:rFonts w:hint="eastAsia"/>
                <w:lang w:val="en" w:eastAsia="zh-CN"/>
              </w:rPr>
              <w:t>等</w:t>
            </w:r>
            <w:r>
              <w:rPr>
                <w:rFonts w:hint="default"/>
                <w:lang w:val="en"/>
              </w:rPr>
              <w:t>块状或粘湿物料</w:t>
            </w:r>
            <w:r>
              <w:rPr>
                <w:rFonts w:hint="eastAsia"/>
                <w:lang w:val="en" w:eastAsia="zh-CN"/>
              </w:rPr>
              <w:t>，均通过密闭的</w:t>
            </w:r>
            <w:r>
              <w:rPr>
                <w:rFonts w:hint="default"/>
                <w:lang w:val="en"/>
              </w:rPr>
              <w:t>皮带通廊</w:t>
            </w:r>
            <w:r>
              <w:rPr>
                <w:rFonts w:hint="eastAsia"/>
                <w:lang w:val="en" w:eastAsia="zh-CN"/>
              </w:rPr>
              <w:t>进行</w:t>
            </w:r>
            <w:r>
              <w:rPr>
                <w:rFonts w:hint="default"/>
                <w:lang w:val="en"/>
              </w:rPr>
              <w:t>输送</w:t>
            </w:r>
            <w:r>
              <w:rPr>
                <w:rFonts w:hint="eastAsia"/>
                <w:lang w:val="en" w:eastAsia="zh-CN"/>
              </w:rPr>
              <w:t>。厂区物料通过汽车运输，均进行</w:t>
            </w:r>
            <w:r>
              <w:rPr>
                <w:rFonts w:hint="default"/>
                <w:lang w:val="en"/>
              </w:rPr>
              <w:t>苫</w:t>
            </w:r>
            <w:r>
              <w:rPr>
                <w:rFonts w:hint="eastAsia"/>
                <w:lang w:val="en" w:eastAsia="zh-CN"/>
              </w:rPr>
              <w:t>布覆</w:t>
            </w:r>
            <w:r>
              <w:rPr>
                <w:rFonts w:hint="default"/>
                <w:lang w:val="en"/>
              </w:rPr>
              <w:t>盖</w:t>
            </w:r>
            <w:r>
              <w:rPr>
                <w:rFonts w:hint="eastAsia"/>
                <w:lang w:val="en" w:eastAsia="zh-CN"/>
              </w:rPr>
              <w:t>。物料进行输送落料点均设置了相应的集气罩和除尘设施，如煤仓落料出设施有煤仓除尘装置。厂区内道路已进行硬化，均为水泥路，并配备洒水车，厂区内每日洒水抑尘</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4</w:t>
            </w:r>
          </w:p>
        </w:tc>
        <w:tc>
          <w:tcPr>
            <w:tcW w:w="4505" w:type="dxa"/>
            <w:tcBorders>
              <w:tl2br w:val="nil"/>
              <w:tr2bl w:val="nil"/>
            </w:tcBorders>
            <w:vAlign w:val="center"/>
          </w:tcPr>
          <w:p>
            <w:pPr>
              <w:pStyle w:val="41"/>
              <w:keepNext w:val="0"/>
              <w:keepLines w:val="0"/>
              <w:pageBreakBefore w:val="0"/>
              <w:kinsoku/>
              <w:wordWrap/>
              <w:bidi w:val="0"/>
              <w:snapToGrid/>
              <w:spacing w:line="240" w:lineRule="auto"/>
            </w:pPr>
            <w:r>
              <w:rPr>
                <w:rFonts w:hint="default"/>
                <w:lang w:val="en"/>
              </w:rPr>
              <w:t>生产工艺过程。烧结、球团、炼铁、焦化等工序的物料破碎、筛分、混合等设备应设置密闭罩，并配备除尘设施。烧结机、烧结矿环冷机、球团焙烧设备，高炉炉顶上料、矿槽、高炉出铁场，混铁炉、炼钢铁水预处理、转炉、电炉、精炼炉，石灰窑、白云石窑等产尘点应全面加强集气能力建设，确保无可见烟粉尘外逸。高炉出铁场平台应封闭或半封闭，铁沟、渣沟应加盖封闭；炼钢车间应封闭，设置屋顶罩并配备除尘设施。焦炉机侧炉口应设置集气罩，对废气进行收集处理。高炉炉顶料罐均压放散废气应采取回收或净化措施。废钢切割应在封闭空间内进行，设置集气罩，并配备除尘设施。轧钢涂层机组应封闭，并设置废气收集处理设施</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生产过程，各生产工序均配备有除尘设施，如烧结机配套机头烟气除尘装置；焦化工序地面设立大型除尘一体化装置，各个装置处再设置集气罩；高炉出铁场口设置除尘装置，分别在主铁沟及撇渣器、铁口（设顶吸罩和侧吸罩）、摆动流嘴、铁沟、渣沟等处设除尘罩、盖等。</w:t>
            </w:r>
            <w:r>
              <w:rPr>
                <w:rFonts w:hint="default"/>
                <w:lang w:val="en"/>
              </w:rPr>
              <w:t>焦炉机侧炉口设置</w:t>
            </w:r>
            <w:r>
              <w:rPr>
                <w:rFonts w:hint="eastAsia"/>
                <w:lang w:val="en" w:eastAsia="zh-CN"/>
              </w:rPr>
              <w:t>了</w:t>
            </w:r>
            <w:r>
              <w:rPr>
                <w:rFonts w:hint="default"/>
                <w:lang w:val="en"/>
              </w:rPr>
              <w:t>集气罩，对废气进行收集处理</w:t>
            </w:r>
            <w:r>
              <w:rPr>
                <w:rFonts w:hint="eastAsia"/>
                <w:lang w:val="en" w:eastAsia="zh-CN"/>
              </w:rPr>
              <w:t>，焦炉车间内设置一大型集气罩，可有效的收集焦炉烟囱外排烟尘。厂区无</w:t>
            </w:r>
            <w:r>
              <w:rPr>
                <w:rFonts w:hint="default"/>
                <w:lang w:val="en"/>
              </w:rPr>
              <w:t>轧钢涂层</w:t>
            </w:r>
            <w:r>
              <w:rPr>
                <w:rFonts w:hint="eastAsia"/>
                <w:lang w:val="en" w:eastAsia="zh-CN"/>
              </w:rPr>
              <w:t>工序。废钢切割车间设置在炼钢车间内，为半封闭结构</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5</w:t>
            </w:r>
          </w:p>
        </w:tc>
        <w:tc>
          <w:tcPr>
            <w:tcW w:w="4505" w:type="dxa"/>
            <w:tcBorders>
              <w:tl2br w:val="nil"/>
              <w:tr2bl w:val="nil"/>
            </w:tcBorders>
            <w:vAlign w:val="center"/>
          </w:tcPr>
          <w:p>
            <w:pPr>
              <w:pStyle w:val="41"/>
              <w:keepNext w:val="0"/>
              <w:keepLines w:val="0"/>
              <w:pageBreakBefore w:val="0"/>
              <w:kinsoku/>
              <w:wordWrap/>
              <w:bidi w:val="0"/>
              <w:snapToGrid/>
              <w:spacing w:line="240" w:lineRule="auto"/>
            </w:pPr>
            <w:r>
              <w:rPr>
                <w:rFonts w:hint="default"/>
                <w:lang w:val="en"/>
              </w:rPr>
              <w:t>焦炉应采用干熄焦工艺。炼焦煤气净化系统冷鼓各类贮槽（罐）及其他区域焦油、苯等贮槽（罐）的有机废气应接入压力平衡系统或收集净化处理，酚氰废水预处理设施（调节池、气浮池、隔油池）应加盖并配备废气收集处理设施，开展设备和管线泄漏检测与修复（LDAR）工作</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厂区焦炉现采用干熄焦工艺。</w:t>
            </w:r>
            <w:r>
              <w:rPr>
                <w:rFonts w:hint="default"/>
                <w:lang w:val="en"/>
              </w:rPr>
              <w:t>炼焦煤气净化系统冷鼓各类贮槽（罐）及其他区域焦油、苯等贮槽（罐）的有机废气</w:t>
            </w:r>
            <w:r>
              <w:rPr>
                <w:rFonts w:hint="eastAsia"/>
                <w:lang w:val="en" w:eastAsia="zh-CN"/>
              </w:rPr>
              <w:t>均已接入</w:t>
            </w:r>
            <w:r>
              <w:rPr>
                <w:rFonts w:hint="default"/>
                <w:lang w:val="en"/>
              </w:rPr>
              <w:t>压力平衡系统或收集净化处理</w:t>
            </w:r>
            <w:r>
              <w:rPr>
                <w:rFonts w:hint="eastAsia"/>
                <w:lang w:val="en" w:eastAsia="zh-CN"/>
              </w:rPr>
              <w:t>。</w:t>
            </w:r>
            <w:r>
              <w:rPr>
                <w:rFonts w:hint="default"/>
                <w:lang w:val="en"/>
              </w:rPr>
              <w:t>酚氰废水预处理设施（调节池、气浮池、隔油池）</w:t>
            </w:r>
            <w:r>
              <w:rPr>
                <w:rFonts w:hint="eastAsia"/>
                <w:lang w:val="en" w:eastAsia="zh-CN"/>
              </w:rPr>
              <w:t>均未加盖，同时厂区暂未开展</w:t>
            </w:r>
            <w:r>
              <w:rPr>
                <w:rFonts w:hint="default"/>
                <w:lang w:val="en"/>
              </w:rPr>
              <w:t>设备和管线泄漏检测与修复（LDAR）工作</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szCs w:val="22"/>
                <w:lang w:val="en-US" w:eastAsia="zh-CN"/>
              </w:rPr>
            </w:pPr>
            <w:r>
              <w:rPr>
                <w:rFonts w:hint="eastAsia"/>
                <w:szCs w:val="22"/>
                <w:lang w:eastAsia="zh-CN"/>
              </w:rPr>
              <w:t>不</w:t>
            </w:r>
            <w:r>
              <w:rPr>
                <w:szCs w:val="22"/>
              </w:rPr>
              <w:t>符合</w:t>
            </w:r>
            <w:r>
              <w:rPr>
                <w:rFonts w:hint="eastAsia"/>
                <w:szCs w:val="22"/>
                <w:lang w:eastAsia="zh-CN"/>
              </w:rPr>
              <w:t>，酚氰废水站处理设施未加盖，厂区未开展</w:t>
            </w:r>
            <w:r>
              <w:rPr>
                <w:rFonts w:hint="eastAsia"/>
                <w:szCs w:val="22"/>
                <w:lang w:val="en-US" w:eastAsia="zh-CN"/>
              </w:rPr>
              <w:t>LDAR工作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6</w:t>
            </w:r>
          </w:p>
        </w:tc>
        <w:tc>
          <w:tcPr>
            <w:tcW w:w="4505" w:type="dxa"/>
            <w:tcBorders>
              <w:tl2br w:val="nil"/>
              <w:tr2bl w:val="nil"/>
            </w:tcBorders>
            <w:vAlign w:val="center"/>
          </w:tcPr>
          <w:p>
            <w:pPr>
              <w:pStyle w:val="41"/>
              <w:keepNext w:val="0"/>
              <w:keepLines w:val="0"/>
              <w:pageBreakBefore w:val="0"/>
              <w:kinsoku/>
              <w:wordWrap/>
              <w:bidi w:val="0"/>
              <w:snapToGrid/>
              <w:spacing w:line="240" w:lineRule="auto"/>
            </w:pPr>
            <w:r>
              <w:rPr>
                <w:rFonts w:hint="default"/>
                <w:lang w:val="en"/>
              </w:rPr>
              <w:t>大宗物料产品清洁运输要求。进出钢铁企业的铁精矿、煤炭、焦炭等大宗物料和产品采用铁路、水路、管道或管状带式输送机等清洁方式运输比例不低于80%；达不到的，汽车运输部分应全部采用新能源汽车或达到国六排放标准的汽车（2021年底前可采用国五排放标准的汽车</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厂区</w:t>
            </w:r>
            <w:r>
              <w:rPr>
                <w:rFonts w:hint="default"/>
                <w:lang w:val="en"/>
              </w:rPr>
              <w:t>铁精矿、煤炭、焦炭等大宗物料和产品</w:t>
            </w:r>
            <w:r>
              <w:rPr>
                <w:rFonts w:hint="eastAsia"/>
                <w:lang w:val="en" w:eastAsia="zh-CN"/>
              </w:rPr>
              <w:t>进出厂区均采用铁路、汽车等运输方式，汽车中大部分为</w:t>
            </w:r>
            <w:r>
              <w:rPr>
                <w:rFonts w:hint="default"/>
                <w:lang w:val="en"/>
              </w:rPr>
              <w:t>国五排放标准的汽车</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7</w:t>
            </w:r>
          </w:p>
        </w:tc>
        <w:tc>
          <w:tcPr>
            <w:tcW w:w="450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eastAsia="宋体"/>
                <w:lang w:val="en" w:eastAsia="zh-CN"/>
              </w:rPr>
              <w:t>因厂制宜选择成熟适用的环保改造技术。除尘设施鼓励采用湿式静电除尘器、覆膜滤料袋式除尘器、滤筒除尘器等先进工艺，推进聚四氟乙烯微孔覆膜滤料、超细纤维多梯度面层滤料、金属间化合物多孔（膜）材料等产业化应用；烟气脱硫应实施增容提效改造等措施，提高运行稳定性，取消烟气旁路，鼓励净化处理后烟气回原烟囱排放；烟气脱硝应采用活性炭（焦）、选择性催化还原（SCR）等高效脱硝技术。加强源头控制，高炉煤气、焦炉煤气应实施精脱硫，高炉热风炉、轧钢热处理炉应采用低氮燃烧技术；鼓励实施烧结机头烟气循环</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厂区目前除尘设施大部分采用布袋除尘和</w:t>
            </w:r>
            <w:r>
              <w:rPr>
                <w:rFonts w:hint="eastAsia" w:eastAsia="宋体"/>
                <w:lang w:val="en" w:eastAsia="zh-CN"/>
              </w:rPr>
              <w:t>静电除尘器</w:t>
            </w:r>
            <w:r>
              <w:rPr>
                <w:rFonts w:hint="eastAsia"/>
                <w:lang w:val="en" w:eastAsia="zh-CN"/>
              </w:rPr>
              <w:t>。厂区烧结烟气脱硝采用优化的H</w:t>
            </w:r>
            <w:r>
              <w:rPr>
                <w:rFonts w:hint="eastAsia"/>
                <w:vertAlign w:val="subscript"/>
                <w:lang w:val="en" w:eastAsia="zh-CN"/>
              </w:rPr>
              <w:t>2</w:t>
            </w:r>
            <w:r>
              <w:rPr>
                <w:rFonts w:hint="eastAsia"/>
                <w:lang w:val="en" w:eastAsia="zh-CN"/>
              </w:rPr>
              <w:t>-SCR法脱硝工艺，焦炉烟气脱硝采用低温SCR脱硝反应器等。厂区焦炉煤气采用KXTT煤气脱硫工艺</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val="en-US" w:eastAsia="zh-CN"/>
              </w:rPr>
            </w:pPr>
            <w:r>
              <w:rPr>
                <w:rFonts w:hint="eastAsia"/>
                <w:szCs w:val="22"/>
                <w:lang w:val="en-US" w:eastAsia="zh-CN"/>
              </w:rPr>
              <w:t>8</w:t>
            </w:r>
          </w:p>
        </w:tc>
        <w:tc>
          <w:tcPr>
            <w:tcW w:w="450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val="en" w:eastAsia="zh-CN"/>
              </w:rPr>
            </w:pPr>
            <w:r>
              <w:rPr>
                <w:rFonts w:hint="eastAsia" w:eastAsia="宋体"/>
                <w:lang w:val="en" w:eastAsia="zh-CN"/>
              </w:rPr>
              <w:t>实施超低排放改造的钢铁企业，应全面加强自动监控、过程监控和视频监控设施建设。烧结机机头、烧结机机尾、球团焙烧、焦炉烟囱、装煤地面站、推焦地面站、干法熄焦地面站、高炉矿槽、高炉出铁场、铁水预处理、转炉二次烟气、电炉烟气、石灰窑、白云石窑、燃用发生炉煤气的轧钢热处理炉、自备电站排气筒等均应安装自动监控设施。上述污染源污染治理设施应安装分布式控制系统（DCS），记录企业环保设施运行及相关生产过程主要参数。料场出入口、焦炉炉体、烧结环冷区域、高炉矿槽和炉顶区域、炼钢车间顶部等易产尘点，应安装高清视频监控设施。在厂区内主要产尘点周边、运输道路两侧布设空气质量监测微站点，监控颗粒物等管控情况。建设门禁系统和视频监控系统，监控运输车辆进出厂区情况。自动监控、DCS监控等数据至少要保存一年以上，视频监控数据至少要保存三个月以上</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eastAsia"/>
                <w:szCs w:val="22"/>
                <w:lang w:eastAsia="zh-CN"/>
              </w:rPr>
            </w:pPr>
            <w:r>
              <w:rPr>
                <w:rFonts w:hint="eastAsia"/>
                <w:szCs w:val="22"/>
                <w:lang w:eastAsia="zh-CN"/>
              </w:rPr>
              <w:t>厂区目前已在烧结机机头、烧结机机尾、</w:t>
            </w:r>
            <w:r>
              <w:rPr>
                <w:rFonts w:hint="eastAsia" w:eastAsia="宋体"/>
                <w:lang w:val="en" w:eastAsia="zh-CN"/>
              </w:rPr>
              <w:t>高炉矿槽、高炉出铁场、转炉二次烟气、自备电站排气筒等</w:t>
            </w:r>
            <w:r>
              <w:rPr>
                <w:rFonts w:hint="eastAsia"/>
                <w:lang w:val="en" w:eastAsia="zh-CN"/>
              </w:rPr>
              <w:t>处</w:t>
            </w:r>
            <w:r>
              <w:rPr>
                <w:rFonts w:hint="eastAsia" w:eastAsia="宋体"/>
                <w:lang w:val="en" w:eastAsia="zh-CN"/>
              </w:rPr>
              <w:t>安装自动监控设施</w:t>
            </w:r>
            <w:r>
              <w:rPr>
                <w:rFonts w:hint="eastAsia"/>
                <w:lang w:val="en" w:eastAsia="zh-CN"/>
              </w:rPr>
              <w:t>。厂区暂未安装</w:t>
            </w:r>
            <w:r>
              <w:rPr>
                <w:rFonts w:hint="eastAsia" w:eastAsia="宋体"/>
                <w:lang w:val="en" w:eastAsia="zh-CN"/>
              </w:rPr>
              <w:t>高清视频监控设施</w:t>
            </w:r>
            <w:r>
              <w:rPr>
                <w:rFonts w:hint="eastAsia"/>
                <w:lang w:val="en" w:eastAsia="zh-CN"/>
              </w:rPr>
              <w:t>。同时暂未在</w:t>
            </w:r>
            <w:r>
              <w:rPr>
                <w:rFonts w:hint="eastAsia" w:eastAsia="宋体"/>
                <w:lang w:val="en" w:eastAsia="zh-CN"/>
              </w:rPr>
              <w:t>厂区主要产尘点周边、运输道路两侧布设空气质量监测微站点</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不符合，部分产污环节未安装</w:t>
            </w:r>
            <w:r>
              <w:rPr>
                <w:rFonts w:hint="eastAsia" w:eastAsia="宋体"/>
                <w:lang w:val="en" w:eastAsia="zh-CN"/>
              </w:rPr>
              <w:t>自动监控设施</w:t>
            </w:r>
            <w:r>
              <w:rPr>
                <w:rFonts w:hint="eastAsia"/>
                <w:lang w:val="en" w:eastAsia="zh-CN"/>
              </w:rPr>
              <w:t>，厂区未安装</w:t>
            </w:r>
            <w:r>
              <w:rPr>
                <w:rFonts w:hint="eastAsia" w:eastAsia="宋体"/>
                <w:lang w:val="en" w:eastAsia="zh-CN"/>
              </w:rPr>
              <w:t>高清视频监控设施</w:t>
            </w:r>
            <w:r>
              <w:rPr>
                <w:rFonts w:hint="eastAsia"/>
                <w:lang w:val="en" w:eastAsia="zh-CN"/>
              </w:rPr>
              <w:t>和</w:t>
            </w:r>
            <w:r>
              <w:rPr>
                <w:rFonts w:hint="eastAsia" w:eastAsia="宋体"/>
                <w:lang w:val="en" w:eastAsia="zh-CN"/>
              </w:rPr>
              <w:t>空气质量监测微站点</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.3.</w:t>
      </w:r>
      <w:r>
        <w:rPr>
          <w:rFonts w:hint="eastAsia" w:ascii="Times New Roman" w:hAnsi="Times New Roman" w:eastAsia="黑体" w:cs="Times New Roman"/>
          <w:sz w:val="24"/>
          <w:szCs w:val="24"/>
          <w:lang w:val="en-US" w:eastAsia="zh-CN"/>
        </w:rPr>
        <w:t>8</w:t>
      </w:r>
      <w:r>
        <w:rPr>
          <w:rFonts w:ascii="Times New Roman" w:hAnsi="Times New Roman" w:eastAsia="黑体" w:cs="Times New Roman"/>
          <w:sz w:val="24"/>
          <w:szCs w:val="24"/>
        </w:rPr>
        <w:t>与《</w:t>
      </w:r>
      <w:r>
        <w:rPr>
          <w:rFonts w:hint="eastAsia" w:ascii="Times New Roman" w:hAnsi="Times New Roman" w:eastAsia="黑体" w:cs="Times New Roman"/>
          <w:sz w:val="24"/>
          <w:szCs w:val="24"/>
        </w:rPr>
        <w:t>工业</w:t>
      </w:r>
      <w:r>
        <w:rPr>
          <w:rFonts w:ascii="Times New Roman" w:hAnsi="Times New Roman" w:eastAsia="黑体" w:cs="Times New Roman"/>
          <w:sz w:val="24"/>
          <w:szCs w:val="24"/>
        </w:rPr>
        <w:t>炉窑大气污染</w:t>
      </w:r>
      <w:r>
        <w:rPr>
          <w:rFonts w:hint="eastAsia" w:ascii="Times New Roman" w:hAnsi="Times New Roman" w:eastAsia="黑体" w:cs="Times New Roman"/>
          <w:sz w:val="24"/>
          <w:szCs w:val="24"/>
        </w:rPr>
        <w:t>综合</w:t>
      </w:r>
      <w:r>
        <w:rPr>
          <w:rFonts w:ascii="Times New Roman" w:hAnsi="Times New Roman" w:eastAsia="黑体" w:cs="Times New Roman"/>
          <w:sz w:val="24"/>
          <w:szCs w:val="24"/>
        </w:rPr>
        <w:t>治理方案》相符性分析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芜湖新兴铸管厂区与《</w:t>
      </w:r>
      <w:r>
        <w:rPr>
          <w:rFonts w:hint="eastAsia" w:ascii="Times New Roman" w:hAnsi="Times New Roman" w:eastAsia="宋体" w:cs="Times New Roman"/>
          <w:sz w:val="24"/>
          <w:szCs w:val="24"/>
        </w:rPr>
        <w:t>工业</w:t>
      </w:r>
      <w:r>
        <w:rPr>
          <w:rFonts w:ascii="Times New Roman" w:hAnsi="Times New Roman" w:eastAsia="宋体" w:cs="Times New Roman"/>
          <w:sz w:val="24"/>
          <w:szCs w:val="24"/>
        </w:rPr>
        <w:t>炉窑大气污染</w:t>
      </w:r>
      <w:r>
        <w:rPr>
          <w:rFonts w:hint="eastAsia" w:ascii="Times New Roman" w:hAnsi="Times New Roman" w:eastAsia="宋体" w:cs="Times New Roman"/>
          <w:sz w:val="24"/>
          <w:szCs w:val="24"/>
        </w:rPr>
        <w:t>综合</w:t>
      </w:r>
      <w:r>
        <w:rPr>
          <w:rFonts w:ascii="Times New Roman" w:hAnsi="Times New Roman" w:eastAsia="宋体" w:cs="Times New Roman"/>
          <w:sz w:val="24"/>
          <w:szCs w:val="24"/>
        </w:rPr>
        <w:t>治理方案》（</w:t>
      </w:r>
      <w:r>
        <w:rPr>
          <w:rFonts w:hint="eastAsia" w:ascii="Times New Roman" w:hAnsi="Times New Roman" w:eastAsia="宋体" w:cs="Times New Roman"/>
          <w:sz w:val="24"/>
          <w:szCs w:val="24"/>
          <w:lang w:eastAsia="zh-CN"/>
        </w:rPr>
        <w:t>生态环境部</w:t>
      </w:r>
      <w:r>
        <w:rPr>
          <w:rFonts w:hint="eastAsia" w:ascii="Times New Roman" w:hAnsi="Times New Roman" w:eastAsia="宋体" w:cs="Times New Roman"/>
          <w:sz w:val="24"/>
          <w:szCs w:val="24"/>
          <w:lang w:val="en-US" w:eastAsia="zh-CN"/>
        </w:rPr>
        <w:t xml:space="preserve"> </w:t>
      </w:r>
      <w:r>
        <w:rPr>
          <w:rFonts w:ascii="Times New Roman" w:hAnsi="Times New Roman" w:eastAsia="宋体" w:cs="Times New Roman"/>
          <w:sz w:val="24"/>
          <w:szCs w:val="24"/>
        </w:rPr>
        <w:t>环大气[2019]56号）符合性分析见表1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8</w:t>
      </w:r>
      <w:r>
        <w:rPr>
          <w:rFonts w:ascii="Times New Roman" w:hAnsi="Times New Roman" w:eastAsia="宋体" w:cs="Times New Roman"/>
          <w:sz w:val="24"/>
          <w:szCs w:val="24"/>
        </w:rPr>
        <w:t>。</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.3-</w:t>
      </w:r>
      <w:r>
        <w:rPr>
          <w:rFonts w:hint="eastAsia" w:cs="Times New Roman"/>
          <w:lang w:val="en-US" w:eastAsia="zh-CN"/>
        </w:rPr>
        <w:t>8</w:t>
      </w:r>
      <w:r>
        <w:rPr>
          <w:rFonts w:cs="Times New Roman"/>
        </w:rPr>
        <w:t xml:space="preserve">  与《</w:t>
      </w:r>
      <w:r>
        <w:rPr>
          <w:rFonts w:hint="eastAsia" w:cs="Times New Roman"/>
        </w:rPr>
        <w:t>工业</w:t>
      </w:r>
      <w:r>
        <w:rPr>
          <w:rFonts w:cs="Times New Roman"/>
        </w:rPr>
        <w:t>炉窑大气污染</w:t>
      </w:r>
      <w:r>
        <w:rPr>
          <w:rFonts w:hint="eastAsia" w:cs="Times New Roman"/>
        </w:rPr>
        <w:t>综合</w:t>
      </w:r>
      <w:r>
        <w:rPr>
          <w:rFonts w:cs="Times New Roman"/>
        </w:rPr>
        <w:t>治理方案》相符性分析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4505"/>
        <w:gridCol w:w="2861"/>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序号</w:t>
            </w:r>
          </w:p>
        </w:tc>
        <w:tc>
          <w:tcPr>
            <w:tcW w:w="4505" w:type="dxa"/>
            <w:tcBorders>
              <w:tl2br w:val="nil"/>
              <w:tr2bl w:val="nil"/>
            </w:tcBorders>
            <w:vAlign w:val="center"/>
          </w:tcPr>
          <w:p>
            <w:pPr>
              <w:pStyle w:val="31"/>
              <w:keepNext w:val="0"/>
              <w:keepLines w:val="0"/>
              <w:pageBreakBefore w:val="0"/>
              <w:kinsoku/>
              <w:wordWrap/>
              <w:bidi w:val="0"/>
              <w:snapToGrid/>
              <w:spacing w:line="240" w:lineRule="auto"/>
              <w:rPr>
                <w:rFonts w:cs="Times New Roman"/>
                <w:b/>
                <w:bCs/>
              </w:rPr>
            </w:pPr>
            <w:r>
              <w:rPr>
                <w:rFonts w:eastAsia="宋体" w:cs="Times New Roman"/>
                <w:b/>
                <w:bCs/>
                <w:sz w:val="21"/>
                <w:szCs w:val="21"/>
              </w:rPr>
              <w:t>文件内容要求</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1"/>
              </w:rPr>
              <w:t>芜湖新兴铸管实际建设情况</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1</w:t>
            </w:r>
          </w:p>
        </w:tc>
        <w:tc>
          <w:tcPr>
            <w:tcW w:w="450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rPr>
                <w:rFonts w:hint="eastAsia"/>
                <w:lang w:eastAsia="zh-CN"/>
              </w:rPr>
              <w:t>钢铁：</w:t>
            </w:r>
            <w:r>
              <w:rPr>
                <w:rFonts w:hint="eastAsia" w:eastAsia="宋体"/>
                <w:lang w:eastAsia="zh-CN"/>
              </w:rPr>
              <w:t>按照《关于推进实施钢铁行业超低排放的意见》要求，对烧结、球团、炼铁、炼钢、轧钢、石灰窑等工业炉窑实施升级改造</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lang w:val="en-US" w:eastAsia="zh-CN"/>
              </w:rPr>
            </w:pPr>
            <w:r>
              <w:rPr>
                <w:rFonts w:hint="eastAsia"/>
                <w:lang w:val="en-US" w:eastAsia="zh-CN"/>
              </w:rPr>
              <w:t>厂区目前已列出超低排放改造计划，具体见表7.7-3</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rFonts w:hint="eastAsia"/>
                <w:lang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2</w:t>
            </w:r>
          </w:p>
        </w:tc>
        <w:tc>
          <w:tcPr>
            <w:tcW w:w="4505" w:type="dxa"/>
            <w:tcBorders>
              <w:tl2br w:val="nil"/>
              <w:tr2bl w:val="nil"/>
            </w:tcBorders>
            <w:vAlign w:val="center"/>
          </w:tcPr>
          <w:p>
            <w:pPr>
              <w:pStyle w:val="41"/>
              <w:keepNext w:val="0"/>
              <w:keepLines w:val="0"/>
              <w:pageBreakBefore w:val="0"/>
              <w:kinsoku/>
              <w:wordWrap/>
              <w:bidi w:val="0"/>
              <w:snapToGrid/>
              <w:spacing w:line="240" w:lineRule="auto"/>
            </w:pPr>
            <w:r>
              <w:rPr>
                <w:rFonts w:hint="eastAsia" w:ascii="宋体" w:hAnsi="宋体" w:cs="宋体"/>
                <w:b w:val="0"/>
                <w:i w:val="0"/>
                <w:caps w:val="0"/>
                <w:color w:val="000000"/>
                <w:spacing w:val="0"/>
                <w:sz w:val="21"/>
                <w:szCs w:val="21"/>
                <w:shd w:val="clear" w:fill="FFFFFF"/>
                <w:lang w:eastAsia="zh-CN"/>
              </w:rPr>
              <w:t>焦化：</w:t>
            </w:r>
            <w:r>
              <w:rPr>
                <w:rFonts w:hint="eastAsia" w:ascii="宋体" w:hAnsi="宋体" w:eastAsia="宋体" w:cs="宋体"/>
                <w:b w:val="0"/>
                <w:i w:val="0"/>
                <w:caps w:val="0"/>
                <w:color w:val="000000"/>
                <w:spacing w:val="0"/>
                <w:sz w:val="21"/>
                <w:szCs w:val="21"/>
                <w:shd w:val="clear" w:fill="FFFFFF"/>
              </w:rPr>
              <w:t>参照《关于推进实施钢铁行业超低排放的意见》要求，对焦炉等实施升级改造</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lang w:val="en-US" w:eastAsia="zh-CN"/>
              </w:rPr>
            </w:pPr>
            <w:r>
              <w:rPr>
                <w:rFonts w:hint="eastAsia"/>
                <w:lang w:eastAsia="zh-CN"/>
              </w:rPr>
              <w:t>厂区目前正在对焦炉烟气控硝及脱硫脱硝进行改造，项目已于</w:t>
            </w:r>
            <w:r>
              <w:rPr>
                <w:rFonts w:hint="eastAsia"/>
                <w:lang w:val="en-US" w:eastAsia="zh-CN"/>
              </w:rPr>
              <w:t>2018年12月31日通过芜湖市环保局审批（</w:t>
            </w:r>
            <w:r>
              <w:rPr>
                <w:rFonts w:ascii="Times New Roman" w:hAnsi="Times New Roman" w:eastAsia="宋体" w:cs="Times New Roman"/>
                <w:szCs w:val="21"/>
              </w:rPr>
              <w:t>芜环评审[2018]527号</w:t>
            </w:r>
            <w:r>
              <w:rPr>
                <w:rFonts w:hint="eastAsia"/>
                <w:lang w:val="en-US" w:eastAsia="zh-CN"/>
              </w:rPr>
              <w:t>），工程内容主要为</w:t>
            </w:r>
            <w:r>
              <w:rPr>
                <w:rFonts w:ascii="Times New Roman" w:hAnsi="Times New Roman" w:eastAsia="宋体" w:cs="Times New Roman"/>
                <w:szCs w:val="21"/>
              </w:rPr>
              <w:t>采用新型催化法脱硫+低温SCR脱硝装置处理焦炉烟气中的烟尘、SO</w:t>
            </w:r>
            <w:r>
              <w:rPr>
                <w:rFonts w:ascii="Times New Roman" w:hAnsi="Times New Roman" w:eastAsia="宋体" w:cs="Times New Roman"/>
                <w:szCs w:val="21"/>
                <w:vertAlign w:val="subscript"/>
              </w:rPr>
              <w:t>2</w:t>
            </w:r>
            <w:r>
              <w:rPr>
                <w:rFonts w:ascii="Times New Roman" w:hAnsi="Times New Roman" w:eastAsia="宋体" w:cs="Times New Roman"/>
                <w:szCs w:val="21"/>
              </w:rPr>
              <w:t>、NOx</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3</w:t>
            </w:r>
          </w:p>
        </w:tc>
        <w:tc>
          <w:tcPr>
            <w:tcW w:w="4505"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lang w:val="en-US" w:eastAsia="zh-CN"/>
              </w:rPr>
            </w:pPr>
            <w:r>
              <w:rPr>
                <w:rFonts w:hint="eastAsia"/>
                <w:lang w:eastAsia="zh-CN"/>
              </w:rPr>
              <w:t>其余无组织监控方式见《关于推进实施钢铁行业超低排放的意见》</w:t>
            </w:r>
            <w:r>
              <w:rPr>
                <w:rFonts w:hint="eastAsia"/>
                <w:lang w:val="en-US" w:eastAsia="zh-CN"/>
              </w:rPr>
              <w:t>内容</w:t>
            </w:r>
          </w:p>
        </w:tc>
        <w:tc>
          <w:tcPr>
            <w:tcW w:w="2861" w:type="dxa"/>
            <w:tcBorders>
              <w:tl2br w:val="nil"/>
              <w:tr2bl w:val="nil"/>
            </w:tcBorders>
            <w:vAlign w:val="center"/>
          </w:tcPr>
          <w:p>
            <w:pPr>
              <w:pStyle w:val="41"/>
              <w:keepNext w:val="0"/>
              <w:keepLines w:val="0"/>
              <w:pageBreakBefore w:val="0"/>
              <w:kinsoku/>
              <w:wordWrap/>
              <w:bidi w:val="0"/>
              <w:snapToGrid/>
              <w:spacing w:line="240" w:lineRule="auto"/>
              <w:rPr>
                <w:rFonts w:hint="default" w:eastAsia="宋体"/>
                <w:szCs w:val="22"/>
                <w:lang w:val="en-US" w:eastAsia="zh-CN"/>
              </w:rPr>
            </w:pPr>
            <w:r>
              <w:rPr>
                <w:rFonts w:hint="eastAsia"/>
                <w:szCs w:val="22"/>
                <w:lang w:eastAsia="zh-CN"/>
              </w:rPr>
              <w:t>厂区无组织监控方式具体见表</w:t>
            </w:r>
            <w:r>
              <w:rPr>
                <w:rFonts w:hint="eastAsia"/>
                <w:szCs w:val="22"/>
                <w:lang w:val="en-US" w:eastAsia="zh-CN"/>
              </w:rPr>
              <w:t>10.3-7所示</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val="en-US" w:eastAsia="zh-CN"/>
              </w:rPr>
              <w:t>/</w:t>
            </w:r>
          </w:p>
        </w:tc>
      </w:tr>
    </w:tbl>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0</w:t>
      </w:r>
      <w:r>
        <w:rPr>
          <w:rFonts w:ascii="Times New Roman" w:hAnsi="Times New Roman" w:eastAsia="黑体" w:cs="Times New Roman"/>
          <w:sz w:val="24"/>
          <w:szCs w:val="24"/>
        </w:rPr>
        <w:t>.3.</w:t>
      </w:r>
      <w:r>
        <w:rPr>
          <w:rFonts w:hint="eastAsia" w:ascii="Times New Roman" w:hAnsi="Times New Roman" w:eastAsia="黑体" w:cs="Times New Roman"/>
          <w:sz w:val="24"/>
          <w:szCs w:val="24"/>
          <w:lang w:val="en-US" w:eastAsia="zh-CN"/>
        </w:rPr>
        <w:t>9</w:t>
      </w:r>
      <w:r>
        <w:rPr>
          <w:rFonts w:ascii="Times New Roman" w:hAnsi="Times New Roman" w:eastAsia="黑体" w:cs="Times New Roman"/>
          <w:sz w:val="24"/>
          <w:szCs w:val="24"/>
        </w:rPr>
        <w:t>与“三线一单”相符性分析</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关于以改善环境质量为核心加强环境影响评价管理的通知》（以下简称《通知》）要求强化“三线一单”约束作用。“三线一单”，即落实“生态保护红线、环境质量底线、资源利用上线和环境准入负面清单”约束。本项目与《通知》的符合性分析见表1</w:t>
      </w:r>
      <w:r>
        <w:rPr>
          <w:rFonts w:hint="eastAsia" w:ascii="Times New Roman" w:hAnsi="Times New Roman" w:eastAsia="宋体" w:cs="Times New Roman"/>
          <w:sz w:val="24"/>
          <w:szCs w:val="24"/>
          <w:lang w:val="en-US" w:eastAsia="zh-CN"/>
        </w:rPr>
        <w:t>0</w:t>
      </w:r>
      <w:r>
        <w:rPr>
          <w:rFonts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9</w:t>
      </w:r>
      <w:r>
        <w:rPr>
          <w:rFonts w:ascii="Times New Roman" w:hAnsi="Times New Roman" w:eastAsia="宋体" w:cs="Times New Roman"/>
          <w:sz w:val="24"/>
          <w:szCs w:val="24"/>
        </w:rPr>
        <w:t>。</w:t>
      </w:r>
    </w:p>
    <w:p>
      <w:pPr>
        <w:pStyle w:val="31"/>
        <w:keepNext w:val="0"/>
        <w:keepLines w:val="0"/>
        <w:pageBreakBefore w:val="0"/>
        <w:kinsoku/>
        <w:wordWrap/>
        <w:bidi w:val="0"/>
        <w:snapToGrid/>
        <w:spacing w:line="360" w:lineRule="auto"/>
        <w:rPr>
          <w:rFonts w:cs="Times New Roman"/>
        </w:rPr>
      </w:pPr>
      <w:r>
        <w:rPr>
          <w:rFonts w:cs="Times New Roman"/>
        </w:rPr>
        <w:t>表1</w:t>
      </w:r>
      <w:r>
        <w:rPr>
          <w:rFonts w:hint="eastAsia" w:cs="Times New Roman"/>
          <w:lang w:val="en-US" w:eastAsia="zh-CN"/>
        </w:rPr>
        <w:t>0</w:t>
      </w:r>
      <w:r>
        <w:rPr>
          <w:rFonts w:cs="Times New Roman"/>
        </w:rPr>
        <w:t>.3-</w:t>
      </w:r>
      <w:r>
        <w:rPr>
          <w:rFonts w:hint="eastAsia" w:cs="Times New Roman"/>
          <w:lang w:val="en-US" w:eastAsia="zh-CN"/>
        </w:rPr>
        <w:t>9</w:t>
      </w:r>
      <w:r>
        <w:rPr>
          <w:rFonts w:cs="Times New Roman"/>
        </w:rPr>
        <w:t xml:space="preserve">  与“三线一单”相符性分析</w:t>
      </w:r>
    </w:p>
    <w:tbl>
      <w:tblPr>
        <w:tblStyle w:val="22"/>
        <w:tblW w:w="90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320"/>
        <w:gridCol w:w="3155"/>
        <w:gridCol w:w="2891"/>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序号</w:t>
            </w:r>
          </w:p>
        </w:tc>
        <w:tc>
          <w:tcPr>
            <w:tcW w:w="4475" w:type="dxa"/>
            <w:gridSpan w:val="2"/>
            <w:tcBorders>
              <w:tl2br w:val="nil"/>
              <w:tr2bl w:val="nil"/>
            </w:tcBorders>
            <w:vAlign w:val="center"/>
          </w:tcPr>
          <w:p>
            <w:pPr>
              <w:pStyle w:val="31"/>
              <w:keepNext w:val="0"/>
              <w:keepLines w:val="0"/>
              <w:pageBreakBefore w:val="0"/>
              <w:kinsoku/>
              <w:wordWrap/>
              <w:bidi w:val="0"/>
              <w:snapToGrid/>
              <w:spacing w:line="240" w:lineRule="auto"/>
              <w:rPr>
                <w:rFonts w:cs="Times New Roman"/>
                <w:b/>
                <w:bCs/>
              </w:rPr>
            </w:pPr>
            <w:r>
              <w:rPr>
                <w:rFonts w:eastAsia="宋体" w:cs="Times New Roman"/>
                <w:b/>
                <w:bCs/>
                <w:sz w:val="21"/>
                <w:szCs w:val="21"/>
              </w:rPr>
              <w:t>文件内容要求</w:t>
            </w:r>
          </w:p>
        </w:tc>
        <w:tc>
          <w:tcPr>
            <w:tcW w:w="2891"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1"/>
              </w:rPr>
              <w:t>芜湖新兴铸管实际建设情况</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b/>
                <w:bCs/>
                <w:szCs w:val="22"/>
              </w:rPr>
            </w:pPr>
            <w:r>
              <w:rPr>
                <w:b/>
                <w:bCs/>
                <w:szCs w:val="22"/>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1</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生态保护红线</w:t>
            </w:r>
          </w:p>
        </w:tc>
        <w:tc>
          <w:tcPr>
            <w:tcW w:w="315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除受自然条件限制、确实无法避让的铁路、公路、航道、防洪、管道、干渠、通讯、输变电等重要基础设施项目外，在生态保护红线范围内，严控各类开发建设活动，依法不予审批新建工业项目和矿产开发项目的环</w:t>
            </w:r>
          </w:p>
          <w:p>
            <w:pPr>
              <w:pStyle w:val="41"/>
              <w:keepNext w:val="0"/>
              <w:keepLines w:val="0"/>
              <w:pageBreakBefore w:val="0"/>
              <w:kinsoku/>
              <w:wordWrap/>
              <w:bidi w:val="0"/>
              <w:snapToGrid/>
              <w:spacing w:line="240" w:lineRule="auto"/>
              <w:rPr>
                <w:szCs w:val="22"/>
              </w:rPr>
            </w:pPr>
            <w:r>
              <w:rPr>
                <w:szCs w:val="22"/>
              </w:rPr>
              <w:t>评文件</w:t>
            </w:r>
          </w:p>
        </w:tc>
        <w:tc>
          <w:tcPr>
            <w:tcW w:w="2891"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lang w:eastAsia="zh-CN"/>
              </w:rPr>
            </w:pPr>
            <w:r>
              <w:t>根据安徽省人民政府2018年6月发布的《安徽省生态保护红线》，国家公园、自然保护区、森林公园的生态保育区和：核心景观区、风景名胜区的核心景区、地质公园的地质遗迹保护区、世界自然遗产的核心区和缓冲区、湿地公园的湿地保育区和恢复重建区、饮用水水源地的一级保护区、水产种质资源保护区的核心等国家级和省级禁止开发区域纳入生态保护红线的具体范围，本项目不涉及生态红线。厂区与芜湖市生态红线规划图见图11.3-1</w:t>
            </w:r>
            <w:r>
              <w:rPr>
                <w:rFonts w:hint="eastAsia"/>
                <w:lang w:eastAsia="zh-CN"/>
              </w:rPr>
              <w:t>所示</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2</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shd w:val="clear" w:color="auto" w:fill="FFFFFF"/>
              </w:rPr>
            </w:pPr>
            <w:r>
              <w:rPr>
                <w:shd w:val="clear" w:color="auto" w:fill="FFFFFF"/>
              </w:rPr>
              <w:t>环境质量底线</w:t>
            </w:r>
          </w:p>
        </w:tc>
        <w:tc>
          <w:tcPr>
            <w:tcW w:w="3155" w:type="dxa"/>
            <w:tcBorders>
              <w:tl2br w:val="nil"/>
              <w:tr2bl w:val="nil"/>
            </w:tcBorders>
            <w:vAlign w:val="center"/>
          </w:tcPr>
          <w:p>
            <w:pPr>
              <w:pStyle w:val="41"/>
              <w:keepNext w:val="0"/>
              <w:keepLines w:val="0"/>
              <w:pageBreakBefore w:val="0"/>
              <w:kinsoku/>
              <w:wordWrap/>
              <w:bidi w:val="0"/>
              <w:snapToGrid/>
              <w:spacing w:line="240" w:lineRule="auto"/>
              <w:rPr>
                <w:color w:val="333333"/>
                <w:shd w:val="clear" w:color="auto" w:fill="FFFFFF"/>
              </w:rPr>
            </w:pPr>
            <w:r>
              <w:rPr>
                <w:color w:val="333333"/>
                <w:shd w:val="clear" w:color="auto" w:fill="FFFFFF"/>
              </w:rPr>
              <w:t>项目环评应对照区域环境质量目标，深入分析预测项目建设对环境质量的影响，强化污染防治措施和污染物排放控制要求</w:t>
            </w:r>
          </w:p>
        </w:tc>
        <w:tc>
          <w:tcPr>
            <w:tcW w:w="289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厂区废气经处理达标后经排气简排放；</w:t>
            </w:r>
            <w:r>
              <w:t>厂区生产废水、生活污水经全厂综合污水处理中心处理后全部回用，不外排；</w:t>
            </w:r>
            <w:r>
              <w:rPr>
                <w:szCs w:val="21"/>
              </w:rPr>
              <w:t>噪声污染源按照工业设备安装的有关规范，采用隔声减振降噪等措施处理，可使厂界达到工业企业噪声3类标准；固体废物分类处置，不会产生二次污染。在采取上述防治措施后，本项目建没不会对区域环境造成不良影响</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3</w:t>
            </w:r>
          </w:p>
        </w:tc>
        <w:tc>
          <w:tcPr>
            <w:tcW w:w="4475" w:type="dxa"/>
            <w:gridSpan w:val="2"/>
            <w:tcBorders>
              <w:tl2br w:val="nil"/>
              <w:tr2bl w:val="nil"/>
            </w:tcBorders>
            <w:vAlign w:val="center"/>
          </w:tcPr>
          <w:p>
            <w:pPr>
              <w:pStyle w:val="41"/>
              <w:keepNext w:val="0"/>
              <w:keepLines w:val="0"/>
              <w:pageBreakBefore w:val="0"/>
              <w:kinsoku/>
              <w:wordWrap/>
              <w:bidi w:val="0"/>
              <w:snapToGrid/>
              <w:spacing w:line="240" w:lineRule="auto"/>
              <w:rPr>
                <w:color w:val="333333"/>
                <w:shd w:val="clear" w:color="auto" w:fill="FFFFFF"/>
              </w:rPr>
            </w:pPr>
            <w:r>
              <w:rPr>
                <w:shd w:val="clear" w:color="auto" w:fill="FFFFFF"/>
              </w:rPr>
              <w:t>资源利用上线</w:t>
            </w:r>
          </w:p>
        </w:tc>
        <w:tc>
          <w:tcPr>
            <w:tcW w:w="2891" w:type="dxa"/>
            <w:tcBorders>
              <w:tl2br w:val="nil"/>
              <w:tr2bl w:val="nil"/>
            </w:tcBorders>
            <w:vAlign w:val="center"/>
          </w:tcPr>
          <w:p>
            <w:pPr>
              <w:pStyle w:val="41"/>
              <w:keepNext w:val="0"/>
              <w:keepLines w:val="0"/>
              <w:pageBreakBefore w:val="0"/>
              <w:kinsoku/>
              <w:wordWrap/>
              <w:bidi w:val="0"/>
              <w:snapToGrid/>
              <w:spacing w:line="240" w:lineRule="auto"/>
              <w:rPr>
                <w:szCs w:val="21"/>
              </w:rPr>
            </w:pPr>
            <w:r>
              <w:rPr>
                <w:szCs w:val="21"/>
              </w:rPr>
              <w:t>厂区现状用地属于工业用地，不占用基本农田、林地等土地资源；项目所需的电能由市政供电系统供应；生活取水来自芜湖市三山区自来水管网，生产取水来自长江</w:t>
            </w:r>
            <w:r>
              <w:rPr>
                <w:szCs w:val="21"/>
                <w:highlight w:val="none"/>
              </w:rPr>
              <w:t>，厂区内水重复利用率为97.</w:t>
            </w:r>
            <w:r>
              <w:rPr>
                <w:rFonts w:hint="eastAsia"/>
                <w:szCs w:val="21"/>
                <w:highlight w:val="none"/>
                <w:lang w:val="en-US" w:eastAsia="zh-CN"/>
              </w:rPr>
              <w:t>89</w:t>
            </w:r>
            <w:r>
              <w:rPr>
                <w:szCs w:val="21"/>
                <w:highlight w:val="none"/>
              </w:rPr>
              <w:t>%。</w:t>
            </w:r>
            <w:r>
              <w:rPr>
                <w:szCs w:val="21"/>
              </w:rPr>
              <w:t>厂区资源消耗量占区域资源利用总量较少，没有突破区域资源利用上线</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0"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4</w:t>
            </w:r>
          </w:p>
        </w:tc>
        <w:tc>
          <w:tcPr>
            <w:tcW w:w="1320" w:type="dxa"/>
            <w:tcBorders>
              <w:tl2br w:val="nil"/>
              <w:tr2bl w:val="nil"/>
            </w:tcBorders>
            <w:vAlign w:val="center"/>
          </w:tcPr>
          <w:p>
            <w:pPr>
              <w:pStyle w:val="41"/>
              <w:keepNext w:val="0"/>
              <w:keepLines w:val="0"/>
              <w:pageBreakBefore w:val="0"/>
              <w:kinsoku/>
              <w:wordWrap/>
              <w:bidi w:val="0"/>
              <w:snapToGrid/>
              <w:spacing w:line="240" w:lineRule="auto"/>
              <w:rPr>
                <w:rFonts w:hint="eastAsia" w:eastAsia="宋体"/>
                <w:szCs w:val="22"/>
                <w:lang w:eastAsia="zh-CN"/>
              </w:rPr>
            </w:pPr>
            <w:r>
              <w:rPr>
                <w:rFonts w:hint="eastAsia"/>
                <w:szCs w:val="22"/>
                <w:lang w:eastAsia="zh-CN"/>
              </w:rPr>
              <w:t>生态环境准入清单</w:t>
            </w:r>
          </w:p>
        </w:tc>
        <w:tc>
          <w:tcPr>
            <w:tcW w:w="315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芜湖三山经济开发区控制性详规（调整）环境影响报告书（环审[2013]56号）中环境准入负面清单</w:t>
            </w:r>
          </w:p>
        </w:tc>
        <w:tc>
          <w:tcPr>
            <w:tcW w:w="2891"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负面清单”中未明确钢铁行业属于禁止进入的企业，按照“非禁即入”原则。根据《产业结构调整指导目录（2011年本）（2013年修订）》（2011年3月27日国家发展改革委第9号令公布，2013年2月16日国家发展改革委第21号令公布修正），现有厂区采用了5项鼓励技术装备，无淘汰类及落后类钢铁行业的产品和技术装备，因此不属于禁止发展项目</w:t>
            </w:r>
          </w:p>
        </w:tc>
        <w:tc>
          <w:tcPr>
            <w:tcW w:w="935" w:type="dxa"/>
            <w:tcBorders>
              <w:tl2br w:val="nil"/>
              <w:tr2bl w:val="nil"/>
            </w:tcBorders>
            <w:vAlign w:val="center"/>
          </w:tcPr>
          <w:p>
            <w:pPr>
              <w:pStyle w:val="41"/>
              <w:keepNext w:val="0"/>
              <w:keepLines w:val="0"/>
              <w:pageBreakBefore w:val="0"/>
              <w:kinsoku/>
              <w:wordWrap/>
              <w:bidi w:val="0"/>
              <w:snapToGrid/>
              <w:spacing w:line="240" w:lineRule="auto"/>
              <w:rPr>
                <w:szCs w:val="22"/>
              </w:rPr>
            </w:pPr>
            <w:r>
              <w:rPr>
                <w:szCs w:val="22"/>
              </w:rPr>
              <w:t>符合</w:t>
            </w:r>
          </w:p>
        </w:tc>
      </w:tr>
    </w:tbl>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kinsoku/>
        <w:wordWrap/>
        <w:bidi w:val="0"/>
        <w:snapToGrid/>
        <w:jc w:val="center"/>
        <w:rPr>
          <w:rFonts w:ascii="Times New Roman" w:hAnsi="Times New Roman" w:cs="Times New Roma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cs="Times New Roman"/>
        </w:rPr>
        <w:pict>
          <v:shape id="_x0000_s1033" o:spid="_x0000_s1033" o:spt="202" type="#_x0000_t202" style="position:absolute;left:0pt;margin-left:219.2pt;margin-top:411.4pt;height:42.75pt;width:274.55pt;z-index:251740160;mso-width-relative:page;mso-height-relative:page;" filled="f" stroked="f" coordsize="21600,21600">
            <v:path/>
            <v:fill on="f" focussize="0,0"/>
            <v:stroke on="f" joinstyle="miter"/>
            <v:imagedata o:title=""/>
            <o:lock v:ext="edit"/>
            <v:textbox>
              <w:txbxContent>
                <w:p>
                  <w:pPr>
                    <w:pStyle w:val="31"/>
                    <w:snapToGrid/>
                    <w:spacing w:line="360" w:lineRule="auto"/>
                    <w:rPr>
                      <w:rFonts w:eastAsiaTheme="minorEastAsia"/>
                    </w:rPr>
                  </w:pPr>
                  <w:r>
                    <w:rPr>
                      <w:rFonts w:hint="eastAsia" w:cs="Times New Roman"/>
                    </w:rPr>
                    <w:t>图1</w:t>
                  </w:r>
                  <w:r>
                    <w:rPr>
                      <w:rFonts w:hint="eastAsia" w:cs="Times New Roman"/>
                      <w:lang w:val="en-US" w:eastAsia="zh-CN"/>
                    </w:rPr>
                    <w:t>0</w:t>
                  </w:r>
                  <w:r>
                    <w:rPr>
                      <w:rFonts w:hint="eastAsia" w:cs="Times New Roman"/>
                    </w:rPr>
                    <w:t>.3-1  厂区与芜湖市生态红线位置关系图</w:t>
                  </w:r>
                </w:p>
              </w:txbxContent>
            </v:textbox>
          </v:shape>
        </w:pict>
      </w:r>
      <w:r>
        <w:rPr>
          <w:rFonts w:ascii="Times New Roman" w:hAnsi="Times New Roman" w:cs="Times New Roman"/>
        </w:rPr>
        <w:drawing>
          <wp:inline distT="0" distB="0" distL="114300" distR="114300">
            <wp:extent cx="7452995" cy="5271135"/>
            <wp:effectExtent l="0" t="0" r="14605" b="5715"/>
            <wp:docPr id="84" name="图片 84" descr="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5.10"/>
                    <pic:cNvPicPr>
                      <a:picLocks noChangeAspect="1"/>
                    </pic:cNvPicPr>
                  </pic:nvPicPr>
                  <pic:blipFill>
                    <a:blip r:embed="rId157"/>
                    <a:stretch>
                      <a:fillRect/>
                    </a:stretch>
                  </pic:blipFill>
                  <pic:spPr>
                    <a:xfrm>
                      <a:off x="0" y="0"/>
                      <a:ext cx="7452995" cy="5271135"/>
                    </a:xfrm>
                    <a:prstGeom prst="rect">
                      <a:avLst/>
                    </a:prstGeom>
                  </pic:spPr>
                </pic:pic>
              </a:graphicData>
            </a:graphic>
          </wp:inline>
        </w:drawing>
      </w:r>
    </w:p>
    <w:p>
      <w:pPr>
        <w:keepNext w:val="0"/>
        <w:keepLines w:val="0"/>
        <w:pageBreakBefore w:val="0"/>
        <w:kinsoku/>
        <w:wordWrap/>
        <w:bidi w:val="0"/>
        <w:snapToGrid/>
        <w:spacing w:before="156" w:beforeLines="50" w:after="156" w:afterLines="50" w:line="360" w:lineRule="auto"/>
        <w:jc w:val="center"/>
        <w:outlineLvl w:val="0"/>
        <w:rPr>
          <w:rFonts w:ascii="Times New Roman" w:hAnsi="Times New Roman" w:eastAsia="黑体" w:cs="Times New Roman"/>
          <w:sz w:val="44"/>
          <w:szCs w:val="44"/>
        </w:rPr>
      </w:pPr>
      <w:r>
        <w:rPr>
          <w:rFonts w:ascii="Times New Roman" w:hAnsi="Times New Roman" w:eastAsia="黑体" w:cs="Times New Roman"/>
          <w:sz w:val="44"/>
          <w:szCs w:val="44"/>
        </w:rPr>
        <w:t>1</w:t>
      </w:r>
      <w:r>
        <w:rPr>
          <w:rFonts w:hint="eastAsia" w:ascii="Times New Roman" w:hAnsi="Times New Roman" w:eastAsia="黑体" w:cs="Times New Roman"/>
          <w:sz w:val="44"/>
          <w:szCs w:val="44"/>
          <w:lang w:val="en-US" w:eastAsia="zh-CN"/>
        </w:rPr>
        <w:t>1</w:t>
      </w:r>
      <w:r>
        <w:rPr>
          <w:rFonts w:ascii="Times New Roman" w:hAnsi="Times New Roman" w:eastAsia="黑体" w:cs="Times New Roman"/>
          <w:sz w:val="44"/>
          <w:szCs w:val="44"/>
        </w:rPr>
        <w:t>环境影响后评价结论</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w:t>
      </w:r>
      <w:r>
        <w:rPr>
          <w:rFonts w:hint="eastAsia" w:ascii="Times New Roman"/>
          <w:b w:val="0"/>
          <w:lang w:val="en-US" w:eastAsia="zh-CN"/>
        </w:rPr>
        <w:t>1</w:t>
      </w:r>
      <w:r>
        <w:rPr>
          <w:rFonts w:ascii="Times New Roman"/>
          <w:b w:val="0"/>
        </w:rPr>
        <w:t>.1建设项目回顾</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.1.1环评、验收及环保措施落实情况</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.1.1.1项目发展历史及审批情况</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有限责任公司于2003年4月27日正式挂牌，由新兴铸管股份有限公司（出资60%）和新兴铸管集团有限公司（出资40%）共同出资，重组原芜湖钢铁厂和芜湖焦化制气有限公司后成立的，为新兴铸管股份有限公司的全资子公司。公司注册资金5亿元，经营范围为离心球墨铸铁管、钢铁冶炼及压延加工等。</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芜湖新兴铸管老厂区位于安徽省芜湖市弋江区，属于市中心区。碍于城市日益严格的环保要求及周围场地的限制，弋江生产区已没有发展空间。芜湖新兴铸管为了企业的发展，于2015年10月搬迁至三山经济开发区。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芜湖新兴铸管现有厂区拥有焦化、烧结、炼铁、铸管、炼钢、轧钢等生产工艺装备以及燃气系统、动力系统等生产辅助设施。具有198万t铁水、80万t球墨铸铁管、150万t钢水、80万t线材及90万t棒材的生产能力，拥有职工5500人。</w:t>
      </w:r>
      <w:r>
        <w:rPr>
          <w:rFonts w:ascii="Times New Roman" w:hAnsi="Times New Roman" w:eastAsia="宋体" w:cs="Times New Roman"/>
          <w:bCs/>
          <w:sz w:val="24"/>
          <w:szCs w:val="24"/>
          <w:highlight w:val="none"/>
        </w:rPr>
        <w:t>2018年生产铁水</w:t>
      </w:r>
      <w:r>
        <w:rPr>
          <w:rFonts w:hint="eastAsia" w:ascii="Times New Roman" w:hAnsi="Times New Roman" w:eastAsia="宋体" w:cs="Times New Roman"/>
          <w:bCs/>
          <w:sz w:val="24"/>
          <w:szCs w:val="24"/>
          <w:highlight w:val="none"/>
          <w:lang w:val="en-US" w:eastAsia="zh-CN"/>
        </w:rPr>
        <w:t>196.2</w:t>
      </w:r>
      <w:r>
        <w:rPr>
          <w:rFonts w:ascii="Times New Roman" w:hAnsi="Times New Roman" w:eastAsia="宋体" w:cs="Times New Roman"/>
          <w:bCs/>
          <w:sz w:val="24"/>
          <w:szCs w:val="24"/>
          <w:highlight w:val="none"/>
        </w:rPr>
        <w:t>万t，钢水</w:t>
      </w:r>
      <w:r>
        <w:rPr>
          <w:rFonts w:hint="eastAsia" w:ascii="Times New Roman" w:hAnsi="Times New Roman" w:eastAsia="宋体" w:cs="Times New Roman"/>
          <w:bCs/>
          <w:sz w:val="24"/>
          <w:szCs w:val="24"/>
          <w:highlight w:val="none"/>
          <w:lang w:val="en-US" w:eastAsia="zh-CN"/>
        </w:rPr>
        <w:t>143.85</w:t>
      </w:r>
      <w:r>
        <w:rPr>
          <w:rFonts w:ascii="Times New Roman" w:hAnsi="Times New Roman" w:eastAsia="宋体" w:cs="Times New Roman"/>
          <w:bCs/>
          <w:sz w:val="24"/>
          <w:szCs w:val="24"/>
          <w:highlight w:val="none"/>
        </w:rPr>
        <w:t>万t，连铸坯1</w:t>
      </w:r>
      <w:r>
        <w:rPr>
          <w:rFonts w:hint="eastAsia" w:ascii="Times New Roman" w:hAnsi="Times New Roman" w:eastAsia="宋体" w:cs="Times New Roman"/>
          <w:bCs/>
          <w:sz w:val="24"/>
          <w:szCs w:val="24"/>
          <w:highlight w:val="none"/>
          <w:lang w:val="en-US" w:eastAsia="zh-CN"/>
        </w:rPr>
        <w:t>41.51</w:t>
      </w:r>
      <w:r>
        <w:rPr>
          <w:rFonts w:ascii="Times New Roman" w:hAnsi="Times New Roman" w:eastAsia="宋体" w:cs="Times New Roman"/>
          <w:bCs/>
          <w:sz w:val="24"/>
          <w:szCs w:val="24"/>
          <w:highlight w:val="none"/>
        </w:rPr>
        <w:t>万t，球墨铸管</w:t>
      </w:r>
      <w:r>
        <w:rPr>
          <w:rFonts w:hint="eastAsia" w:ascii="Times New Roman" w:hAnsi="Times New Roman" w:eastAsia="宋体" w:cs="Times New Roman"/>
          <w:bCs/>
          <w:sz w:val="24"/>
          <w:szCs w:val="24"/>
          <w:highlight w:val="none"/>
          <w:lang w:val="en-US" w:eastAsia="zh-CN"/>
        </w:rPr>
        <w:t>65</w:t>
      </w:r>
      <w:r>
        <w:rPr>
          <w:rFonts w:ascii="Times New Roman" w:hAnsi="Times New Roman" w:eastAsia="宋体" w:cs="Times New Roman"/>
          <w:bCs/>
          <w:sz w:val="24"/>
          <w:szCs w:val="24"/>
          <w:highlight w:val="none"/>
        </w:rPr>
        <w:t>万t，铁水及钢水产量分别达产能的</w:t>
      </w:r>
      <w:r>
        <w:rPr>
          <w:rFonts w:hint="eastAsia" w:ascii="Times New Roman" w:hAnsi="Times New Roman" w:eastAsia="宋体" w:cs="Times New Roman"/>
          <w:bCs/>
          <w:sz w:val="24"/>
          <w:szCs w:val="24"/>
          <w:highlight w:val="none"/>
          <w:lang w:val="en-US" w:eastAsia="zh-CN"/>
        </w:rPr>
        <w:t>99.09</w:t>
      </w:r>
      <w:r>
        <w:rPr>
          <w:rFonts w:ascii="Times New Roman" w:hAnsi="Times New Roman" w:eastAsia="宋体" w:cs="Times New Roman"/>
          <w:bCs/>
          <w:sz w:val="24"/>
          <w:szCs w:val="24"/>
          <w:highlight w:val="none"/>
        </w:rPr>
        <w:t>%、</w:t>
      </w:r>
      <w:r>
        <w:rPr>
          <w:rFonts w:hint="eastAsia" w:ascii="Times New Roman" w:hAnsi="Times New Roman" w:eastAsia="宋体" w:cs="Times New Roman"/>
          <w:bCs/>
          <w:sz w:val="24"/>
          <w:szCs w:val="24"/>
          <w:highlight w:val="none"/>
          <w:lang w:val="en-US" w:eastAsia="zh-CN"/>
        </w:rPr>
        <w:t>94.34</w:t>
      </w:r>
      <w:r>
        <w:rPr>
          <w:rFonts w:ascii="Times New Roman" w:hAnsi="Times New Roman" w:eastAsia="宋体" w:cs="Times New Roman"/>
          <w:bCs/>
          <w:sz w:val="24"/>
          <w:szCs w:val="24"/>
          <w:highlight w:val="none"/>
        </w:rPr>
        <w:t>%</w:t>
      </w:r>
      <w:r>
        <w:rPr>
          <w:rFonts w:ascii="Times New Roman" w:hAnsi="Times New Roman" w:eastAsia="宋体" w:cs="Times New Roman"/>
          <w:bCs/>
          <w:sz w:val="24"/>
          <w:szCs w:val="24"/>
        </w:rPr>
        <w:t>。</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厂区审批情况见表2.1-1所示。</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.1.1.2项目环保措施落实情况</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项目环保措施已按环评批复、</w:t>
      </w:r>
      <w:r>
        <w:rPr>
          <w:rFonts w:ascii="Times New Roman" w:hAnsi="Times New Roman" w:eastAsia="宋体" w:cs="Times New Roman"/>
          <w:bCs/>
          <w:sz w:val="24"/>
          <w:szCs w:val="24"/>
        </w:rPr>
        <w:t>《芜湖新兴铸管有限责任公司搬迁技术改造项目环境影响报告书（现状评价）》批复、芜湖市环境保护委员会关于《芜湖市突出环境问题整改方案》的通知（芜环委办[2017]17号）等要求实施。</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具体环保措施落实情况见表2.1-2所示。</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.1.2环境管理与环境监测</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bCs/>
          <w:sz w:val="24"/>
          <w:szCs w:val="24"/>
        </w:rPr>
        <w:t>现有厂区已投产多年，搬迁前后生产规模、环保设施等均按原环评报告及环保验收中相关要求落实，符合环保“三同时”，落实了项目的污染治理设施，完成了环保设施竣工验收，申领排污许可证。</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有限责任公司（以下简称“新兴铸管”）设置专职机构和专职人员负责公司环境管理工作，制定较完善的环境管理制度和环境突发事故应急预案，项目污水分质分流管理、废气处理设施、危险废物暂存管理均有1名专职员工负责生产运行。</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新兴铸管环境管理档案基本齐全，各类环保处理设施运行台账、原始记录清楚完整，设施运行良好，整体环境管理水体较好。</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新兴铸管2017年和2018年度均委托了</w:t>
      </w:r>
      <w:r>
        <w:rPr>
          <w:rFonts w:ascii="Times New Roman" w:hAnsi="Times New Roman" w:eastAsia="宋体" w:cs="Times New Roman"/>
          <w:bCs/>
          <w:sz w:val="24"/>
          <w:szCs w:val="24"/>
        </w:rPr>
        <w:t>安徽基越环境监测公司对厂区废气污染源</w:t>
      </w:r>
      <w:r>
        <w:rPr>
          <w:rFonts w:ascii="Times New Roman" w:hAnsi="Times New Roman" w:eastAsia="宋体" w:cs="Times New Roman"/>
          <w:sz w:val="24"/>
          <w:szCs w:val="24"/>
        </w:rPr>
        <w:t>、废水污染源和厂界噪声进行了监测，监测结果均符合相关排放标准要求。</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.1.3公众意见收集调查</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本次公众参与是按照《环境影响评价公众参与办法》进行的，建设单位在评价期间，采取了现场公示等形式，广泛听取了相关部门和广大公众对于厂区建设的态度和意见。</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公布信息公告期间，评价单位和建设单位均未接到公众对于该项目的反馈信息。新兴铸管在运营期应加强环境保护管理；做好“三废“防治措施，并接受公开监督，听取公众意见，对提出意见的落实情况进行答复，以树立企业良好的环境形象，使更多的公众理解和支持本项目的建设和今后的发展。</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w:t>
      </w:r>
      <w:r>
        <w:rPr>
          <w:rFonts w:hint="eastAsia" w:ascii="Times New Roman"/>
          <w:b w:val="0"/>
          <w:lang w:val="en-US" w:eastAsia="zh-CN"/>
        </w:rPr>
        <w:t>1</w:t>
      </w:r>
      <w:r>
        <w:rPr>
          <w:rFonts w:ascii="Times New Roman"/>
          <w:b w:val="0"/>
        </w:rPr>
        <w:t>.2建设项目工程评价</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.2.1工程概况</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有限责任公司于2003年4月27日正式挂牌，由新兴铸管股份有限公司（出资60%）和新兴铸管集团有限公司（出资40%）共同出资，重组原芜湖钢铁厂和芜湖焦化制气有限公司后成立的，为新兴铸管股份有限公司的全资子公司。公司注册资金5亿元，经营范围为离心球墨铸铁管、钢铁冶炼及压延加工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芜湖新兴铸管老厂区位于安徽省芜湖市弋江区，属于市中心区。碍于城市日益严格的环保要求及周围场地的限制，弋江生产区已没有发展空间。芜湖新兴铸管为了企业的发展，于2015年10月搬迁至三山经济开发区。</w:t>
      </w:r>
    </w:p>
    <w:p>
      <w:pPr>
        <w:keepNext w:val="0"/>
        <w:keepLines w:val="0"/>
        <w:pageBreakBefore w:val="0"/>
        <w:kinsoku/>
        <w:wordWrap/>
        <w:autoSpaceDE w:val="0"/>
        <w:autoSpaceDN w:val="0"/>
        <w:bidi w:val="0"/>
        <w:adjustRightInd w:val="0"/>
        <w:snapToGrid/>
        <w:spacing w:line="360" w:lineRule="auto"/>
        <w:ind w:firstLine="480" w:firstLineChars="200"/>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芜湖新兴铸管现有厂区拥有焦化、烧结、炼铁、铸管、炼钢、轧钢等生产工艺装备以及燃气系统、动力系统等生产辅助设施。具有198万t铁水、80万t球墨铸铁管、150万t钢水、80万t线材及90万t棒材的生产能力，拥有职工5500人。</w:t>
      </w:r>
      <w:r>
        <w:rPr>
          <w:rFonts w:ascii="Times New Roman" w:hAnsi="Times New Roman" w:eastAsia="宋体" w:cs="Times New Roman"/>
          <w:bCs/>
          <w:sz w:val="24"/>
          <w:szCs w:val="24"/>
          <w:highlight w:val="none"/>
        </w:rPr>
        <w:t>2018年生产铁水</w:t>
      </w:r>
      <w:r>
        <w:rPr>
          <w:rFonts w:hint="eastAsia" w:ascii="Times New Roman" w:hAnsi="Times New Roman" w:eastAsia="宋体" w:cs="Times New Roman"/>
          <w:bCs/>
          <w:sz w:val="24"/>
          <w:szCs w:val="24"/>
          <w:highlight w:val="none"/>
          <w:lang w:val="en-US" w:eastAsia="zh-CN"/>
        </w:rPr>
        <w:t>196.2</w:t>
      </w:r>
      <w:r>
        <w:rPr>
          <w:rFonts w:ascii="Times New Roman" w:hAnsi="Times New Roman" w:eastAsia="宋体" w:cs="Times New Roman"/>
          <w:bCs/>
          <w:sz w:val="24"/>
          <w:szCs w:val="24"/>
          <w:highlight w:val="none"/>
        </w:rPr>
        <w:t>万t，钢水</w:t>
      </w:r>
      <w:r>
        <w:rPr>
          <w:rFonts w:hint="eastAsia" w:ascii="Times New Roman" w:hAnsi="Times New Roman" w:eastAsia="宋体" w:cs="Times New Roman"/>
          <w:bCs/>
          <w:sz w:val="24"/>
          <w:szCs w:val="24"/>
          <w:highlight w:val="none"/>
          <w:lang w:val="en-US" w:eastAsia="zh-CN"/>
        </w:rPr>
        <w:t>143.85</w:t>
      </w:r>
      <w:r>
        <w:rPr>
          <w:rFonts w:ascii="Times New Roman" w:hAnsi="Times New Roman" w:eastAsia="宋体" w:cs="Times New Roman"/>
          <w:bCs/>
          <w:sz w:val="24"/>
          <w:szCs w:val="24"/>
          <w:highlight w:val="none"/>
        </w:rPr>
        <w:t>万t，连铸坯1</w:t>
      </w:r>
      <w:r>
        <w:rPr>
          <w:rFonts w:hint="eastAsia" w:ascii="Times New Roman" w:hAnsi="Times New Roman" w:eastAsia="宋体" w:cs="Times New Roman"/>
          <w:bCs/>
          <w:sz w:val="24"/>
          <w:szCs w:val="24"/>
          <w:highlight w:val="none"/>
          <w:lang w:val="en-US" w:eastAsia="zh-CN"/>
        </w:rPr>
        <w:t>41.51</w:t>
      </w:r>
      <w:r>
        <w:rPr>
          <w:rFonts w:ascii="Times New Roman" w:hAnsi="Times New Roman" w:eastAsia="宋体" w:cs="Times New Roman"/>
          <w:bCs/>
          <w:sz w:val="24"/>
          <w:szCs w:val="24"/>
          <w:highlight w:val="none"/>
        </w:rPr>
        <w:t>万t，球墨铸管</w:t>
      </w:r>
      <w:r>
        <w:rPr>
          <w:rFonts w:hint="eastAsia" w:ascii="Times New Roman" w:hAnsi="Times New Roman" w:eastAsia="宋体" w:cs="Times New Roman"/>
          <w:bCs/>
          <w:sz w:val="24"/>
          <w:szCs w:val="24"/>
          <w:highlight w:val="none"/>
          <w:lang w:val="en-US" w:eastAsia="zh-CN"/>
        </w:rPr>
        <w:t>65</w:t>
      </w:r>
      <w:r>
        <w:rPr>
          <w:rFonts w:ascii="Times New Roman" w:hAnsi="Times New Roman" w:eastAsia="宋体" w:cs="Times New Roman"/>
          <w:bCs/>
          <w:sz w:val="24"/>
          <w:szCs w:val="24"/>
          <w:highlight w:val="none"/>
        </w:rPr>
        <w:t>万t，铁水及钢水产量分别达产能的</w:t>
      </w:r>
      <w:r>
        <w:rPr>
          <w:rFonts w:hint="eastAsia" w:ascii="Times New Roman" w:hAnsi="Times New Roman" w:eastAsia="宋体" w:cs="Times New Roman"/>
          <w:bCs/>
          <w:sz w:val="24"/>
          <w:szCs w:val="24"/>
          <w:highlight w:val="none"/>
          <w:lang w:val="en-US" w:eastAsia="zh-CN"/>
        </w:rPr>
        <w:t>99.09</w:t>
      </w:r>
      <w:r>
        <w:rPr>
          <w:rFonts w:ascii="Times New Roman" w:hAnsi="Times New Roman" w:eastAsia="宋体" w:cs="Times New Roman"/>
          <w:bCs/>
          <w:sz w:val="24"/>
          <w:szCs w:val="24"/>
          <w:highlight w:val="none"/>
        </w:rPr>
        <w:t>%、</w:t>
      </w:r>
      <w:r>
        <w:rPr>
          <w:rFonts w:hint="eastAsia" w:ascii="Times New Roman" w:hAnsi="Times New Roman" w:eastAsia="宋体" w:cs="Times New Roman"/>
          <w:bCs/>
          <w:sz w:val="24"/>
          <w:szCs w:val="24"/>
          <w:highlight w:val="none"/>
          <w:lang w:val="en-US" w:eastAsia="zh-CN"/>
        </w:rPr>
        <w:t>94.34</w:t>
      </w:r>
      <w:r>
        <w:rPr>
          <w:rFonts w:ascii="Times New Roman" w:hAnsi="Times New Roman" w:eastAsia="宋体" w:cs="Times New Roman"/>
          <w:bCs/>
          <w:sz w:val="24"/>
          <w:szCs w:val="24"/>
          <w:highlight w:val="none"/>
        </w:rPr>
        <w:t>%。厂区至今总投资</w:t>
      </w:r>
      <w:r>
        <w:rPr>
          <w:rFonts w:ascii="Times New Roman" w:hAnsi="Times New Roman" w:eastAsia="宋体" w:cs="Times New Roman"/>
          <w:sz w:val="24"/>
          <w:highlight w:val="none"/>
        </w:rPr>
        <w:t>1198346.3</w:t>
      </w:r>
      <w:r>
        <w:rPr>
          <w:rFonts w:ascii="Times New Roman" w:hAnsi="Times New Roman" w:eastAsia="宋体" w:cs="Times New Roman"/>
          <w:bCs/>
          <w:sz w:val="24"/>
          <w:szCs w:val="24"/>
          <w:highlight w:val="none"/>
        </w:rPr>
        <w:t>万元，</w:t>
      </w:r>
      <w:r>
        <w:rPr>
          <w:rFonts w:ascii="Times New Roman" w:hAnsi="Times New Roman" w:eastAsia="宋体" w:cs="Times New Roman"/>
          <w:sz w:val="24"/>
          <w:highlight w:val="none"/>
        </w:rPr>
        <w:t>其中环保投资</w:t>
      </w:r>
      <w:r>
        <w:rPr>
          <w:rFonts w:hint="eastAsia" w:ascii="Times New Roman" w:hAnsi="Times New Roman" w:eastAsia="宋体" w:cs="Times New Roman"/>
          <w:sz w:val="24"/>
          <w:highlight w:val="none"/>
        </w:rPr>
        <w:t>95000</w:t>
      </w:r>
      <w:r>
        <w:rPr>
          <w:rFonts w:ascii="Times New Roman" w:hAnsi="Times New Roman" w:eastAsia="宋体" w:cs="Times New Roman"/>
          <w:sz w:val="24"/>
          <w:highlight w:val="none"/>
        </w:rPr>
        <w:t>万元，占总投资的</w:t>
      </w:r>
      <w:r>
        <w:rPr>
          <w:rFonts w:hint="eastAsia" w:ascii="Times New Roman" w:hAnsi="Times New Roman" w:eastAsia="宋体" w:cs="Times New Roman"/>
          <w:sz w:val="24"/>
          <w:highlight w:val="none"/>
        </w:rPr>
        <w:t>7.93</w:t>
      </w:r>
      <w:r>
        <w:rPr>
          <w:rFonts w:ascii="Times New Roman" w:hAnsi="Times New Roman" w:eastAsia="宋体" w:cs="Times New Roman"/>
          <w:sz w:val="24"/>
          <w:highlight w:val="none"/>
        </w:rPr>
        <w:t>%</w:t>
      </w:r>
      <w:r>
        <w:rPr>
          <w:rFonts w:ascii="Times New Roman" w:hAnsi="Times New Roman" w:eastAsia="宋体" w:cs="Times New Roman"/>
          <w:bCs/>
          <w:sz w:val="24"/>
          <w:szCs w:val="24"/>
          <w:highlight w:val="none"/>
        </w:rPr>
        <w:t>。</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.2.2工程主要污染源及污染防治措施</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根据本次厂区后评价工程分析可知，厂区在生产过程中向环境排放废气、噪声等各种污染物。</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.2.2.1废气</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厂区废气主要包括烧结废气、焦化废气、炼铁废气、炼钢废气等，烧结机头废气采用</w:t>
      </w:r>
      <w:r>
        <w:rPr>
          <w:rFonts w:ascii="Times New Roman" w:hAnsi="Times New Roman" w:eastAsia="宋体" w:cs="Times New Roman"/>
          <w:kern w:val="0"/>
          <w:sz w:val="24"/>
          <w:szCs w:val="24"/>
        </w:rPr>
        <w:t>石灰石-石膏法</w:t>
      </w:r>
      <w:r>
        <w:rPr>
          <w:rFonts w:hint="eastAsia" w:ascii="Times New Roman" w:hAnsi="Times New Roman" w:eastAsia="宋体" w:cs="Times New Roman"/>
          <w:kern w:val="0"/>
          <w:sz w:val="24"/>
          <w:szCs w:val="24"/>
          <w:lang w:eastAsia="zh-CN"/>
        </w:rPr>
        <w:t>等方法脱硫、</w:t>
      </w:r>
      <w:r>
        <w:rPr>
          <w:rFonts w:ascii="Times New Roman" w:hAnsi="Times New Roman" w:eastAsia="宋体" w:cs="Times New Roman"/>
          <w:kern w:val="0"/>
          <w:sz w:val="24"/>
          <w:szCs w:val="24"/>
        </w:rPr>
        <w:t>采用优化的H</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-SCR法脱硝工艺</w:t>
      </w:r>
      <w:r>
        <w:rPr>
          <w:rFonts w:hint="eastAsia" w:ascii="Times New Roman" w:hAnsi="Times New Roman" w:eastAsia="宋体" w:cs="Times New Roman"/>
          <w:kern w:val="0"/>
          <w:sz w:val="24"/>
          <w:szCs w:val="24"/>
          <w:lang w:eastAsia="zh-CN"/>
        </w:rPr>
        <w:t>进行脱硝、采用电除尘进行除尘等。焦化废气采用</w:t>
      </w:r>
      <w:r>
        <w:rPr>
          <w:rFonts w:ascii="Times New Roman" w:hAnsi="Times New Roman" w:eastAsia="宋体" w:cs="Times New Roman"/>
          <w:sz w:val="24"/>
          <w:szCs w:val="24"/>
        </w:rPr>
        <w:t>KXTT工艺</w:t>
      </w:r>
      <w:r>
        <w:rPr>
          <w:rFonts w:hint="eastAsia" w:ascii="Times New Roman" w:hAnsi="Times New Roman" w:eastAsia="宋体" w:cs="Times New Roman"/>
          <w:sz w:val="24"/>
          <w:szCs w:val="24"/>
          <w:lang w:eastAsia="zh-CN"/>
        </w:rPr>
        <w:t>进行焦煤气的脱硫提盐，采用</w:t>
      </w:r>
      <w:r>
        <w:rPr>
          <w:rFonts w:ascii="Times New Roman" w:hAnsi="Times New Roman" w:eastAsia="宋体" w:cs="Times New Roman"/>
          <w:sz w:val="24"/>
          <w:szCs w:val="24"/>
        </w:rPr>
        <w:t>逸散烟尘收集处理装置</w:t>
      </w:r>
      <w:r>
        <w:rPr>
          <w:rFonts w:hint="eastAsia" w:ascii="Times New Roman" w:hAnsi="Times New Roman" w:eastAsia="宋体" w:cs="Times New Roman"/>
          <w:sz w:val="24"/>
          <w:szCs w:val="24"/>
          <w:lang w:eastAsia="zh-CN"/>
        </w:rPr>
        <w:t>进行除尘等。炼铁高炉出铁场</w:t>
      </w:r>
      <w:r>
        <w:rPr>
          <w:rFonts w:ascii="Times New Roman" w:hAnsi="Times New Roman" w:eastAsia="宋体" w:cs="Times New Roman"/>
          <w:sz w:val="24"/>
          <w:szCs w:val="24"/>
        </w:rPr>
        <w:t>采用排烟罩方式捕集</w:t>
      </w:r>
      <w:r>
        <w:rPr>
          <w:rFonts w:hint="eastAsia" w:ascii="Times New Roman" w:hAnsi="Times New Roman" w:eastAsia="宋体" w:cs="Times New Roman"/>
          <w:sz w:val="24"/>
          <w:szCs w:val="24"/>
          <w:lang w:eastAsia="zh-CN"/>
        </w:rPr>
        <w:t>烟尘等。炼钢工序中采用干式除尘器进行除尘等。</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.2.2.2废水</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厂区废水包括厂区员工生活污水及生产过程产的生产废水，生产废水主要包括原料场喷洒用水、石灰焙烧冷却水、烧结烟气脱硫系统产生的脱硫废水、焦化蒸氨废水、炼铁高炉冲渣用水等。</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现状实行废水“零排放”。厂区内共设置两座污水处理站，焦化酚氰废水处理站和全厂综合污水处理站。焦化酚氰废水处理站处理蒸氨废水以及焦化工序焦化工序产生的轴承冷却水、地坪冲洗水，处理后的废水用于高炉冲渣用水、湿法熄焦补充水和烧结配料用水。全厂综合废水处理站处理厂区生活污水和其余生产废水，处理后的废水部分回用于各生产工序，部分进入深度处理除盐系统，主要回用于如原料场抑尘、烧结皮带除尘、地坪冲洗、高炉冲渣、炼钢/轧钢浊环水系统补水、铸管沙浆制备系统补水等工序。</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.2.2.3噪声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噪声主要来自原料场的除尘风机等，石灰焙烧的鼓风机、除尘风机等，烧结工序的破碎机、除尘风机等，焦化工序的煤粉碎机、振动筛、除尘风机等，炼铁工序的风机、泵机等，铸管工序的水泵、风机等，炼钢工序的转炉吹氧冶炼装置、除尘风机等，轧钢工序的风机、物料转运设备等，以及厂区氧气站、空压站等各类压缩机设备运行时产生的噪声。</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生产线的噪声设备均布置在车间内，设减振基础台座，且厂房均为全封闭或半封闭结构，废气处理设施以及排风机均安装于车间所在厂房的屋顶，废气处理设施及排放机均设减震基础，同时在排放口设消声装置以进一步降低噪声。项目噪声经上述隔声降噪措施后，厂界噪声达标。</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.2.2.4固体废物</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原料场各除尘系统收集的除尘灰分别返回各原料系统；石灰焙烧各除尘系统捕集的粉尘主要为原料及产品粉尘，均回收加以利用；烧结各除尘系统收集的除尘灰全部返回配料系统配料，烟气脱硫系统产生的脱硫渣作为水泥原料外销，烟气脱硝系统产生的废催化剂由厂家回收处置，产生的废油由公司统一收集后送</w:t>
      </w:r>
      <w:r>
        <w:rPr>
          <w:rFonts w:hint="eastAsia" w:ascii="Times New Roman" w:hAnsi="Times New Roman" w:eastAsia="宋体" w:cs="Times New Roman"/>
          <w:sz w:val="24"/>
          <w:szCs w:val="24"/>
        </w:rPr>
        <w:t>马鞍山市关东润滑油有限责任公司处置</w:t>
      </w:r>
      <w:r>
        <w:rPr>
          <w:rFonts w:ascii="Times New Roman" w:hAnsi="Times New Roman" w:eastAsia="宋体" w:cs="Times New Roman"/>
          <w:sz w:val="24"/>
          <w:szCs w:val="24"/>
        </w:rPr>
        <w:t>；备煤除尘系统收集的煤尘返回煤仓，装煤、出焦、干熄焦以及筛/贮焦等除尘系统收集的煤尘返回备煤、焦尘送烧结作为燃料使用，煤气净化车间焦油氨水分离装置产生的焦油渣送备煤车间配入炼焦煤中炼焦，粗苯蒸馏再生器产生的残渣集中送油库焦油槽，蒸氨工段蒸氨塔产生的沥青渣送备煤车间配入炼焦煤中炼焦，酚氰废水处理站产生的少量剩余污泥经脱水后送备煤车间配入炼焦煤中炼焦，KXTT脱硫工艺产生的废活性炭配入炼焦煤中炼焦，产生的废油由公司统一收集后送</w:t>
      </w:r>
      <w:r>
        <w:rPr>
          <w:rFonts w:hint="eastAsia" w:ascii="Times New Roman" w:hAnsi="Times New Roman" w:eastAsia="宋体" w:cs="Times New Roman"/>
          <w:sz w:val="24"/>
          <w:szCs w:val="24"/>
        </w:rPr>
        <w:t>马鞍山市关东润滑油有限责任公司处置</w:t>
      </w:r>
      <w:r>
        <w:rPr>
          <w:rFonts w:ascii="Times New Roman" w:hAnsi="Times New Roman" w:eastAsia="宋体" w:cs="Times New Roman"/>
          <w:sz w:val="24"/>
          <w:szCs w:val="24"/>
        </w:rPr>
        <w:t>；高炉渣经水冲送矿渣微粉生产线加工后作为水泥原料外销，煤气净化系统收集的瓦斯灰以及各除尘系统收集的除尘灰送烧结配料使用；各除尘系统收集的除尘灰返回烧结配料使用，溜槽铁、边角废料和废铁管回收后作为原料加入工频炉重熔利用，锌粉定期外销</w:t>
      </w:r>
      <w:r>
        <w:rPr>
          <w:rFonts w:hint="eastAsia" w:ascii="Times New Roman" w:hAnsi="Times New Roman" w:eastAsia="宋体" w:cs="Times New Roman"/>
          <w:sz w:val="24"/>
          <w:szCs w:val="24"/>
        </w:rPr>
        <w:t>芜湖市易晖金属有限公司</w:t>
      </w:r>
      <w:r>
        <w:rPr>
          <w:rFonts w:ascii="Times New Roman" w:hAnsi="Times New Roman" w:eastAsia="宋体" w:cs="Times New Roman"/>
          <w:sz w:val="24"/>
          <w:szCs w:val="24"/>
        </w:rPr>
        <w:t>、废砂芯定期送</w:t>
      </w:r>
      <w:r>
        <w:rPr>
          <w:rFonts w:hint="eastAsia" w:ascii="Times New Roman" w:hAnsi="Times New Roman" w:eastAsia="宋体" w:cs="Times New Roman"/>
          <w:sz w:val="24"/>
          <w:szCs w:val="24"/>
        </w:rPr>
        <w:t>芜湖海创环保科技有限责任公司</w:t>
      </w:r>
      <w:r>
        <w:rPr>
          <w:rFonts w:hint="eastAsia" w:ascii="Times New Roman" w:hAnsi="Times New Roman" w:eastAsia="宋体" w:cs="Times New Roman"/>
          <w:sz w:val="24"/>
          <w:szCs w:val="24"/>
          <w:lang w:eastAsia="zh-CN"/>
        </w:rPr>
        <w:t>处置</w:t>
      </w:r>
      <w:r>
        <w:rPr>
          <w:rFonts w:ascii="Times New Roman" w:hAnsi="Times New Roman" w:eastAsia="宋体" w:cs="Times New Roman"/>
          <w:sz w:val="24"/>
          <w:szCs w:val="24"/>
        </w:rPr>
        <w:t>；转炉、铁水预处理、精炼炉产生的钢渣经热泼、焖渣后，经破碎并回收其中废钢后作为建筑材料外销，各除尘系统收集的除尘灰、连铸产生的氧化铁皮等，送烧结配料使用；加热炉及水处理系统收集的氧化铁皮全部送烧结配料利用；立磨前除尘器收集下来的粉尘灰用提升机、空气输送斜槽直接输送到矿渣微粉库储存或返回立磨再利用，立磨后除尘器收集的粉尘全部返回成品仓中作产品外销，矿渣磁选除铁过程少量铁渣根据其含铁品位的高低分别作炼铁原料或者烧结原料回用，湿矿渣在渣堆场的废水沥干、沉淀过程中产生的沉淀污泥全部作矿渣微粉的生产原料使用、不外排；全厂高炉、铁水罐、转炉、钢包、连铸中间罐、轧钢加热炉等修砌产生的废耐火材料，回收其中可利用部分外，其它送耐火材料厂作为骨料使用或用于填坑铺路，各车间收集的废油送有资质单位统一处理，全厂综合污水处理站产生的污泥经脱水处理后送烧结作配料使用。生活垃圾由环卫部门清运处理。</w:t>
      </w:r>
    </w:p>
    <w:p>
      <w:pPr>
        <w:keepNext w:val="0"/>
        <w:keepLines w:val="0"/>
        <w:pageBreakBefore w:val="0"/>
        <w:kinsoku/>
        <w:wordWrap/>
        <w:bidi w:val="0"/>
        <w:snapToGrid/>
        <w:spacing w:before="156" w:beforeLines="50" w:after="156" w:afterLines="50" w:line="360" w:lineRule="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.2.3项目主要变化情况分析</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.2.3.1产品方案及生产规模变化</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）产品方案</w:t>
      </w:r>
      <w:r>
        <w:rPr>
          <w:rFonts w:hint="eastAsia" w:ascii="Times New Roman" w:hAnsi="Times New Roman" w:eastAsia="宋体" w:cs="Times New Roman"/>
          <w:color w:val="FF0000"/>
          <w:sz w:val="24"/>
        </w:rPr>
        <w:t>相比</w:t>
      </w:r>
      <w:r>
        <w:rPr>
          <w:rFonts w:ascii="Times New Roman" w:hAnsi="Times New Roman" w:eastAsia="宋体" w:cs="Times New Roman"/>
          <w:color w:val="FF0000"/>
          <w:sz w:val="24"/>
        </w:rPr>
        <w:t>，棒材、球墨铸铁管的产品</w:t>
      </w:r>
      <w:r>
        <w:rPr>
          <w:rFonts w:hint="eastAsia" w:ascii="Times New Roman" w:hAnsi="Times New Roman" w:eastAsia="宋体" w:cs="Times New Roman"/>
          <w:color w:val="FF0000"/>
          <w:sz w:val="24"/>
        </w:rPr>
        <w:t>产量</w:t>
      </w:r>
      <w:r>
        <w:rPr>
          <w:rFonts w:ascii="Times New Roman" w:hAnsi="Times New Roman" w:eastAsia="宋体" w:cs="Times New Roman"/>
          <w:color w:val="FF0000"/>
          <w:sz w:val="24"/>
        </w:rPr>
        <w:t>均发生了变化，但均</w:t>
      </w:r>
      <w:r>
        <w:rPr>
          <w:rFonts w:hint="eastAsia" w:ascii="Times New Roman" w:hAnsi="Times New Roman" w:eastAsia="宋体" w:cs="Times New Roman"/>
          <w:color w:val="FF0000"/>
          <w:sz w:val="24"/>
          <w:lang w:eastAsia="zh-CN"/>
        </w:rPr>
        <w:t>未超出核定的</w:t>
      </w:r>
      <w:r>
        <w:rPr>
          <w:rFonts w:ascii="Times New Roman" w:hAnsi="Times New Roman" w:eastAsia="宋体" w:cs="Times New Roman"/>
          <w:color w:val="FF0000"/>
          <w:sz w:val="24"/>
        </w:rPr>
        <w:t>80万t球墨铸铁管、及90万t棒材</w:t>
      </w:r>
      <w:r>
        <w:rPr>
          <w:rFonts w:hint="eastAsia" w:ascii="Times New Roman" w:hAnsi="Times New Roman" w:eastAsia="宋体" w:cs="Times New Roman"/>
          <w:color w:val="FF0000"/>
          <w:sz w:val="24"/>
          <w:lang w:eastAsia="zh-CN"/>
        </w:rPr>
        <w:t>产能范围</w:t>
      </w:r>
      <w:r>
        <w:rPr>
          <w:rFonts w:hint="eastAsia" w:ascii="Times New Roman" w:hAnsi="Times New Roman" w:eastAsia="宋体" w:cs="Times New Roman"/>
          <w:color w:val="FF0000"/>
          <w:sz w:val="24"/>
        </w:rPr>
        <w:t>；</w:t>
      </w:r>
      <w:r>
        <w:rPr>
          <w:rFonts w:hint="eastAsia" w:ascii="Times New Roman" w:hAnsi="Times New Roman" w:eastAsia="宋体" w:cs="Times New Roman"/>
          <w:color w:val="FF0000"/>
          <w:sz w:val="24"/>
          <w:lang w:eastAsia="zh-CN"/>
        </w:rPr>
        <w:t>由于</w:t>
      </w:r>
      <w:r>
        <w:rPr>
          <w:rFonts w:hint="eastAsia" w:ascii="Times New Roman" w:hAnsi="Times New Roman" w:eastAsia="宋体" w:cs="Times New Roman"/>
          <w:color w:val="FF0000"/>
          <w:sz w:val="24"/>
        </w:rPr>
        <w:t>线材</w:t>
      </w:r>
      <w:r>
        <w:rPr>
          <w:rFonts w:ascii="Times New Roman" w:hAnsi="Times New Roman" w:eastAsia="宋体" w:cs="Times New Roman"/>
          <w:color w:val="FF0000"/>
          <w:sz w:val="24"/>
        </w:rPr>
        <w:t>产品生产线工作时间由</w:t>
      </w:r>
      <w:r>
        <w:rPr>
          <w:rFonts w:hint="eastAsia" w:ascii="Times New Roman" w:hAnsi="Times New Roman" w:eastAsia="宋体" w:cs="Times New Roman"/>
          <w:color w:val="FF0000"/>
          <w:sz w:val="24"/>
          <w:lang w:eastAsia="zh-CN"/>
        </w:rPr>
        <w:t>原</w:t>
      </w:r>
      <w:r>
        <w:rPr>
          <w:rFonts w:hint="eastAsia" w:ascii="Times New Roman" w:hAnsi="Times New Roman" w:eastAsia="宋体" w:cs="Times New Roman"/>
          <w:color w:val="FF0000"/>
          <w:sz w:val="24"/>
        </w:rPr>
        <w:t>7000h/a增加</w:t>
      </w:r>
      <w:r>
        <w:rPr>
          <w:rFonts w:ascii="Times New Roman" w:hAnsi="Times New Roman" w:eastAsia="宋体" w:cs="Times New Roman"/>
          <w:color w:val="FF0000"/>
          <w:sz w:val="24"/>
        </w:rPr>
        <w:t>至8</w:t>
      </w:r>
      <w:r>
        <w:rPr>
          <w:rFonts w:hint="eastAsia" w:ascii="Times New Roman" w:hAnsi="Times New Roman" w:eastAsia="宋体" w:cs="Times New Roman"/>
          <w:color w:val="FF0000"/>
          <w:sz w:val="24"/>
        </w:rPr>
        <w:t>000h/a，且</w:t>
      </w:r>
      <w:r>
        <w:rPr>
          <w:rFonts w:ascii="Times New Roman" w:hAnsi="Times New Roman" w:eastAsia="宋体" w:cs="Times New Roman"/>
          <w:color w:val="FF0000"/>
          <w:sz w:val="24"/>
        </w:rPr>
        <w:t>部分</w:t>
      </w:r>
      <w:r>
        <w:rPr>
          <w:rFonts w:hint="eastAsia" w:ascii="Times New Roman" w:hAnsi="Times New Roman" w:eastAsia="宋体" w:cs="Times New Roman"/>
          <w:color w:val="FF0000"/>
          <w:sz w:val="24"/>
        </w:rPr>
        <w:t>中间产品</w:t>
      </w:r>
      <w:r>
        <w:rPr>
          <w:rFonts w:ascii="Times New Roman" w:hAnsi="Times New Roman" w:eastAsia="宋体" w:cs="Times New Roman"/>
          <w:color w:val="FF0000"/>
          <w:sz w:val="24"/>
        </w:rPr>
        <w:t>连铸坯</w:t>
      </w:r>
      <w:r>
        <w:rPr>
          <w:rFonts w:hint="eastAsia" w:ascii="Times New Roman" w:hAnsi="Times New Roman" w:eastAsia="宋体" w:cs="Times New Roman"/>
          <w:color w:val="FF0000"/>
          <w:sz w:val="24"/>
        </w:rPr>
        <w:t>外购</w:t>
      </w:r>
      <w:r>
        <w:rPr>
          <w:rFonts w:hint="eastAsia" w:ascii="Times New Roman" w:hAnsi="Times New Roman" w:eastAsia="宋体" w:cs="Times New Roman"/>
          <w:color w:val="FF0000"/>
          <w:sz w:val="24"/>
          <w:lang w:eastAsia="zh-CN"/>
        </w:rPr>
        <w:t>，导致</w:t>
      </w:r>
      <w:r>
        <w:rPr>
          <w:rFonts w:hint="eastAsia" w:ascii="Times New Roman" w:hAnsi="Times New Roman" w:eastAsia="宋体" w:cs="Times New Roman"/>
          <w:color w:val="FF0000"/>
          <w:sz w:val="24"/>
        </w:rPr>
        <w:t>线材</w:t>
      </w:r>
      <w:r>
        <w:rPr>
          <w:rFonts w:ascii="Times New Roman" w:hAnsi="Times New Roman" w:eastAsia="宋体" w:cs="Times New Roman"/>
          <w:color w:val="FF0000"/>
          <w:sz w:val="24"/>
        </w:rPr>
        <w:t>产品</w:t>
      </w:r>
      <w:r>
        <w:rPr>
          <w:rFonts w:hint="eastAsia" w:ascii="Times New Roman" w:hAnsi="Times New Roman" w:eastAsia="宋体" w:cs="Times New Roman"/>
          <w:color w:val="FF0000"/>
          <w:sz w:val="24"/>
        </w:rPr>
        <w:t>产量</w:t>
      </w:r>
      <w:r>
        <w:rPr>
          <w:rFonts w:ascii="Times New Roman" w:hAnsi="Times New Roman" w:eastAsia="宋体" w:cs="Times New Roman"/>
          <w:color w:val="FF0000"/>
          <w:sz w:val="24"/>
        </w:rPr>
        <w:t>突破</w:t>
      </w:r>
      <w:r>
        <w:rPr>
          <w:rFonts w:hint="eastAsia" w:ascii="Times New Roman" w:hAnsi="Times New Roman" w:eastAsia="宋体" w:cs="Times New Roman"/>
          <w:color w:val="FF0000"/>
          <w:sz w:val="24"/>
          <w:lang w:eastAsia="zh-CN"/>
        </w:rPr>
        <w:t>核定</w:t>
      </w:r>
      <w:r>
        <w:rPr>
          <w:rFonts w:ascii="Times New Roman" w:hAnsi="Times New Roman" w:eastAsia="宋体" w:cs="Times New Roman"/>
          <w:color w:val="FF0000"/>
          <w:sz w:val="24"/>
        </w:rPr>
        <w:t>的80万t线材</w:t>
      </w:r>
      <w:r>
        <w:rPr>
          <w:rFonts w:hint="eastAsia" w:ascii="Times New Roman" w:hAnsi="Times New Roman" w:eastAsia="宋体" w:cs="Times New Roman"/>
          <w:color w:val="FF0000"/>
          <w:sz w:val="24"/>
        </w:rPr>
        <w:t>产能</w:t>
      </w:r>
      <w:r>
        <w:rPr>
          <w:rFonts w:hint="eastAsia" w:ascii="Times New Roman" w:hAnsi="Times New Roman" w:eastAsia="宋体" w:cs="Times New Roman"/>
          <w:color w:val="FF0000"/>
          <w:sz w:val="24"/>
          <w:lang w:eastAsia="zh-CN"/>
        </w:rPr>
        <w:t>，但未超出核定的</w:t>
      </w:r>
      <w:r>
        <w:rPr>
          <w:rFonts w:ascii="Times New Roman" w:hAnsi="Times New Roman" w:eastAsia="宋体" w:cs="Times New Roman"/>
          <w:color w:val="FF0000"/>
          <w:sz w:val="24"/>
        </w:rPr>
        <w:t>198万t铁水、150万t钢水</w:t>
      </w:r>
      <w:r>
        <w:rPr>
          <w:rFonts w:hint="eastAsia" w:ascii="Times New Roman" w:hAnsi="Times New Roman" w:eastAsia="宋体" w:cs="Times New Roman"/>
          <w:color w:val="FF0000"/>
          <w:sz w:val="24"/>
          <w:lang w:eastAsia="zh-CN"/>
        </w:rPr>
        <w:t>产能范围</w:t>
      </w:r>
      <w:r>
        <w:rPr>
          <w:rFonts w:hint="eastAsia" w:ascii="Times New Roman" w:hAnsi="Times New Roman" w:eastAsia="宋体" w:cs="Times New Roman"/>
          <w:sz w:val="24"/>
          <w:lang w:eastAsia="zh-CN"/>
        </w:rPr>
        <w:t>。</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.2.3.2主要原辅材料变化情况</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相比，原辅料的消耗量均有不同程度的变化，这是由于后评价阶段实际产能发生变化所致</w:t>
      </w:r>
      <w:r>
        <w:rPr>
          <w:rFonts w:hint="eastAsia" w:ascii="Times New Roman" w:hAnsi="Times New Roman" w:eastAsia="宋体" w:cs="Times New Roman"/>
          <w:sz w:val="24"/>
          <w:lang w:eastAsia="zh-CN"/>
        </w:rPr>
        <w:t>。</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.2.3.3生产设备变化情况</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相比，部分主要设备设置情况发生了变化，这是由于后评价阶段实际产能发生变化所致</w:t>
      </w:r>
      <w:r>
        <w:rPr>
          <w:rFonts w:hint="eastAsia" w:ascii="Times New Roman" w:hAnsi="Times New Roman" w:eastAsia="宋体" w:cs="Times New Roman"/>
          <w:sz w:val="24"/>
          <w:lang w:eastAsia="zh-CN"/>
        </w:rPr>
        <w:t>。</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.2.3.4工艺流程变化情况</w:t>
      </w:r>
    </w:p>
    <w:p>
      <w:pPr>
        <w:pStyle w:val="2"/>
        <w:keepNext w:val="0"/>
        <w:keepLines w:val="0"/>
        <w:pageBreakBefore w:val="0"/>
        <w:kinsoku/>
        <w:wordWrap/>
        <w:bidi w:val="0"/>
        <w:snapToGrid/>
        <w:spacing w:after="0"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后评价阶段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与</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相比，工序工艺流程均未发生变化</w:t>
      </w:r>
      <w:r>
        <w:rPr>
          <w:rFonts w:ascii="Times New Roman" w:hAnsi="Times New Roman" w:eastAsia="宋体" w:cs="Times New Roman"/>
          <w:sz w:val="24"/>
        </w:rPr>
        <w:t>。</w:t>
      </w:r>
    </w:p>
    <w:p>
      <w:pPr>
        <w:keepNext w:val="0"/>
        <w:keepLines w:val="0"/>
        <w:pageBreakBefore w:val="0"/>
        <w:kinsoku/>
        <w:wordWrap/>
        <w:bidi w:val="0"/>
        <w:snapToGrid/>
        <w:spacing w:line="360" w:lineRule="auto"/>
        <w:outlineLvl w:val="3"/>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.2.3.</w:t>
      </w:r>
      <w:r>
        <w:rPr>
          <w:rFonts w:hint="eastAsia" w:ascii="Times New Roman" w:hAnsi="Times New Roman" w:eastAsia="黑体" w:cs="Times New Roman"/>
          <w:sz w:val="24"/>
          <w:szCs w:val="24"/>
          <w:lang w:val="en-US" w:eastAsia="zh-CN"/>
        </w:rPr>
        <w:t>5</w:t>
      </w:r>
      <w:r>
        <w:rPr>
          <w:rFonts w:ascii="Times New Roman" w:hAnsi="Times New Roman" w:eastAsia="黑体" w:cs="Times New Roman"/>
          <w:sz w:val="24"/>
          <w:szCs w:val="24"/>
        </w:rPr>
        <w:t>主要污染物排放量变化情况</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FF0000"/>
          <w:sz w:val="24"/>
          <w:szCs w:val="24"/>
          <w:lang w:eastAsia="zh-CN"/>
        </w:rPr>
        <w:t>具体内容见表</w:t>
      </w:r>
      <w:r>
        <w:rPr>
          <w:rFonts w:hint="eastAsia" w:ascii="Times New Roman" w:hAnsi="Times New Roman" w:eastAsia="宋体" w:cs="Times New Roman"/>
          <w:color w:val="FF0000"/>
          <w:sz w:val="24"/>
          <w:szCs w:val="24"/>
          <w:lang w:val="en-US" w:eastAsia="zh-CN"/>
        </w:rPr>
        <w:t>3.4-5所示。</w:t>
      </w:r>
      <w:r>
        <w:rPr>
          <w:rFonts w:ascii="Times New Roman" w:hAnsi="Times New Roman" w:eastAsia="宋体" w:cs="Times New Roman"/>
          <w:color w:val="FF0000"/>
          <w:sz w:val="24"/>
        </w:rPr>
        <w:t>根据不同工序，</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（现状评价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核算废气源强时</w:t>
      </w:r>
      <w:r>
        <w:rPr>
          <w:rFonts w:hint="eastAsia" w:ascii="Times New Roman" w:hAnsi="Times New Roman" w:eastAsia="宋体" w:cs="Times New Roman"/>
          <w:color w:val="FF0000"/>
          <w:sz w:val="24"/>
          <w:lang w:eastAsia="zh-CN"/>
        </w:rPr>
        <w:t>，</w:t>
      </w:r>
      <w:r>
        <w:rPr>
          <w:rFonts w:ascii="Times New Roman" w:hAnsi="Times New Roman" w:eastAsia="宋体" w:cs="Times New Roman"/>
          <w:color w:val="FF0000"/>
          <w:sz w:val="24"/>
        </w:rPr>
        <w:t>年工作时间设定为7920h、5840h、1460h、8760h、8280h等，</w:t>
      </w:r>
      <w:r>
        <w:rPr>
          <w:rFonts w:hint="eastAsia" w:ascii="Times New Roman" w:hAnsi="Times New Roman" w:eastAsia="宋体" w:cs="Times New Roman"/>
          <w:color w:val="FF0000"/>
          <w:sz w:val="24"/>
        </w:rPr>
        <w:t>搬迁技术</w:t>
      </w:r>
      <w:r>
        <w:rPr>
          <w:rFonts w:ascii="Times New Roman" w:hAnsi="Times New Roman" w:eastAsia="宋体" w:cs="Times New Roman"/>
          <w:color w:val="FF0000"/>
          <w:sz w:val="24"/>
        </w:rPr>
        <w:t>改造项目</w:t>
      </w:r>
      <w:r>
        <w:rPr>
          <w:rFonts w:hint="eastAsia" w:ascii="Times New Roman" w:hAnsi="Times New Roman" w:eastAsia="宋体" w:cs="Times New Roman"/>
          <w:color w:val="FF0000"/>
          <w:sz w:val="24"/>
          <w:lang w:eastAsia="zh-CN"/>
        </w:rPr>
        <w:t>（后评价</w:t>
      </w:r>
      <w:r>
        <w:rPr>
          <w:rFonts w:ascii="Times New Roman" w:hAnsi="Times New Roman" w:eastAsia="宋体" w:cs="Times New Roman"/>
          <w:color w:val="FF0000"/>
          <w:sz w:val="24"/>
        </w:rPr>
        <w:t>阶段</w:t>
      </w:r>
      <w:r>
        <w:rPr>
          <w:rFonts w:hint="eastAsia" w:ascii="Times New Roman" w:hAnsi="Times New Roman" w:eastAsia="宋体" w:cs="Times New Roman"/>
          <w:color w:val="FF0000"/>
          <w:sz w:val="24"/>
          <w:lang w:eastAsia="zh-CN"/>
        </w:rPr>
        <w:t>）</w:t>
      </w:r>
      <w:r>
        <w:rPr>
          <w:rFonts w:hint="eastAsia" w:ascii="Times New Roman" w:hAnsi="Times New Roman" w:eastAsia="宋体" w:cs="Times New Roman"/>
          <w:color w:val="FF0000"/>
          <w:sz w:val="24"/>
        </w:rPr>
        <w:t>除了线材</w:t>
      </w:r>
      <w:r>
        <w:rPr>
          <w:rFonts w:ascii="Times New Roman" w:hAnsi="Times New Roman" w:eastAsia="宋体" w:cs="Times New Roman"/>
          <w:color w:val="FF0000"/>
          <w:sz w:val="24"/>
        </w:rPr>
        <w:t>生产线工作时间由</w:t>
      </w:r>
      <w:r>
        <w:rPr>
          <w:rFonts w:hint="eastAsia" w:ascii="Times New Roman" w:hAnsi="Times New Roman" w:eastAsia="宋体" w:cs="Times New Roman"/>
          <w:color w:val="FF0000"/>
          <w:sz w:val="24"/>
        </w:rPr>
        <w:t>7000h/a增加</w:t>
      </w:r>
      <w:r>
        <w:rPr>
          <w:rFonts w:ascii="Times New Roman" w:hAnsi="Times New Roman" w:eastAsia="宋体" w:cs="Times New Roman"/>
          <w:color w:val="FF0000"/>
          <w:sz w:val="24"/>
        </w:rPr>
        <w:t>至8</w:t>
      </w:r>
      <w:r>
        <w:rPr>
          <w:rFonts w:hint="eastAsia" w:ascii="Times New Roman" w:hAnsi="Times New Roman" w:eastAsia="宋体" w:cs="Times New Roman"/>
          <w:color w:val="FF0000"/>
          <w:sz w:val="24"/>
        </w:rPr>
        <w:t>000h/a</w:t>
      </w:r>
      <w:r>
        <w:rPr>
          <w:rFonts w:ascii="Times New Roman" w:hAnsi="Times New Roman" w:eastAsia="宋体" w:cs="Times New Roman"/>
          <w:color w:val="FF0000"/>
          <w:sz w:val="24"/>
        </w:rPr>
        <w:t>，其他车间年工作时间均</w:t>
      </w:r>
      <w:r>
        <w:rPr>
          <w:rFonts w:hint="eastAsia" w:ascii="Times New Roman" w:hAnsi="Times New Roman" w:eastAsia="宋体" w:cs="Times New Roman"/>
          <w:color w:val="FF0000"/>
          <w:sz w:val="24"/>
        </w:rPr>
        <w:t>不变</w:t>
      </w:r>
      <w:r>
        <w:rPr>
          <w:rFonts w:ascii="Times New Roman" w:hAnsi="Times New Roman" w:eastAsia="宋体" w:cs="Times New Roman"/>
          <w:color w:val="FF0000"/>
          <w:sz w:val="24"/>
        </w:rPr>
        <w:t>。因此，后评价阶段</w:t>
      </w:r>
      <w:r>
        <w:rPr>
          <w:rFonts w:hint="eastAsia" w:ascii="Times New Roman" w:hAnsi="Times New Roman" w:eastAsia="宋体" w:cs="Times New Roman"/>
          <w:color w:val="FF0000"/>
          <w:sz w:val="24"/>
        </w:rPr>
        <w:t>烟/粉尘、</w:t>
      </w:r>
      <w:r>
        <w:rPr>
          <w:rFonts w:ascii="Times New Roman" w:hAnsi="Times New Roman" w:eastAsia="宋体" w:cs="Times New Roman"/>
          <w:color w:val="FF0000"/>
          <w:sz w:val="24"/>
        </w:rPr>
        <w:t>SO</w:t>
      </w:r>
      <w:r>
        <w:rPr>
          <w:rFonts w:ascii="Times New Roman" w:hAnsi="Times New Roman" w:eastAsia="宋体" w:cs="Times New Roman"/>
          <w:color w:val="FF0000"/>
          <w:sz w:val="24"/>
          <w:vertAlign w:val="subscript"/>
        </w:rPr>
        <w:t>2</w:t>
      </w:r>
      <w:r>
        <w:rPr>
          <w:rFonts w:ascii="Times New Roman" w:hAnsi="Times New Roman" w:eastAsia="宋体" w:cs="Times New Roman"/>
          <w:color w:val="FF0000"/>
          <w:sz w:val="24"/>
        </w:rPr>
        <w:t>、NOx等废气污染物排放量</w:t>
      </w:r>
      <w:r>
        <w:rPr>
          <w:rFonts w:hint="eastAsia" w:ascii="Times New Roman" w:hAnsi="Times New Roman" w:eastAsia="宋体" w:cs="Times New Roman"/>
          <w:color w:val="FF0000"/>
          <w:sz w:val="24"/>
          <w:lang w:eastAsia="zh-CN"/>
        </w:rPr>
        <w:t>要略高于</w:t>
      </w:r>
      <w:r>
        <w:rPr>
          <w:rFonts w:hint="eastAsia" w:ascii="Times New Roman" w:hAnsi="Times New Roman" w:eastAsia="宋体" w:cs="Times New Roman"/>
          <w:color w:val="FF0000"/>
          <w:sz w:val="24"/>
        </w:rPr>
        <w:t>现状评价阶段</w:t>
      </w:r>
      <w:r>
        <w:rPr>
          <w:rFonts w:hint="eastAsia" w:ascii="Times New Roman" w:hAnsi="Times New Roman" w:eastAsia="宋体" w:cs="Times New Roman"/>
          <w:color w:val="FF0000"/>
          <w:sz w:val="24"/>
          <w:lang w:eastAsia="zh-CN"/>
        </w:rPr>
        <w:t>污染物年排放汇总数据</w:t>
      </w:r>
      <w:r>
        <w:rPr>
          <w:rFonts w:ascii="Times New Roman" w:hAnsi="Times New Roman" w:eastAsia="宋体" w:cs="Times New Roman"/>
          <w:color w:val="FF0000"/>
          <w:sz w:val="24"/>
        </w:rPr>
        <w:t>。根据根据安徽世标检测技术有限公司于2019年4月8日~10日对现有厂区废气的检测报告和企业近期日常检测报告，各个工序废气经处理后可满足相应排放标准限值</w:t>
      </w:r>
      <w:r>
        <w:rPr>
          <w:rFonts w:hint="eastAsia" w:ascii="Times New Roman" w:hAnsi="Times New Roman" w:eastAsia="宋体" w:cs="Times New Roman"/>
          <w:color w:val="FF0000"/>
          <w:sz w:val="24"/>
          <w:lang w:eastAsia="zh-CN"/>
        </w:rPr>
        <w:t>。</w:t>
      </w:r>
    </w:p>
    <w:p>
      <w:pPr>
        <w:pStyle w:val="27"/>
        <w:keepNext w:val="0"/>
        <w:keepLines w:val="0"/>
        <w:pageBreakBefore w:val="0"/>
        <w:kinsoku/>
        <w:wordWrap/>
        <w:bidi w:val="0"/>
        <w:snapToGrid/>
        <w:spacing w:before="156" w:after="156" w:line="360" w:lineRule="auto"/>
        <w:rPr>
          <w:rFonts w:ascii="Times New Roman"/>
          <w:b w:val="0"/>
        </w:rPr>
      </w:pPr>
      <w:r>
        <w:rPr>
          <w:rFonts w:ascii="Times New Roman"/>
          <w:b w:val="0"/>
        </w:rPr>
        <w:t>1</w:t>
      </w:r>
      <w:r>
        <w:rPr>
          <w:rFonts w:hint="eastAsia" w:ascii="Times New Roman"/>
          <w:b w:val="0"/>
          <w:lang w:val="en-US" w:eastAsia="zh-CN"/>
        </w:rPr>
        <w:t>1</w:t>
      </w:r>
      <w:r>
        <w:rPr>
          <w:rFonts w:ascii="Times New Roman"/>
          <w:b w:val="0"/>
        </w:rPr>
        <w:t>.3区域环境变化评价结论</w:t>
      </w:r>
    </w:p>
    <w:p>
      <w:pPr>
        <w:keepNext w:val="0"/>
        <w:keepLines w:val="0"/>
        <w:pageBreakBefore w:val="0"/>
        <w:widowControl w:val="0"/>
        <w:kinsoku/>
        <w:wordWrap/>
        <w:overflowPunct/>
        <w:topLinePunct w:val="0"/>
        <w:autoSpaceDE/>
        <w:autoSpaceDN/>
        <w:bidi w:val="0"/>
        <w:adjustRightInd/>
        <w:snapToGrid/>
        <w:spacing w:before="156" w:beforeLines="50" w:after="156" w:afterLines="50" w:line="360" w:lineRule="auto"/>
        <w:textAlignment w:val="auto"/>
        <w:outlineLvl w:val="2"/>
        <w:rPr>
          <w:rFonts w:ascii="Times New Roman" w:hAnsi="Times New Roman" w:eastAsia="黑体" w:cs="Times New Roman"/>
          <w:sz w:val="24"/>
          <w:szCs w:val="24"/>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.3.1环境保护敏感目标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ascii="Times New Roman" w:hAnsi="Times New Roman" w:eastAsia="宋体" w:cs="Times New Roman"/>
          <w:sz w:val="24"/>
          <w:szCs w:val="24"/>
          <w:lang w:val="en-US" w:eastAsia="zh-CN"/>
        </w:rPr>
        <w:t>根据本次后评价实际调查结果，原环评报告与后评价识别差异在于敏感目标</w:t>
      </w:r>
      <w:r>
        <w:rPr>
          <w:rFonts w:hint="eastAsia" w:ascii="Times New Roman" w:hAnsi="Times New Roman" w:eastAsia="宋体" w:cs="Times New Roman"/>
          <w:sz w:val="24"/>
          <w:szCs w:val="24"/>
          <w:lang w:val="en-US" w:eastAsia="zh-CN"/>
        </w:rPr>
        <w:t>七洲村名称识别错误，应为“汤沟镇”</w:t>
      </w:r>
      <w:r>
        <w:rPr>
          <w:rFonts w:ascii="Times New Roman" w:hAnsi="Times New Roman" w:eastAsia="宋体" w:cs="Times New Roman"/>
          <w:sz w:val="24"/>
          <w:szCs w:val="24"/>
          <w:lang w:val="en-US" w:eastAsia="zh-CN"/>
        </w:rPr>
        <w:t>，遗漏敏感点</w:t>
      </w:r>
      <w:r>
        <w:rPr>
          <w:rFonts w:hint="eastAsia" w:ascii="Times New Roman" w:hAnsi="Times New Roman" w:eastAsia="宋体" w:cs="Times New Roman"/>
          <w:sz w:val="24"/>
          <w:szCs w:val="24"/>
          <w:lang w:val="en-US" w:eastAsia="zh-CN"/>
        </w:rPr>
        <w:t>刘家村</w:t>
      </w:r>
      <w:r>
        <w:rPr>
          <w:rFonts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桃冲村</w:t>
      </w:r>
      <w:r>
        <w:rPr>
          <w:rFonts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潘冲村</w:t>
      </w:r>
      <w:r>
        <w:rPr>
          <w:rFonts w:ascii="Times New Roman" w:hAnsi="Times New Roman" w:eastAsia="宋体" w:cs="Times New Roman"/>
          <w:sz w:val="24"/>
          <w:szCs w:val="24"/>
          <w:lang w:val="en-US" w:eastAsia="zh-CN"/>
        </w:rPr>
        <w:t>、林</w:t>
      </w:r>
      <w:r>
        <w:rPr>
          <w:rFonts w:hint="eastAsia" w:ascii="Times New Roman" w:hAnsi="Times New Roman" w:eastAsia="宋体" w:cs="Times New Roman"/>
          <w:sz w:val="24"/>
          <w:szCs w:val="24"/>
          <w:lang w:val="en-US" w:eastAsia="zh-CN"/>
        </w:rPr>
        <w:t>磕里村</w:t>
      </w:r>
      <w:r>
        <w:rPr>
          <w:rFonts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西街村以及繁昌县（评价范围内涉及部分）。</w:t>
      </w:r>
    </w:p>
    <w:p>
      <w:pPr>
        <w:keepNext w:val="0"/>
        <w:keepLines w:val="0"/>
        <w:pageBreakBefore w:val="0"/>
        <w:widowControl w:val="0"/>
        <w:kinsoku/>
        <w:wordWrap/>
        <w:overflowPunct/>
        <w:topLinePunct w:val="0"/>
        <w:autoSpaceDE/>
        <w:autoSpaceDN/>
        <w:bidi w:val="0"/>
        <w:adjustRightInd/>
        <w:snapToGrid/>
        <w:spacing w:before="156" w:beforeLines="50" w:after="156" w:afterLines="50" w:line="360" w:lineRule="auto"/>
        <w:textAlignment w:val="auto"/>
        <w:outlineLvl w:val="2"/>
        <w:rPr>
          <w:rFonts w:hint="eastAsia" w:ascii="Times New Roman" w:hAnsi="Times New Roman" w:eastAsia="黑体" w:cs="Times New Roman"/>
          <w:sz w:val="24"/>
          <w:szCs w:val="24"/>
          <w:lang w:eastAsia="zh-CN"/>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.3.</w:t>
      </w:r>
      <w:r>
        <w:rPr>
          <w:rFonts w:hint="eastAsia" w:ascii="Times New Roman" w:hAnsi="Times New Roman" w:eastAsia="黑体" w:cs="Times New Roman"/>
          <w:sz w:val="24"/>
          <w:szCs w:val="24"/>
          <w:lang w:val="en-US" w:eastAsia="zh-CN"/>
        </w:rPr>
        <w:t>2</w:t>
      </w:r>
      <w:r>
        <w:rPr>
          <w:rFonts w:hint="eastAsia" w:ascii="Times New Roman" w:hAnsi="Times New Roman" w:eastAsia="黑体" w:cs="Times New Roman"/>
          <w:sz w:val="24"/>
          <w:szCs w:val="24"/>
          <w:lang w:eastAsia="zh-CN"/>
        </w:rPr>
        <w:t>区域污染源调查</w:t>
      </w:r>
    </w:p>
    <w:p>
      <w:pPr>
        <w:keepNext w:val="0"/>
        <w:keepLines w:val="0"/>
        <w:pageBreakBefore w:val="0"/>
        <w:kinsoku/>
        <w:wordWrap/>
        <w:bidi w:val="0"/>
        <w:snapToGrid/>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lang w:val="en-US" w:eastAsia="zh-CN"/>
        </w:rPr>
        <w:t>经后评价阶段现场调查，项目位于</w:t>
      </w:r>
      <w:r>
        <w:rPr>
          <w:rFonts w:ascii="Times New Roman" w:hAnsi="Times New Roman" w:eastAsia="宋体" w:cs="Times New Roman"/>
          <w:bCs/>
          <w:sz w:val="24"/>
          <w:szCs w:val="24"/>
        </w:rPr>
        <w:t>芜湖市三山经济开发区</w:t>
      </w:r>
      <w:r>
        <w:rPr>
          <w:rFonts w:ascii="Times New Roman" w:hAnsi="Times New Roman" w:eastAsia="宋体" w:cs="Times New Roman"/>
          <w:sz w:val="24"/>
          <w:szCs w:val="24"/>
          <w:lang w:val="en-US" w:eastAsia="zh-CN"/>
        </w:rPr>
        <w:t>内，</w:t>
      </w:r>
      <w:r>
        <w:rPr>
          <w:rFonts w:hint="eastAsia" w:ascii="Times New Roman" w:hAnsi="Times New Roman" w:eastAsia="宋体" w:cs="Times New Roman"/>
          <w:sz w:val="24"/>
          <w:szCs w:val="24"/>
          <w:lang w:val="en-US" w:eastAsia="zh-CN"/>
        </w:rPr>
        <w:t>芜湖新兴铸管有限责任公司周边</w:t>
      </w:r>
      <w:r>
        <w:rPr>
          <w:rFonts w:ascii="Times New Roman" w:hAnsi="Times New Roman" w:eastAsia="宋体" w:cs="Times New Roman"/>
          <w:sz w:val="24"/>
          <w:szCs w:val="24"/>
          <w:lang w:val="en-US" w:eastAsia="zh-CN"/>
        </w:rPr>
        <w:t>企业</w:t>
      </w:r>
      <w:r>
        <w:rPr>
          <w:rFonts w:hint="eastAsia" w:ascii="Times New Roman" w:hAnsi="Times New Roman" w:eastAsia="宋体" w:cs="Times New Roman"/>
          <w:sz w:val="24"/>
          <w:szCs w:val="24"/>
          <w:lang w:val="en-US" w:eastAsia="zh-CN"/>
        </w:rPr>
        <w:t>主要包括</w:t>
      </w:r>
      <w:r>
        <w:rPr>
          <w:rFonts w:ascii="Times New Roman" w:hAnsi="Times New Roman" w:eastAsia="宋体" w:cs="Times New Roman"/>
          <w:bCs/>
          <w:sz w:val="24"/>
          <w:szCs w:val="24"/>
        </w:rPr>
        <w:t>安徽华电芜湖发电有限公司、芜湖中电环保发电有限公司以及芜湖新兴铸管有限责任公司</w:t>
      </w:r>
      <w:r>
        <w:rPr>
          <w:rFonts w:ascii="Times New Roman" w:hAnsi="Times New Roman" w:eastAsia="宋体" w:cs="Times New Roman"/>
          <w:sz w:val="24"/>
          <w:szCs w:val="24"/>
          <w:lang w:val="en-US" w:eastAsia="zh-CN"/>
        </w:rPr>
        <w:t>等企业与环评阶段基本一致。</w:t>
      </w:r>
    </w:p>
    <w:p>
      <w:pPr>
        <w:pStyle w:val="27"/>
        <w:keepNext w:val="0"/>
        <w:keepLines w:val="0"/>
        <w:pageBreakBefore w:val="0"/>
        <w:kinsoku/>
        <w:wordWrap/>
        <w:bidi w:val="0"/>
        <w:snapToGrid/>
        <w:spacing w:before="156" w:after="156" w:line="360" w:lineRule="auto"/>
        <w:rPr>
          <w:rFonts w:hint="eastAsia" w:ascii="Times New Roman" w:eastAsia="黑体"/>
          <w:b w:val="0"/>
          <w:lang w:eastAsia="zh-CN"/>
        </w:rPr>
      </w:pPr>
      <w:r>
        <w:rPr>
          <w:rFonts w:ascii="Times New Roman"/>
          <w:b w:val="0"/>
        </w:rPr>
        <w:t>1</w:t>
      </w:r>
      <w:r>
        <w:rPr>
          <w:rFonts w:hint="eastAsia" w:ascii="Times New Roman"/>
          <w:b w:val="0"/>
          <w:lang w:val="en-US" w:eastAsia="zh-CN"/>
        </w:rPr>
        <w:t>1</w:t>
      </w:r>
      <w:r>
        <w:rPr>
          <w:rFonts w:ascii="Times New Roman"/>
          <w:b w:val="0"/>
        </w:rPr>
        <w:t>.</w:t>
      </w:r>
      <w:r>
        <w:rPr>
          <w:rFonts w:hint="eastAsia" w:ascii="Times New Roman"/>
          <w:b w:val="0"/>
          <w:lang w:val="en-US" w:eastAsia="zh-CN"/>
        </w:rPr>
        <w:t>4</w:t>
      </w:r>
      <w:r>
        <w:rPr>
          <w:rFonts w:hint="eastAsia" w:ascii="Times New Roman"/>
          <w:b w:val="0"/>
          <w:lang w:eastAsia="zh-CN"/>
        </w:rPr>
        <w:t>环境影响预测论证</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bCs/>
          <w:sz w:val="24"/>
          <w:szCs w:val="24"/>
          <w:highlight w:val="none"/>
          <w:lang w:eastAsia="zh-CN"/>
        </w:rPr>
      </w:pPr>
      <w:r>
        <w:rPr>
          <w:rFonts w:hint="eastAsia" w:ascii="Times New Roman" w:hAnsi="Times New Roman" w:eastAsia="宋体" w:cs="Times New Roman"/>
          <w:bCs/>
          <w:sz w:val="24"/>
          <w:szCs w:val="24"/>
          <w:highlight w:val="none"/>
          <w:lang w:eastAsia="zh-CN"/>
        </w:rPr>
        <w:t>本次评价主要根据环境现状检测结果说明厂区产生的废气、废水、噪声、固废等对环境的影响。</w:t>
      </w:r>
    </w:p>
    <w:p>
      <w:pPr>
        <w:keepNext w:val="0"/>
        <w:keepLines w:val="0"/>
        <w:pageBreakBefore w:val="0"/>
        <w:widowControl w:val="0"/>
        <w:kinsoku/>
        <w:wordWrap/>
        <w:overflowPunct/>
        <w:topLinePunct w:val="0"/>
        <w:autoSpaceDE/>
        <w:autoSpaceDN/>
        <w:bidi w:val="0"/>
        <w:adjustRightInd/>
        <w:snapToGrid/>
        <w:spacing w:before="156" w:beforeLines="50" w:after="156" w:afterLines="50" w:line="360" w:lineRule="auto"/>
        <w:textAlignment w:val="auto"/>
        <w:outlineLvl w:val="2"/>
        <w:rPr>
          <w:rFonts w:hint="eastAsia" w:ascii="Times New Roman" w:hAnsi="Times New Roman" w:eastAsia="黑体" w:cs="Times New Roman"/>
          <w:sz w:val="24"/>
          <w:szCs w:val="24"/>
          <w:lang w:eastAsia="zh-CN"/>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4</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1</w:t>
      </w:r>
      <w:r>
        <w:rPr>
          <w:rFonts w:hint="eastAsia" w:ascii="Times New Roman" w:hAnsi="Times New Roman" w:eastAsia="黑体" w:cs="Times New Roman"/>
          <w:sz w:val="24"/>
          <w:szCs w:val="24"/>
          <w:lang w:eastAsia="zh-CN"/>
        </w:rPr>
        <w:t>大气环境影响论证</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bCs/>
          <w:sz w:val="24"/>
          <w:szCs w:val="24"/>
          <w:highlight w:val="none"/>
          <w:lang w:eastAsia="zh-CN"/>
        </w:rPr>
      </w:pPr>
      <w:r>
        <w:rPr>
          <w:rFonts w:hint="eastAsia" w:ascii="Times New Roman" w:hAnsi="Times New Roman" w:eastAsia="宋体" w:cs="Times New Roman"/>
          <w:bCs/>
          <w:sz w:val="24"/>
          <w:szCs w:val="24"/>
          <w:highlight w:val="none"/>
          <w:lang w:eastAsia="zh-CN"/>
        </w:rPr>
        <w:t>根据环境空气质量现状调查与评价，本项目后评价阶段所在区域二氧化硫、氮氧化物、</w:t>
      </w:r>
      <w:r>
        <w:rPr>
          <w:rFonts w:hint="eastAsia" w:ascii="Times New Roman" w:hAnsi="Times New Roman" w:eastAsia="宋体" w:cs="Times New Roman"/>
          <w:bCs/>
          <w:sz w:val="24"/>
          <w:szCs w:val="24"/>
          <w:highlight w:val="none"/>
          <w:lang w:val="en-US" w:eastAsia="zh-CN"/>
        </w:rPr>
        <w:t>TSP、PM</w:t>
      </w:r>
      <w:r>
        <w:rPr>
          <w:rFonts w:hint="eastAsia" w:ascii="Times New Roman" w:hAnsi="Times New Roman" w:eastAsia="宋体" w:cs="Times New Roman"/>
          <w:bCs/>
          <w:sz w:val="24"/>
          <w:szCs w:val="24"/>
          <w:highlight w:val="none"/>
          <w:vertAlign w:val="subscript"/>
          <w:lang w:val="en-US" w:eastAsia="zh-CN"/>
        </w:rPr>
        <w:t>10</w:t>
      </w:r>
      <w:r>
        <w:rPr>
          <w:rFonts w:hint="eastAsia" w:ascii="Times New Roman" w:hAnsi="Times New Roman" w:eastAsia="宋体" w:cs="Times New Roman"/>
          <w:bCs/>
          <w:sz w:val="24"/>
          <w:szCs w:val="24"/>
          <w:highlight w:val="none"/>
          <w:lang w:val="en-US" w:eastAsia="zh-CN"/>
        </w:rPr>
        <w:t>等浓度均符合</w:t>
      </w:r>
      <w:r>
        <w:rPr>
          <w:rFonts w:ascii="Times New Roman" w:hAnsi="Times New Roman" w:eastAsia="宋体" w:cs="Times New Roman"/>
          <w:bCs/>
          <w:sz w:val="24"/>
          <w:szCs w:val="24"/>
        </w:rPr>
        <w:t>《环境空气质量》（GB3095-2012）的二级标准限值要求</w:t>
      </w:r>
      <w:r>
        <w:rPr>
          <w:rFonts w:hint="eastAsia" w:ascii="Times New Roman" w:hAnsi="Times New Roman" w:eastAsia="宋体" w:cs="Times New Roman"/>
          <w:bCs/>
          <w:sz w:val="24"/>
          <w:szCs w:val="24"/>
          <w:lang w:eastAsia="zh-CN"/>
        </w:rPr>
        <w:t>，</w:t>
      </w:r>
      <w:r>
        <w:rPr>
          <w:rFonts w:hint="eastAsia" w:ascii="Times New Roman" w:hAnsi="Times New Roman" w:eastAsia="宋体" w:cs="Times New Roman"/>
          <w:bCs/>
          <w:sz w:val="24"/>
          <w:szCs w:val="24"/>
          <w:highlight w:val="none"/>
          <w:lang w:eastAsia="zh-CN"/>
        </w:rPr>
        <w:t>可见项目废气正常排放对大气环境影响很小，是可接受的。</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eastAsia="zh-CN"/>
        </w:rPr>
        <w:t>厂区二氧化硫、氮氧化物、</w:t>
      </w:r>
      <w:r>
        <w:rPr>
          <w:rFonts w:hint="eastAsia" w:ascii="Times New Roman" w:hAnsi="Times New Roman" w:eastAsia="宋体" w:cs="Times New Roman"/>
          <w:bCs/>
          <w:sz w:val="24"/>
          <w:szCs w:val="24"/>
          <w:highlight w:val="none"/>
          <w:lang w:val="en-US" w:eastAsia="zh-CN"/>
        </w:rPr>
        <w:t>TSP、PM</w:t>
      </w:r>
      <w:r>
        <w:rPr>
          <w:rFonts w:hint="eastAsia" w:ascii="Times New Roman" w:hAnsi="Times New Roman" w:eastAsia="宋体" w:cs="Times New Roman"/>
          <w:bCs/>
          <w:sz w:val="24"/>
          <w:szCs w:val="24"/>
          <w:highlight w:val="none"/>
          <w:vertAlign w:val="subscript"/>
          <w:lang w:val="en-US" w:eastAsia="zh-CN"/>
        </w:rPr>
        <w:t>10</w:t>
      </w:r>
      <w:r>
        <w:rPr>
          <w:rFonts w:hint="eastAsia" w:ascii="Times New Roman" w:hAnsi="Times New Roman" w:eastAsia="宋体" w:cs="Times New Roman"/>
          <w:bCs/>
          <w:sz w:val="24"/>
          <w:szCs w:val="24"/>
          <w:highlight w:val="none"/>
          <w:lang w:val="en-US" w:eastAsia="zh-CN"/>
        </w:rPr>
        <w:t>等排放对敏感目标协力村影响不大，叠加背景后影响值分别为7.57µg/m</w:t>
      </w:r>
      <w:r>
        <w:rPr>
          <w:rFonts w:hint="eastAsia" w:ascii="Times New Roman" w:hAnsi="Times New Roman" w:eastAsia="宋体" w:cs="Times New Roman"/>
          <w:bCs/>
          <w:sz w:val="24"/>
          <w:szCs w:val="24"/>
          <w:highlight w:val="none"/>
          <w:vertAlign w:val="superscript"/>
          <w:lang w:val="en-US" w:eastAsia="zh-CN"/>
        </w:rPr>
        <w:t>3</w:t>
      </w:r>
      <w:r>
        <w:rPr>
          <w:rFonts w:hint="eastAsia" w:ascii="Times New Roman" w:hAnsi="Times New Roman" w:eastAsia="宋体" w:cs="Times New Roman"/>
          <w:bCs/>
          <w:sz w:val="24"/>
          <w:szCs w:val="24"/>
          <w:highlight w:val="none"/>
          <w:lang w:val="en-US" w:eastAsia="zh-CN"/>
        </w:rPr>
        <w:t>、39.43µg/m</w:t>
      </w:r>
      <w:r>
        <w:rPr>
          <w:rFonts w:hint="eastAsia" w:ascii="Times New Roman" w:hAnsi="Times New Roman" w:eastAsia="宋体" w:cs="Times New Roman"/>
          <w:bCs/>
          <w:sz w:val="24"/>
          <w:szCs w:val="24"/>
          <w:highlight w:val="none"/>
          <w:vertAlign w:val="superscript"/>
          <w:lang w:val="en-US" w:eastAsia="zh-CN"/>
        </w:rPr>
        <w:t>3</w:t>
      </w:r>
      <w:r>
        <w:rPr>
          <w:rFonts w:hint="eastAsia" w:ascii="Times New Roman" w:hAnsi="Times New Roman" w:eastAsia="宋体" w:cs="Times New Roman"/>
          <w:bCs/>
          <w:sz w:val="24"/>
          <w:szCs w:val="24"/>
          <w:highlight w:val="none"/>
          <w:lang w:val="en-US" w:eastAsia="zh-CN"/>
        </w:rPr>
        <w:t>、148µg/m</w:t>
      </w:r>
      <w:r>
        <w:rPr>
          <w:rFonts w:hint="eastAsia" w:ascii="Times New Roman" w:hAnsi="Times New Roman" w:eastAsia="宋体" w:cs="Times New Roman"/>
          <w:bCs/>
          <w:sz w:val="24"/>
          <w:szCs w:val="24"/>
          <w:highlight w:val="none"/>
          <w:vertAlign w:val="superscript"/>
          <w:lang w:val="en-US" w:eastAsia="zh-CN"/>
        </w:rPr>
        <w:t>3</w:t>
      </w:r>
      <w:r>
        <w:rPr>
          <w:rFonts w:hint="eastAsia" w:ascii="Times New Roman" w:hAnsi="Times New Roman" w:eastAsia="宋体" w:cs="Times New Roman"/>
          <w:bCs/>
          <w:sz w:val="24"/>
          <w:szCs w:val="24"/>
          <w:highlight w:val="none"/>
          <w:lang w:val="en-US" w:eastAsia="zh-CN"/>
        </w:rPr>
        <w:t>、68.57µg/m</w:t>
      </w:r>
      <w:r>
        <w:rPr>
          <w:rFonts w:hint="eastAsia" w:ascii="Times New Roman" w:hAnsi="Times New Roman" w:eastAsia="宋体" w:cs="Times New Roman"/>
          <w:bCs/>
          <w:sz w:val="24"/>
          <w:szCs w:val="24"/>
          <w:highlight w:val="none"/>
          <w:vertAlign w:val="superscript"/>
          <w:lang w:val="en-US" w:eastAsia="zh-CN"/>
        </w:rPr>
        <w:t>3</w:t>
      </w:r>
      <w:r>
        <w:rPr>
          <w:rFonts w:hint="eastAsia" w:ascii="Times New Roman" w:hAnsi="Times New Roman" w:eastAsia="宋体" w:cs="Times New Roman"/>
          <w:bCs/>
          <w:sz w:val="24"/>
          <w:szCs w:val="24"/>
          <w:highlight w:val="none"/>
          <w:lang w:val="en-US" w:eastAsia="zh-CN"/>
        </w:rPr>
        <w:t>，仍符合</w:t>
      </w:r>
      <w:r>
        <w:rPr>
          <w:rFonts w:ascii="Times New Roman" w:hAnsi="Times New Roman" w:eastAsia="宋体" w:cs="Times New Roman"/>
          <w:bCs/>
          <w:sz w:val="24"/>
          <w:szCs w:val="24"/>
        </w:rPr>
        <w:t>《环境空气质量》（GB3095-2012）的二级标准限值要求</w:t>
      </w:r>
      <w:r>
        <w:rPr>
          <w:rFonts w:hint="eastAsia" w:ascii="Times New Roman" w:hAnsi="Times New Roman" w:eastAsia="宋体" w:cs="Times New Roman"/>
          <w:bCs/>
          <w:sz w:val="24"/>
          <w:szCs w:val="24"/>
          <w:lang w:eastAsia="zh-CN"/>
        </w:rPr>
        <w:t>。</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eastAsia="zh-CN"/>
        </w:rPr>
        <w:t>厂区</w:t>
      </w:r>
      <w:r>
        <w:rPr>
          <w:rFonts w:hint="eastAsia" w:ascii="Times New Roman" w:hAnsi="Times New Roman" w:eastAsia="宋体" w:cs="Times New Roman"/>
          <w:bCs/>
          <w:sz w:val="24"/>
          <w:szCs w:val="24"/>
          <w:lang w:eastAsia="zh-CN"/>
        </w:rPr>
        <w:t>目前大气环境</w:t>
      </w:r>
      <w:r>
        <w:rPr>
          <w:rFonts w:ascii="Times New Roman" w:hAnsi="Times New Roman" w:eastAsia="宋体" w:cs="Times New Roman"/>
          <w:bCs/>
          <w:sz w:val="24"/>
          <w:szCs w:val="24"/>
        </w:rPr>
        <w:t>防护距离以焦炉外扩1000m、高炉外扩1200m范围的</w:t>
      </w:r>
      <w:r>
        <w:rPr>
          <w:rFonts w:hint="eastAsia" w:ascii="Times New Roman" w:hAnsi="Times New Roman" w:eastAsia="宋体" w:cs="Times New Roman"/>
          <w:bCs/>
          <w:sz w:val="24"/>
          <w:szCs w:val="24"/>
        </w:rPr>
        <w:t>包络线</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防护距离范围内不涉及居民区</w:t>
      </w:r>
      <w:r>
        <w:rPr>
          <w:rFonts w:hint="eastAsia" w:ascii="Times New Roman" w:hAnsi="Times New Roman" w:eastAsia="宋体" w:cs="Times New Roman"/>
          <w:bCs/>
          <w:sz w:val="24"/>
          <w:szCs w:val="24"/>
          <w:lang w:eastAsia="zh-CN"/>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360" w:lineRule="auto"/>
        <w:textAlignment w:val="auto"/>
        <w:outlineLvl w:val="2"/>
        <w:rPr>
          <w:rFonts w:hint="eastAsia" w:ascii="Times New Roman" w:hAnsi="Times New Roman" w:eastAsia="黑体" w:cs="Times New Roman"/>
          <w:sz w:val="24"/>
          <w:szCs w:val="24"/>
          <w:lang w:eastAsia="zh-CN"/>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4</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2地表</w:t>
      </w:r>
      <w:r>
        <w:rPr>
          <w:rFonts w:hint="eastAsia" w:ascii="Times New Roman" w:hAnsi="Times New Roman" w:eastAsia="黑体" w:cs="Times New Roman"/>
          <w:sz w:val="24"/>
          <w:szCs w:val="24"/>
          <w:lang w:eastAsia="zh-CN"/>
        </w:rPr>
        <w:t>水环境影响论证</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bCs/>
          <w:sz w:val="24"/>
          <w:szCs w:val="24"/>
          <w:highlight w:val="none"/>
          <w:lang w:eastAsia="zh-CN"/>
        </w:rPr>
      </w:pPr>
      <w:r>
        <w:rPr>
          <w:rFonts w:hint="eastAsia" w:ascii="Times New Roman" w:hAnsi="Times New Roman" w:eastAsia="宋体" w:cs="Times New Roman"/>
          <w:bCs/>
          <w:sz w:val="24"/>
          <w:szCs w:val="24"/>
          <w:lang w:eastAsia="zh-CN"/>
        </w:rPr>
        <w:t>厂区</w:t>
      </w:r>
      <w:r>
        <w:rPr>
          <w:rFonts w:ascii="Times New Roman" w:hAnsi="Times New Roman" w:eastAsia="宋体" w:cs="Times New Roman"/>
          <w:bCs/>
          <w:sz w:val="24"/>
          <w:szCs w:val="24"/>
        </w:rPr>
        <w:t>生产用水经各生产工序的水处理设施处理后大部分循环使用，少量排水排入全厂综合污水处理中心；各车间生活设施产生的生活污水，经化粪池处理后进入全厂综合污水处理中心，经统一处理后的水全部作为各生产用户的生产补充水使用，无生产废水、生活污水外排。</w:t>
      </w:r>
      <w:r>
        <w:rPr>
          <w:rFonts w:hint="eastAsia" w:ascii="Times New Roman" w:hAnsi="Times New Roman" w:eastAsia="宋体" w:cs="Times New Roman"/>
          <w:bCs/>
          <w:sz w:val="24"/>
          <w:szCs w:val="24"/>
          <w:lang w:eastAsia="zh-CN"/>
        </w:rPr>
        <w:t>厂区</w:t>
      </w:r>
      <w:r>
        <w:rPr>
          <w:rFonts w:ascii="Times New Roman" w:hAnsi="Times New Roman" w:eastAsia="宋体" w:cs="Times New Roman"/>
          <w:bCs/>
          <w:sz w:val="24"/>
          <w:szCs w:val="24"/>
        </w:rPr>
        <w:t>不向环境水体排放废污水，因此没有对周边地表水环境产生污染影响</w:t>
      </w:r>
      <w:r>
        <w:rPr>
          <w:rFonts w:hint="eastAsia" w:ascii="Times New Roman" w:hAnsi="Times New Roman" w:eastAsia="宋体" w:cs="Times New Roman"/>
          <w:bCs/>
          <w:sz w:val="24"/>
          <w:szCs w:val="24"/>
          <w:lang w:eastAsia="zh-CN"/>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360" w:lineRule="auto"/>
        <w:textAlignment w:val="auto"/>
        <w:outlineLvl w:val="2"/>
        <w:rPr>
          <w:rFonts w:hint="eastAsia" w:ascii="Times New Roman" w:hAnsi="Times New Roman" w:eastAsia="黑体" w:cs="Times New Roman"/>
          <w:sz w:val="24"/>
          <w:szCs w:val="24"/>
          <w:lang w:eastAsia="zh-CN"/>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4</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3</w:t>
      </w:r>
      <w:r>
        <w:rPr>
          <w:rFonts w:hint="eastAsia" w:ascii="Times New Roman" w:hAnsi="Times New Roman" w:eastAsia="黑体" w:cs="Times New Roman"/>
          <w:sz w:val="24"/>
          <w:szCs w:val="24"/>
          <w:lang w:eastAsia="zh-CN"/>
        </w:rPr>
        <w:t>声环境影响论证</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bCs/>
          <w:sz w:val="24"/>
          <w:szCs w:val="24"/>
          <w:lang w:eastAsia="zh-CN"/>
        </w:rPr>
      </w:pPr>
      <w:r>
        <w:rPr>
          <w:rFonts w:hint="eastAsia" w:ascii="Times New Roman" w:hAnsi="Times New Roman" w:eastAsia="宋体" w:cs="Times New Roman"/>
          <w:bCs/>
          <w:sz w:val="24"/>
          <w:szCs w:val="24"/>
          <w:lang w:val="en-US" w:eastAsia="zh-CN"/>
        </w:rPr>
        <w:t>根据企业日常环境管理的监测数据可知，</w:t>
      </w:r>
      <w:r>
        <w:rPr>
          <w:rFonts w:ascii="Times New Roman" w:hAnsi="Times New Roman" w:eastAsia="宋体" w:cs="Times New Roman"/>
          <w:bCs/>
          <w:sz w:val="24"/>
          <w:szCs w:val="24"/>
        </w:rPr>
        <w:t>项目厂区昼间噪声值在</w:t>
      </w:r>
      <w:r>
        <w:rPr>
          <w:rFonts w:hint="eastAsia" w:ascii="Times New Roman" w:hAnsi="Times New Roman" w:eastAsia="宋体" w:cs="Times New Roman"/>
          <w:bCs/>
          <w:sz w:val="24"/>
          <w:szCs w:val="24"/>
        </w:rPr>
        <w:t>54.2</w:t>
      </w:r>
      <w:r>
        <w:rPr>
          <w:rFonts w:ascii="Times New Roman" w:hAnsi="Times New Roman" w:eastAsia="宋体" w:cs="Times New Roman"/>
          <w:bCs/>
          <w:sz w:val="24"/>
          <w:szCs w:val="24"/>
        </w:rPr>
        <w:t>~</w:t>
      </w:r>
      <w:r>
        <w:rPr>
          <w:rFonts w:hint="eastAsia" w:ascii="Times New Roman" w:hAnsi="Times New Roman" w:eastAsia="宋体" w:cs="Times New Roman"/>
          <w:bCs/>
          <w:sz w:val="24"/>
          <w:szCs w:val="24"/>
        </w:rPr>
        <w:t>64.4</w:t>
      </w:r>
      <w:r>
        <w:rPr>
          <w:rFonts w:ascii="Times New Roman" w:hAnsi="Times New Roman" w:eastAsia="宋体" w:cs="Times New Roman"/>
          <w:bCs/>
          <w:sz w:val="24"/>
          <w:szCs w:val="24"/>
        </w:rPr>
        <w:t>dB(A)之间、夜间噪声值在4</w:t>
      </w:r>
      <w:r>
        <w:rPr>
          <w:rFonts w:hint="eastAsia" w:ascii="Times New Roman" w:hAnsi="Times New Roman" w:eastAsia="宋体" w:cs="Times New Roman"/>
          <w:bCs/>
          <w:sz w:val="24"/>
          <w:szCs w:val="24"/>
        </w:rPr>
        <w:t>8.5</w:t>
      </w:r>
      <w:r>
        <w:rPr>
          <w:rFonts w:ascii="Times New Roman" w:hAnsi="Times New Roman" w:eastAsia="宋体" w:cs="Times New Roman"/>
          <w:bCs/>
          <w:sz w:val="24"/>
          <w:szCs w:val="24"/>
        </w:rPr>
        <w:t>~5</w:t>
      </w:r>
      <w:r>
        <w:rPr>
          <w:rFonts w:hint="eastAsia" w:ascii="Times New Roman" w:hAnsi="Times New Roman" w:eastAsia="宋体" w:cs="Times New Roman"/>
          <w:bCs/>
          <w:sz w:val="24"/>
          <w:szCs w:val="24"/>
        </w:rPr>
        <w:t>4.3</w:t>
      </w:r>
      <w:r>
        <w:rPr>
          <w:rFonts w:ascii="Times New Roman" w:hAnsi="Times New Roman" w:eastAsia="宋体" w:cs="Times New Roman"/>
          <w:bCs/>
          <w:sz w:val="24"/>
          <w:szCs w:val="24"/>
        </w:rPr>
        <w:t>dB(A)之间，满足</w:t>
      </w:r>
      <w:r>
        <w:rPr>
          <w:rFonts w:ascii="Times New Roman" w:hAnsi="Times New Roman" w:eastAsia="宋体" w:cs="Times New Roman"/>
          <w:sz w:val="24"/>
        </w:rPr>
        <w:t>《工业企业厂界环境噪声排放标准》（GB12348-2008）3类标准</w:t>
      </w:r>
      <w:r>
        <w:rPr>
          <w:rFonts w:ascii="Times New Roman" w:hAnsi="Times New Roman" w:eastAsia="宋体" w:cs="Times New Roman"/>
          <w:bCs/>
          <w:sz w:val="24"/>
          <w:szCs w:val="24"/>
        </w:rPr>
        <w:t>要求</w:t>
      </w:r>
      <w:r>
        <w:rPr>
          <w:rFonts w:hint="eastAsia" w:ascii="Times New Roman" w:hAnsi="Times New Roman" w:eastAsia="宋体" w:cs="Times New Roman"/>
          <w:bCs/>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360" w:lineRule="auto"/>
        <w:textAlignment w:val="auto"/>
        <w:outlineLvl w:val="2"/>
        <w:rPr>
          <w:rFonts w:hint="eastAsia" w:ascii="Times New Roman" w:hAnsi="Times New Roman" w:eastAsia="黑体" w:cs="Times New Roman"/>
          <w:sz w:val="24"/>
          <w:szCs w:val="24"/>
          <w:lang w:eastAsia="zh-CN"/>
        </w:rPr>
      </w:pPr>
      <w:r>
        <w:rPr>
          <w:rFonts w:ascii="Times New Roman" w:hAnsi="Times New Roman" w:eastAsia="黑体" w:cs="Times New Roman"/>
          <w:sz w:val="24"/>
          <w:szCs w:val="24"/>
        </w:rPr>
        <w:t>1</w:t>
      </w:r>
      <w:r>
        <w:rPr>
          <w:rFonts w:hint="eastAsia" w:ascii="Times New Roman" w:hAnsi="Times New Roman" w:eastAsia="黑体" w:cs="Times New Roman"/>
          <w:sz w:val="24"/>
          <w:szCs w:val="24"/>
          <w:lang w:val="en-US" w:eastAsia="zh-CN"/>
        </w:rPr>
        <w:t>1</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4</w:t>
      </w:r>
      <w:r>
        <w:rPr>
          <w:rFonts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4</w:t>
      </w:r>
      <w:r>
        <w:rPr>
          <w:rFonts w:hint="eastAsia" w:ascii="Times New Roman" w:hAnsi="Times New Roman" w:eastAsia="黑体" w:cs="Times New Roman"/>
          <w:sz w:val="24"/>
          <w:szCs w:val="24"/>
          <w:lang w:eastAsia="zh-CN"/>
        </w:rPr>
        <w:t>固体废物影响论证</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sz w:val="24"/>
          <w:szCs w:val="24"/>
          <w:lang w:eastAsia="zh-CN"/>
        </w:rPr>
      </w:pPr>
      <w:r>
        <w:rPr>
          <w:rFonts w:ascii="Times New Roman" w:hAnsi="Times New Roman" w:eastAsia="宋体" w:cs="Times New Roman"/>
          <w:bCs/>
          <w:sz w:val="24"/>
          <w:szCs w:val="24"/>
        </w:rPr>
        <w:t>搬迁项目</w:t>
      </w:r>
      <w:r>
        <w:rPr>
          <w:rFonts w:hint="eastAsia" w:ascii="Times New Roman" w:hAnsi="Times New Roman" w:eastAsia="宋体" w:cs="Times New Roman"/>
          <w:bCs/>
          <w:sz w:val="24"/>
          <w:szCs w:val="24"/>
          <w:lang w:eastAsia="zh-CN"/>
        </w:rPr>
        <w:t>后</w:t>
      </w:r>
      <w:r>
        <w:rPr>
          <w:rFonts w:ascii="Times New Roman" w:hAnsi="Times New Roman" w:eastAsia="宋体" w:cs="Times New Roman"/>
          <w:bCs/>
          <w:sz w:val="24"/>
          <w:szCs w:val="24"/>
        </w:rPr>
        <w:t>评价期间固体废物产生量约1</w:t>
      </w:r>
      <w:r>
        <w:rPr>
          <w:rFonts w:hint="eastAsia" w:ascii="Times New Roman" w:hAnsi="Times New Roman" w:eastAsia="宋体" w:cs="Times New Roman"/>
          <w:bCs/>
          <w:sz w:val="24"/>
          <w:szCs w:val="24"/>
          <w:lang w:val="en-US" w:eastAsia="zh-CN"/>
        </w:rPr>
        <w:t>13.17</w:t>
      </w:r>
      <w:r>
        <w:rPr>
          <w:rFonts w:ascii="Times New Roman" w:hAnsi="Times New Roman" w:eastAsia="宋体" w:cs="Times New Roman"/>
          <w:bCs/>
          <w:sz w:val="24"/>
          <w:szCs w:val="24"/>
        </w:rPr>
        <w:t>万t/a，其中可综合利用的部分尽可能做到了综合利用，无法综合作用的部分全部外委有资质的单位进行安全处置，</w:t>
      </w:r>
      <w:r>
        <w:rPr>
          <w:rFonts w:hint="eastAsia" w:ascii="Times New Roman" w:hAnsi="Times New Roman" w:eastAsia="宋体" w:cs="Times New Roman"/>
          <w:bCs/>
          <w:sz w:val="24"/>
          <w:szCs w:val="24"/>
          <w:lang w:eastAsia="zh-CN"/>
        </w:rPr>
        <w:t>厂区</w:t>
      </w:r>
      <w:r>
        <w:rPr>
          <w:rFonts w:ascii="Times New Roman" w:hAnsi="Times New Roman" w:eastAsia="宋体" w:cs="Times New Roman"/>
          <w:bCs/>
          <w:sz w:val="24"/>
          <w:szCs w:val="24"/>
        </w:rPr>
        <w:t>固体废物的综合利用、安全处置率达到100%</w:t>
      </w:r>
      <w:r>
        <w:rPr>
          <w:rFonts w:hint="eastAsia" w:ascii="Times New Roman" w:hAnsi="Times New Roman" w:eastAsia="宋体" w:cs="Times New Roman"/>
          <w:bCs/>
          <w:sz w:val="24"/>
          <w:szCs w:val="24"/>
          <w:lang w:eastAsia="zh-CN"/>
        </w:rPr>
        <w:t>。</w:t>
      </w:r>
    </w:p>
    <w:p>
      <w:pPr>
        <w:pStyle w:val="27"/>
        <w:keepNext w:val="0"/>
        <w:keepLines w:val="0"/>
        <w:pageBreakBefore w:val="0"/>
        <w:kinsoku/>
        <w:wordWrap/>
        <w:bidi w:val="0"/>
        <w:snapToGrid/>
        <w:spacing w:before="156" w:after="156" w:line="360" w:lineRule="auto"/>
        <w:rPr>
          <w:rFonts w:hint="eastAsia" w:ascii="Times New Roman" w:eastAsia="黑体"/>
          <w:b w:val="0"/>
          <w:lang w:eastAsia="zh-CN"/>
        </w:rPr>
      </w:pPr>
      <w:r>
        <w:rPr>
          <w:rFonts w:ascii="Times New Roman"/>
          <w:b w:val="0"/>
        </w:rPr>
        <w:t>1</w:t>
      </w:r>
      <w:r>
        <w:rPr>
          <w:rFonts w:hint="eastAsia" w:ascii="Times New Roman"/>
          <w:b w:val="0"/>
          <w:lang w:val="en-US" w:eastAsia="zh-CN"/>
        </w:rPr>
        <w:t>1</w:t>
      </w:r>
      <w:r>
        <w:rPr>
          <w:rFonts w:ascii="Times New Roman"/>
          <w:b w:val="0"/>
        </w:rPr>
        <w:t>.</w:t>
      </w:r>
      <w:r>
        <w:rPr>
          <w:rFonts w:hint="eastAsia" w:ascii="Times New Roman"/>
          <w:b w:val="0"/>
          <w:lang w:val="en-US" w:eastAsia="zh-CN"/>
        </w:rPr>
        <w:t>4</w:t>
      </w:r>
      <w:r>
        <w:rPr>
          <w:rFonts w:hint="eastAsia" w:ascii="Times New Roman"/>
          <w:b w:val="0"/>
          <w:lang w:eastAsia="zh-CN"/>
        </w:rPr>
        <w:t>总结论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sz w:val="24"/>
          <w:szCs w:val="24"/>
          <w:lang w:eastAsia="zh-CN"/>
        </w:rPr>
      </w:pPr>
      <w:r>
        <w:rPr>
          <w:rFonts w:hint="eastAsia" w:ascii="Times New Roman" w:hAnsi="Times New Roman" w:eastAsia="宋体" w:cs="Times New Roman"/>
          <w:bCs/>
          <w:sz w:val="24"/>
          <w:szCs w:val="24"/>
          <w:lang w:eastAsia="zh-CN"/>
        </w:rPr>
        <w:t>芜湖新兴铸管有限责任公司选址位于</w:t>
      </w:r>
      <w:r>
        <w:rPr>
          <w:rFonts w:ascii="Times New Roman" w:hAnsi="Times New Roman" w:eastAsia="宋体" w:cs="Times New Roman"/>
          <w:bCs/>
          <w:sz w:val="24"/>
          <w:szCs w:val="24"/>
        </w:rPr>
        <w:t>三山经济开发区</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厂区现拥有焦化、烧结、炼铁、铸管、炼钢、轧钢等生产工艺装备以及燃气系统、动力系统等生产辅助设施</w:t>
      </w:r>
      <w:r>
        <w:rPr>
          <w:rFonts w:hint="eastAsia" w:ascii="Times New Roman" w:hAnsi="Times New Roman" w:eastAsia="宋体" w:cs="Times New Roman"/>
          <w:bCs/>
          <w:sz w:val="24"/>
          <w:szCs w:val="24"/>
          <w:lang w:eastAsia="zh-CN"/>
        </w:rPr>
        <w:t>，</w:t>
      </w:r>
      <w:r>
        <w:rPr>
          <w:rFonts w:ascii="Times New Roman" w:hAnsi="Times New Roman" w:eastAsia="宋体" w:cs="Times New Roman"/>
          <w:bCs/>
          <w:sz w:val="24"/>
          <w:szCs w:val="24"/>
        </w:rPr>
        <w:t>具有198万t铁水、80万t球墨铸铁管、150万t钢水、80万t线材及90万t棒</w:t>
      </w:r>
      <w:r>
        <w:rPr>
          <w:rFonts w:ascii="Times New Roman" w:hAnsi="Times New Roman" w:eastAsia="宋体" w:cs="Times New Roman"/>
          <w:bCs/>
          <w:sz w:val="24"/>
          <w:szCs w:val="24"/>
          <w:highlight w:val="none"/>
        </w:rPr>
        <w:t>材的生产能力，拥有职工5500人。2018年生产铁水</w:t>
      </w:r>
      <w:r>
        <w:rPr>
          <w:rFonts w:hint="eastAsia" w:ascii="Times New Roman" w:hAnsi="Times New Roman" w:eastAsia="宋体" w:cs="Times New Roman"/>
          <w:bCs/>
          <w:sz w:val="24"/>
          <w:szCs w:val="24"/>
          <w:highlight w:val="none"/>
          <w:lang w:val="en-US" w:eastAsia="zh-CN"/>
        </w:rPr>
        <w:t>196.2</w:t>
      </w:r>
      <w:r>
        <w:rPr>
          <w:rFonts w:ascii="Times New Roman" w:hAnsi="Times New Roman" w:eastAsia="宋体" w:cs="Times New Roman"/>
          <w:bCs/>
          <w:sz w:val="24"/>
          <w:szCs w:val="24"/>
          <w:highlight w:val="none"/>
        </w:rPr>
        <w:t>万t，钢水</w:t>
      </w:r>
      <w:r>
        <w:rPr>
          <w:rFonts w:hint="eastAsia" w:ascii="Times New Roman" w:hAnsi="Times New Roman" w:eastAsia="宋体" w:cs="Times New Roman"/>
          <w:bCs/>
          <w:sz w:val="24"/>
          <w:szCs w:val="24"/>
          <w:highlight w:val="none"/>
          <w:lang w:val="en-US" w:eastAsia="zh-CN"/>
        </w:rPr>
        <w:t>143.85</w:t>
      </w:r>
      <w:r>
        <w:rPr>
          <w:rFonts w:ascii="Times New Roman" w:hAnsi="Times New Roman" w:eastAsia="宋体" w:cs="Times New Roman"/>
          <w:bCs/>
          <w:sz w:val="24"/>
          <w:szCs w:val="24"/>
          <w:highlight w:val="none"/>
        </w:rPr>
        <w:t>万t，连铸坯1</w:t>
      </w:r>
      <w:r>
        <w:rPr>
          <w:rFonts w:hint="eastAsia" w:ascii="Times New Roman" w:hAnsi="Times New Roman" w:eastAsia="宋体" w:cs="Times New Roman"/>
          <w:bCs/>
          <w:sz w:val="24"/>
          <w:szCs w:val="24"/>
          <w:highlight w:val="none"/>
          <w:lang w:val="en-US" w:eastAsia="zh-CN"/>
        </w:rPr>
        <w:t>41.51</w:t>
      </w:r>
      <w:r>
        <w:rPr>
          <w:rFonts w:ascii="Times New Roman" w:hAnsi="Times New Roman" w:eastAsia="宋体" w:cs="Times New Roman"/>
          <w:bCs/>
          <w:sz w:val="24"/>
          <w:szCs w:val="24"/>
          <w:highlight w:val="none"/>
        </w:rPr>
        <w:t>万t，球墨铸管</w:t>
      </w:r>
      <w:r>
        <w:rPr>
          <w:rFonts w:hint="eastAsia" w:ascii="Times New Roman" w:hAnsi="Times New Roman" w:eastAsia="宋体" w:cs="Times New Roman"/>
          <w:bCs/>
          <w:sz w:val="24"/>
          <w:szCs w:val="24"/>
          <w:highlight w:val="none"/>
          <w:lang w:val="en-US" w:eastAsia="zh-CN"/>
        </w:rPr>
        <w:t>65</w:t>
      </w:r>
      <w:r>
        <w:rPr>
          <w:rFonts w:ascii="Times New Roman" w:hAnsi="Times New Roman" w:eastAsia="宋体" w:cs="Times New Roman"/>
          <w:bCs/>
          <w:sz w:val="24"/>
          <w:szCs w:val="24"/>
          <w:highlight w:val="none"/>
        </w:rPr>
        <w:t>万t，铁水及钢水产量分别达产能的</w:t>
      </w:r>
      <w:r>
        <w:rPr>
          <w:rFonts w:hint="eastAsia" w:ascii="Times New Roman" w:hAnsi="Times New Roman" w:eastAsia="宋体" w:cs="Times New Roman"/>
          <w:bCs/>
          <w:sz w:val="24"/>
          <w:szCs w:val="24"/>
          <w:highlight w:val="none"/>
          <w:lang w:val="en-US" w:eastAsia="zh-CN"/>
        </w:rPr>
        <w:t>99.09</w:t>
      </w:r>
      <w:r>
        <w:rPr>
          <w:rFonts w:ascii="Times New Roman" w:hAnsi="Times New Roman" w:eastAsia="宋体" w:cs="Times New Roman"/>
          <w:bCs/>
          <w:sz w:val="24"/>
          <w:szCs w:val="24"/>
          <w:highlight w:val="none"/>
        </w:rPr>
        <w:t>%、</w:t>
      </w:r>
      <w:r>
        <w:rPr>
          <w:rFonts w:hint="eastAsia" w:ascii="Times New Roman" w:hAnsi="Times New Roman" w:eastAsia="宋体" w:cs="Times New Roman"/>
          <w:bCs/>
          <w:sz w:val="24"/>
          <w:szCs w:val="24"/>
          <w:highlight w:val="none"/>
          <w:lang w:val="en-US" w:eastAsia="zh-CN"/>
        </w:rPr>
        <w:t>94.34</w:t>
      </w:r>
      <w:r>
        <w:rPr>
          <w:rFonts w:ascii="Times New Roman" w:hAnsi="Times New Roman" w:eastAsia="宋体" w:cs="Times New Roman"/>
          <w:bCs/>
          <w:sz w:val="24"/>
          <w:szCs w:val="24"/>
          <w:highlight w:val="none"/>
        </w:rPr>
        <w:t>%</w:t>
      </w:r>
      <w:r>
        <w:rPr>
          <w:rFonts w:hint="eastAsia" w:ascii="Times New Roman" w:hAnsi="Times New Roman" w:eastAsia="宋体" w:cs="Times New Roman"/>
          <w:bCs/>
          <w:sz w:val="24"/>
          <w:szCs w:val="24"/>
          <w:highlight w:val="none"/>
          <w:lang w:eastAsia="zh-CN"/>
        </w:rPr>
        <w:t>，未突破厂区核定产能</w:t>
      </w:r>
      <w:r>
        <w:rPr>
          <w:rFonts w:hint="eastAsia" w:ascii="Times New Roman" w:hAnsi="Times New Roman" w:eastAsia="宋体" w:cs="Times New Roman"/>
          <w:bCs/>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sz w:val="24"/>
          <w:szCs w:val="24"/>
          <w:lang w:eastAsia="zh-CN"/>
        </w:rPr>
      </w:pPr>
      <w:r>
        <w:rPr>
          <w:rFonts w:hint="eastAsia" w:ascii="Times New Roman" w:hAnsi="Times New Roman" w:eastAsia="宋体" w:cs="Times New Roman"/>
          <w:bCs/>
          <w:sz w:val="24"/>
          <w:szCs w:val="24"/>
          <w:lang w:eastAsia="zh-CN"/>
        </w:rPr>
        <w:t>芜湖新兴铸管有限责任公司已建成运营约</w:t>
      </w:r>
      <w:r>
        <w:rPr>
          <w:rFonts w:hint="eastAsia" w:ascii="Times New Roman" w:hAnsi="Times New Roman" w:eastAsia="宋体" w:cs="Times New Roman"/>
          <w:bCs/>
          <w:sz w:val="24"/>
          <w:szCs w:val="24"/>
          <w:lang w:val="en-US" w:eastAsia="zh-CN"/>
        </w:rPr>
        <w:t>4</w:t>
      </w:r>
      <w:r>
        <w:rPr>
          <w:rFonts w:hint="eastAsia" w:ascii="Times New Roman" w:hAnsi="Times New Roman" w:eastAsia="宋体" w:cs="Times New Roman"/>
          <w:bCs/>
          <w:sz w:val="24"/>
          <w:szCs w:val="24"/>
          <w:lang w:eastAsia="zh-CN"/>
        </w:rPr>
        <w:t>年，未发生环境风险事故。项目建设符合国家相关产业政策，符合芜湖市城市总体规划和三山经济开发区控制性详细规划。项目周边多为园区企业厂房，生产车间距离敏感目标较远。经本次后评价分析，确定厂区现有大气环境防护距离内无环境敏感目标。建设单位应严格执行和落实相关环境污染防治、环境管理方面的各项要求，污染物能做到达标排放，污染物总量亦能得到控制，项目所造成的环境影响在可以接受的范围内。</w:t>
      </w:r>
    </w:p>
    <w:p>
      <w:pPr>
        <w:keepNext w:val="0"/>
        <w:keepLines w:val="0"/>
        <w:pageBreakBefore w:val="0"/>
        <w:kinsoku/>
        <w:wordWrap/>
        <w:bidi w:val="0"/>
        <w:snapToGrid/>
        <w:spacing w:line="360" w:lineRule="auto"/>
        <w:ind w:firstLine="480" w:firstLineChars="200"/>
        <w:rPr>
          <w:rFonts w:hint="eastAsia" w:ascii="Times New Roman" w:hAnsi="Times New Roman" w:eastAsia="宋体" w:cs="Times New Roman"/>
          <w:bCs/>
          <w:sz w:val="24"/>
          <w:szCs w:val="24"/>
          <w:lang w:eastAsia="zh-CN"/>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Century">
    <w:panose1 w:val="02040604050505020304"/>
    <w:charset w:val="00"/>
    <w:family w:val="roman"/>
    <w:pitch w:val="default"/>
    <w:sig w:usb0="00000287" w:usb1="000000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华文新魏">
    <w:panose1 w:val="02010800040101010101"/>
    <w:charset w:val="86"/>
    <w:family w:val="auto"/>
    <w:pitch w:val="default"/>
    <w:sig w:usb0="00000001" w:usb1="080F0000" w:usb2="00000000" w:usb3="00000000" w:csb0="00040000" w:csb1="00000000"/>
  </w:font>
  <w:font w:name="楷体">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pict>
        <v:shape id="_x0000_s2049" o:spid="_x0000_s2049"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joinstyle="miter"/>
          <v:imagedata o:title=""/>
          <o:lock v:ext="edit"/>
          <v:textbox inset="0mm,0mm,0mm,0mm" style="mso-fit-shape-to-text:t;">
            <w:txbxContent>
              <w:p>
                <w:pPr>
                  <w:pStyle w:val="16"/>
                </w:pPr>
                <w:r>
                  <w:rPr>
                    <w:rFonts w:hint="eastAsia"/>
                  </w:rPr>
                  <w:fldChar w:fldCharType="begin"/>
                </w:r>
                <w:r>
                  <w:rPr>
                    <w:rFonts w:hint="eastAsia"/>
                  </w:rPr>
                  <w:instrText xml:space="preserve"> PAGE  \* MERGEFORMAT </w:instrText>
                </w:r>
                <w:r>
                  <w:rPr>
                    <w:rFonts w:hint="eastAsia"/>
                  </w:rPr>
                  <w:fldChar w:fldCharType="separate"/>
                </w:r>
                <w:r>
                  <w:t>23</w:t>
                </w:r>
                <w:r>
                  <w:rPr>
                    <w:rFonts w:hint="eastAsia"/>
                  </w:rP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jc w:val="center"/>
    </w:pPr>
    <w:r>
      <w:pict>
        <v:shape id="_x0000_s2050" o:spid="_x0000_s2050"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joinstyle="miter"/>
          <v:imagedata o:title=""/>
          <o:lock v:ext="edit"/>
          <v:textbox inset="0mm,0mm,0mm,0mm" style="mso-fit-shape-to-text:t;">
            <w:txbxContent>
              <w:sdt>
                <w:sdtPr>
                  <w:id w:val="787929784"/>
                </w:sdtPr>
                <w:sdtContent>
                  <w:p>
                    <w:pPr>
                      <w:pStyle w:val="16"/>
                      <w:ind w:firstLine="360"/>
                      <w:jc w:val="center"/>
                    </w:pPr>
                    <w:r>
                      <w:fldChar w:fldCharType="begin"/>
                    </w:r>
                    <w:r>
                      <w:instrText xml:space="preserve">PAGE   \* MERGEFORMAT</w:instrText>
                    </w:r>
                    <w:r>
                      <w:fldChar w:fldCharType="separate"/>
                    </w:r>
                    <w:r>
                      <w:rPr>
                        <w:lang w:val="zh-CN"/>
                      </w:rPr>
                      <w:t>37</w:t>
                    </w:r>
                    <w:r>
                      <w:fldChar w:fldCharType="end"/>
                    </w:r>
                  </w:p>
                </w:sdtContent>
              </w:sdt>
              <w:p>
                <w:pPr>
                  <w:pStyle w:val="2"/>
                </w:pP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5F436B"/>
    <w:multiLevelType w:val="singleLevel"/>
    <w:tmpl w:val="8D5F436B"/>
    <w:lvl w:ilvl="0" w:tentative="0">
      <w:start w:val="1"/>
      <w:numFmt w:val="decimal"/>
      <w:suff w:val="nothing"/>
      <w:lvlText w:val="（%1）"/>
      <w:lvlJc w:val="left"/>
    </w:lvl>
  </w:abstractNum>
  <w:abstractNum w:abstractNumId="1">
    <w:nsid w:val="B21DB227"/>
    <w:multiLevelType w:val="singleLevel"/>
    <w:tmpl w:val="B21DB227"/>
    <w:lvl w:ilvl="0" w:tentative="0">
      <w:start w:val="1"/>
      <w:numFmt w:val="decimal"/>
      <w:suff w:val="nothing"/>
      <w:lvlText w:val="（%1）"/>
      <w:lvlJc w:val="left"/>
    </w:lvl>
  </w:abstractNum>
  <w:abstractNum w:abstractNumId="2">
    <w:nsid w:val="0000002B"/>
    <w:multiLevelType w:val="multilevel"/>
    <w:tmpl w:val="0000002B"/>
    <w:lvl w:ilvl="0" w:tentative="0">
      <w:start w:val="1"/>
      <w:numFmt w:val="decimal"/>
      <w:lvlText w:val="%1"/>
      <w:lvlJc w:val="left"/>
      <w:pPr>
        <w:tabs>
          <w:tab w:val="left" w:pos="432"/>
        </w:tabs>
        <w:ind w:left="432" w:hanging="432"/>
      </w:pPr>
    </w:lvl>
    <w:lvl w:ilvl="1" w:tentative="0">
      <w:start w:val="1"/>
      <w:numFmt w:val="decimal"/>
      <w:lvlText w:val="%1.%2"/>
      <w:lvlJc w:val="left"/>
      <w:pPr>
        <w:tabs>
          <w:tab w:val="left" w:pos="576"/>
        </w:tabs>
        <w:ind w:left="576" w:hanging="576"/>
      </w:pPr>
    </w:lvl>
    <w:lvl w:ilvl="2" w:tentative="0">
      <w:start w:val="1"/>
      <w:numFmt w:val="decimal"/>
      <w:pStyle w:val="5"/>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3">
    <w:nsid w:val="31427D2B"/>
    <w:multiLevelType w:val="multilevel"/>
    <w:tmpl w:val="31427D2B"/>
    <w:lvl w:ilvl="0" w:tentative="0">
      <w:start w:val="1"/>
      <w:numFmt w:val="decimal"/>
      <w:pStyle w:val="29"/>
      <w:lvlText w:val="(%1)"/>
      <w:lvlJc w:val="left"/>
      <w:pPr>
        <w:tabs>
          <w:tab w:val="left" w:pos="780"/>
        </w:tabs>
        <w:ind w:left="780" w:hanging="420"/>
      </w:pPr>
      <w:rPr>
        <w:rFonts w:hint="eastAsia"/>
      </w:rPr>
    </w:lvl>
    <w:lvl w:ilvl="1" w:tentative="0">
      <w:start w:val="3"/>
      <w:numFmt w:val="decimal"/>
      <w:lvlText w:val="%2、"/>
      <w:lvlJc w:val="left"/>
      <w:pPr>
        <w:tabs>
          <w:tab w:val="left" w:pos="1260"/>
        </w:tabs>
        <w:ind w:left="1260" w:hanging="360"/>
      </w:pPr>
      <w:rPr>
        <w:rFonts w:hint="default"/>
      </w:r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pStyle w:val="30"/>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4">
    <w:nsid w:val="47F9A74A"/>
    <w:multiLevelType w:val="singleLevel"/>
    <w:tmpl w:val="47F9A74A"/>
    <w:lvl w:ilvl="0" w:tentative="0">
      <w:start w:val="1"/>
      <w:numFmt w:val="decimal"/>
      <w:suff w:val="nothing"/>
      <w:lvlText w:val="（%1）"/>
      <w:lvlJc w:val="left"/>
    </w:lvl>
  </w:abstractNum>
  <w:abstractNum w:abstractNumId="5">
    <w:nsid w:val="6E8D4315"/>
    <w:multiLevelType w:val="singleLevel"/>
    <w:tmpl w:val="6E8D4315"/>
    <w:lvl w:ilvl="0" w:tentative="0">
      <w:start w:val="1"/>
      <w:numFmt w:val="decimal"/>
      <w:suff w:val="nothing"/>
      <w:lvlText w:val="%1、"/>
      <w:lvlJc w:val="left"/>
    </w:lvl>
  </w:abstractNum>
  <w:num w:numId="1">
    <w:abstractNumId w:val="2"/>
  </w:num>
  <w:num w:numId="2">
    <w:abstractNumId w:val="3"/>
  </w:num>
  <w:num w:numId="3">
    <w:abstractNumId w:val="5"/>
  </w:num>
  <w:num w:numId="4">
    <w:abstractNumId w:val="4"/>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9F27FD"/>
    <w:rsid w:val="000348A6"/>
    <w:rsid w:val="00086462"/>
    <w:rsid w:val="001538B9"/>
    <w:rsid w:val="00162F97"/>
    <w:rsid w:val="001823CC"/>
    <w:rsid w:val="0019285A"/>
    <w:rsid w:val="001931C4"/>
    <w:rsid w:val="001B0C79"/>
    <w:rsid w:val="001B1624"/>
    <w:rsid w:val="001E28F2"/>
    <w:rsid w:val="00206644"/>
    <w:rsid w:val="00207CD8"/>
    <w:rsid w:val="002729B1"/>
    <w:rsid w:val="002B20FE"/>
    <w:rsid w:val="002D4CE1"/>
    <w:rsid w:val="002F3ECB"/>
    <w:rsid w:val="00335BD8"/>
    <w:rsid w:val="00341321"/>
    <w:rsid w:val="00351D24"/>
    <w:rsid w:val="00362DDF"/>
    <w:rsid w:val="003A2273"/>
    <w:rsid w:val="003A48FC"/>
    <w:rsid w:val="003B5A7F"/>
    <w:rsid w:val="003E2583"/>
    <w:rsid w:val="00416BEF"/>
    <w:rsid w:val="004207B5"/>
    <w:rsid w:val="00450F0C"/>
    <w:rsid w:val="004C6EB4"/>
    <w:rsid w:val="005002C1"/>
    <w:rsid w:val="005037F8"/>
    <w:rsid w:val="00503889"/>
    <w:rsid w:val="00504B76"/>
    <w:rsid w:val="00547A58"/>
    <w:rsid w:val="005A35CB"/>
    <w:rsid w:val="005B7583"/>
    <w:rsid w:val="005C605F"/>
    <w:rsid w:val="005D3C63"/>
    <w:rsid w:val="005F2C0C"/>
    <w:rsid w:val="0064076F"/>
    <w:rsid w:val="00644B3F"/>
    <w:rsid w:val="006C345F"/>
    <w:rsid w:val="0075256C"/>
    <w:rsid w:val="00763FF2"/>
    <w:rsid w:val="00795793"/>
    <w:rsid w:val="007B14B1"/>
    <w:rsid w:val="007D0DFF"/>
    <w:rsid w:val="007D3807"/>
    <w:rsid w:val="007D3CE9"/>
    <w:rsid w:val="007F5EA8"/>
    <w:rsid w:val="00832B01"/>
    <w:rsid w:val="00833BE3"/>
    <w:rsid w:val="00847573"/>
    <w:rsid w:val="0097468F"/>
    <w:rsid w:val="0098375F"/>
    <w:rsid w:val="009E1C67"/>
    <w:rsid w:val="009F27FD"/>
    <w:rsid w:val="009F60B2"/>
    <w:rsid w:val="00A10AD4"/>
    <w:rsid w:val="00A83CD8"/>
    <w:rsid w:val="00AB41F7"/>
    <w:rsid w:val="00AC5D04"/>
    <w:rsid w:val="00AD0AB3"/>
    <w:rsid w:val="00AE1EE6"/>
    <w:rsid w:val="00AF732A"/>
    <w:rsid w:val="00B02D9A"/>
    <w:rsid w:val="00B34CC2"/>
    <w:rsid w:val="00B50C70"/>
    <w:rsid w:val="00B768A4"/>
    <w:rsid w:val="00B778A6"/>
    <w:rsid w:val="00B96B4B"/>
    <w:rsid w:val="00BA25AF"/>
    <w:rsid w:val="00BC1618"/>
    <w:rsid w:val="00BD333D"/>
    <w:rsid w:val="00C10E3A"/>
    <w:rsid w:val="00C41119"/>
    <w:rsid w:val="00C746DC"/>
    <w:rsid w:val="00CC1BE9"/>
    <w:rsid w:val="00CE0A90"/>
    <w:rsid w:val="00CE72F3"/>
    <w:rsid w:val="00CF5D15"/>
    <w:rsid w:val="00D23738"/>
    <w:rsid w:val="00D63DC3"/>
    <w:rsid w:val="00D772AD"/>
    <w:rsid w:val="00D77578"/>
    <w:rsid w:val="00DD3FEF"/>
    <w:rsid w:val="00DE7009"/>
    <w:rsid w:val="00E638EC"/>
    <w:rsid w:val="00E905A4"/>
    <w:rsid w:val="00ED006A"/>
    <w:rsid w:val="00EE4463"/>
    <w:rsid w:val="00F16047"/>
    <w:rsid w:val="00F62819"/>
    <w:rsid w:val="00F73037"/>
    <w:rsid w:val="00F909CD"/>
    <w:rsid w:val="00FA66C6"/>
    <w:rsid w:val="00FB7F5C"/>
    <w:rsid w:val="00FC432B"/>
    <w:rsid w:val="00FE057E"/>
    <w:rsid w:val="01200750"/>
    <w:rsid w:val="013D5A1A"/>
    <w:rsid w:val="01B84BEE"/>
    <w:rsid w:val="01C812F2"/>
    <w:rsid w:val="01C9711D"/>
    <w:rsid w:val="027140B7"/>
    <w:rsid w:val="02C40B77"/>
    <w:rsid w:val="02CE3D63"/>
    <w:rsid w:val="02E2563D"/>
    <w:rsid w:val="034732A8"/>
    <w:rsid w:val="03550D14"/>
    <w:rsid w:val="03B91212"/>
    <w:rsid w:val="03C96C94"/>
    <w:rsid w:val="03FD0F2C"/>
    <w:rsid w:val="0490158C"/>
    <w:rsid w:val="05C110DD"/>
    <w:rsid w:val="05FB1C9F"/>
    <w:rsid w:val="062C55CF"/>
    <w:rsid w:val="063004FB"/>
    <w:rsid w:val="065360E7"/>
    <w:rsid w:val="066A13F0"/>
    <w:rsid w:val="06C4612A"/>
    <w:rsid w:val="06D36317"/>
    <w:rsid w:val="06D5546A"/>
    <w:rsid w:val="06FE326F"/>
    <w:rsid w:val="07194B93"/>
    <w:rsid w:val="075A2BA5"/>
    <w:rsid w:val="07600C82"/>
    <w:rsid w:val="077C632A"/>
    <w:rsid w:val="0792427E"/>
    <w:rsid w:val="079C1014"/>
    <w:rsid w:val="07BA02BD"/>
    <w:rsid w:val="07E823A9"/>
    <w:rsid w:val="07FA49E4"/>
    <w:rsid w:val="084C250E"/>
    <w:rsid w:val="085C278F"/>
    <w:rsid w:val="08673350"/>
    <w:rsid w:val="08675C2D"/>
    <w:rsid w:val="088C410F"/>
    <w:rsid w:val="08FE67B3"/>
    <w:rsid w:val="0921011D"/>
    <w:rsid w:val="093D738E"/>
    <w:rsid w:val="09564AF2"/>
    <w:rsid w:val="099B2905"/>
    <w:rsid w:val="099D65CC"/>
    <w:rsid w:val="09CD34FF"/>
    <w:rsid w:val="09E059CA"/>
    <w:rsid w:val="09E807AF"/>
    <w:rsid w:val="09FA48DB"/>
    <w:rsid w:val="0A81286C"/>
    <w:rsid w:val="0AE82BFD"/>
    <w:rsid w:val="0B1C0DD9"/>
    <w:rsid w:val="0B1E0A22"/>
    <w:rsid w:val="0B3A019B"/>
    <w:rsid w:val="0B3B4E8B"/>
    <w:rsid w:val="0B4837B0"/>
    <w:rsid w:val="0B8D54A2"/>
    <w:rsid w:val="0BDA5DF3"/>
    <w:rsid w:val="0BF627D0"/>
    <w:rsid w:val="0C19127E"/>
    <w:rsid w:val="0C1B72C1"/>
    <w:rsid w:val="0C340E8D"/>
    <w:rsid w:val="0C355142"/>
    <w:rsid w:val="0C3813A3"/>
    <w:rsid w:val="0C4E1898"/>
    <w:rsid w:val="0C652A4B"/>
    <w:rsid w:val="0C6572E3"/>
    <w:rsid w:val="0C6C1884"/>
    <w:rsid w:val="0C885F3F"/>
    <w:rsid w:val="0CA6282E"/>
    <w:rsid w:val="0CC52C4D"/>
    <w:rsid w:val="0CE11CF4"/>
    <w:rsid w:val="0CF05357"/>
    <w:rsid w:val="0D1120C5"/>
    <w:rsid w:val="0D5D1A07"/>
    <w:rsid w:val="0DA54D18"/>
    <w:rsid w:val="0E4D33D9"/>
    <w:rsid w:val="0E7B6A93"/>
    <w:rsid w:val="0EEA1771"/>
    <w:rsid w:val="0F1C37ED"/>
    <w:rsid w:val="0F3C43D6"/>
    <w:rsid w:val="0F6537A5"/>
    <w:rsid w:val="0F6B30B5"/>
    <w:rsid w:val="0F801ABA"/>
    <w:rsid w:val="0FA80D3B"/>
    <w:rsid w:val="0FE25E69"/>
    <w:rsid w:val="10167418"/>
    <w:rsid w:val="10986361"/>
    <w:rsid w:val="10A63F57"/>
    <w:rsid w:val="10AE7B70"/>
    <w:rsid w:val="10DD53BE"/>
    <w:rsid w:val="11073D2D"/>
    <w:rsid w:val="115C1CE3"/>
    <w:rsid w:val="119161FF"/>
    <w:rsid w:val="11F30E04"/>
    <w:rsid w:val="11F61250"/>
    <w:rsid w:val="11FA538F"/>
    <w:rsid w:val="12155F00"/>
    <w:rsid w:val="121E760A"/>
    <w:rsid w:val="122D42C7"/>
    <w:rsid w:val="127F1ACE"/>
    <w:rsid w:val="12931619"/>
    <w:rsid w:val="12D26381"/>
    <w:rsid w:val="13741917"/>
    <w:rsid w:val="139E6207"/>
    <w:rsid w:val="13BB7A37"/>
    <w:rsid w:val="14021BF2"/>
    <w:rsid w:val="141E2B2F"/>
    <w:rsid w:val="14471FBD"/>
    <w:rsid w:val="14791CB3"/>
    <w:rsid w:val="14AB465A"/>
    <w:rsid w:val="153B5D27"/>
    <w:rsid w:val="153D5D9C"/>
    <w:rsid w:val="1544553D"/>
    <w:rsid w:val="155C57B9"/>
    <w:rsid w:val="15EF38D2"/>
    <w:rsid w:val="164535B7"/>
    <w:rsid w:val="169273D6"/>
    <w:rsid w:val="17100D5E"/>
    <w:rsid w:val="171261D6"/>
    <w:rsid w:val="17162F89"/>
    <w:rsid w:val="176036DA"/>
    <w:rsid w:val="1769219C"/>
    <w:rsid w:val="179506FD"/>
    <w:rsid w:val="17D80398"/>
    <w:rsid w:val="17DF6B75"/>
    <w:rsid w:val="17E8551C"/>
    <w:rsid w:val="18181989"/>
    <w:rsid w:val="1826342C"/>
    <w:rsid w:val="182C02DA"/>
    <w:rsid w:val="182F1AE6"/>
    <w:rsid w:val="18614249"/>
    <w:rsid w:val="187B1B08"/>
    <w:rsid w:val="18A01A05"/>
    <w:rsid w:val="18EF2F2C"/>
    <w:rsid w:val="18FC0597"/>
    <w:rsid w:val="191C564A"/>
    <w:rsid w:val="193A59A9"/>
    <w:rsid w:val="193D6DAF"/>
    <w:rsid w:val="19515AAE"/>
    <w:rsid w:val="19602EDD"/>
    <w:rsid w:val="19C73AC2"/>
    <w:rsid w:val="19DC4C52"/>
    <w:rsid w:val="19F612B6"/>
    <w:rsid w:val="1A397B58"/>
    <w:rsid w:val="1A67020D"/>
    <w:rsid w:val="1A684EF2"/>
    <w:rsid w:val="1A6E1B2D"/>
    <w:rsid w:val="1A7004F9"/>
    <w:rsid w:val="1A8F06AA"/>
    <w:rsid w:val="1B235322"/>
    <w:rsid w:val="1B691BC3"/>
    <w:rsid w:val="1BCF6B1E"/>
    <w:rsid w:val="1BF46726"/>
    <w:rsid w:val="1C260A18"/>
    <w:rsid w:val="1C46782F"/>
    <w:rsid w:val="1CBF6669"/>
    <w:rsid w:val="1CCC5188"/>
    <w:rsid w:val="1CD6197B"/>
    <w:rsid w:val="1D271772"/>
    <w:rsid w:val="1D3C1EB8"/>
    <w:rsid w:val="1D610F08"/>
    <w:rsid w:val="1D620A1E"/>
    <w:rsid w:val="1DE87F39"/>
    <w:rsid w:val="1E3E7174"/>
    <w:rsid w:val="1E64046F"/>
    <w:rsid w:val="1E651703"/>
    <w:rsid w:val="1ECF5263"/>
    <w:rsid w:val="1F1866E9"/>
    <w:rsid w:val="1F1B6F51"/>
    <w:rsid w:val="1F2D1ED4"/>
    <w:rsid w:val="1F622552"/>
    <w:rsid w:val="1F6C00BE"/>
    <w:rsid w:val="1FBB1AEC"/>
    <w:rsid w:val="1FC217D3"/>
    <w:rsid w:val="1FC3063A"/>
    <w:rsid w:val="1FFE4735"/>
    <w:rsid w:val="20127392"/>
    <w:rsid w:val="20535659"/>
    <w:rsid w:val="20765BC6"/>
    <w:rsid w:val="20784DAF"/>
    <w:rsid w:val="2085490B"/>
    <w:rsid w:val="2104251C"/>
    <w:rsid w:val="217F496B"/>
    <w:rsid w:val="21F347E3"/>
    <w:rsid w:val="21FA082E"/>
    <w:rsid w:val="228810B6"/>
    <w:rsid w:val="22C949A4"/>
    <w:rsid w:val="22E9602D"/>
    <w:rsid w:val="232F5D6E"/>
    <w:rsid w:val="23560D41"/>
    <w:rsid w:val="23737795"/>
    <w:rsid w:val="23E34CF2"/>
    <w:rsid w:val="24014313"/>
    <w:rsid w:val="24345824"/>
    <w:rsid w:val="24386358"/>
    <w:rsid w:val="244331F5"/>
    <w:rsid w:val="2473042E"/>
    <w:rsid w:val="2478234D"/>
    <w:rsid w:val="24A33AC8"/>
    <w:rsid w:val="24A9390E"/>
    <w:rsid w:val="24B22D21"/>
    <w:rsid w:val="252B301A"/>
    <w:rsid w:val="258B3B4F"/>
    <w:rsid w:val="258D1287"/>
    <w:rsid w:val="25FC7AE8"/>
    <w:rsid w:val="26027A74"/>
    <w:rsid w:val="261A648F"/>
    <w:rsid w:val="262B21C3"/>
    <w:rsid w:val="265139B7"/>
    <w:rsid w:val="269D27B3"/>
    <w:rsid w:val="26D26D18"/>
    <w:rsid w:val="274B4397"/>
    <w:rsid w:val="27B850EF"/>
    <w:rsid w:val="280070B3"/>
    <w:rsid w:val="281047C4"/>
    <w:rsid w:val="284B12F4"/>
    <w:rsid w:val="28AB28E2"/>
    <w:rsid w:val="295556FE"/>
    <w:rsid w:val="298F2E35"/>
    <w:rsid w:val="29A10E89"/>
    <w:rsid w:val="29C235E3"/>
    <w:rsid w:val="29C8493C"/>
    <w:rsid w:val="29DF69F0"/>
    <w:rsid w:val="29EF776A"/>
    <w:rsid w:val="29F219C3"/>
    <w:rsid w:val="2A010B62"/>
    <w:rsid w:val="2A0733D8"/>
    <w:rsid w:val="2A431424"/>
    <w:rsid w:val="2A4533BE"/>
    <w:rsid w:val="2A4A70D1"/>
    <w:rsid w:val="2A667DF4"/>
    <w:rsid w:val="2ADC11C7"/>
    <w:rsid w:val="2AE5121F"/>
    <w:rsid w:val="2AE51D2D"/>
    <w:rsid w:val="2B124894"/>
    <w:rsid w:val="2B1C7444"/>
    <w:rsid w:val="2B2B67BC"/>
    <w:rsid w:val="2BD62C37"/>
    <w:rsid w:val="2C7C73A7"/>
    <w:rsid w:val="2CA16562"/>
    <w:rsid w:val="2CAB38F3"/>
    <w:rsid w:val="2CB14474"/>
    <w:rsid w:val="2CC20F92"/>
    <w:rsid w:val="2CE41489"/>
    <w:rsid w:val="2CEC3293"/>
    <w:rsid w:val="2D096D62"/>
    <w:rsid w:val="2D380634"/>
    <w:rsid w:val="2D50495E"/>
    <w:rsid w:val="2D97271A"/>
    <w:rsid w:val="2DC36077"/>
    <w:rsid w:val="2DE45DE7"/>
    <w:rsid w:val="2DE752B7"/>
    <w:rsid w:val="2DFE43EA"/>
    <w:rsid w:val="2E9F4CF1"/>
    <w:rsid w:val="2EB20A8F"/>
    <w:rsid w:val="2EF22299"/>
    <w:rsid w:val="2F274DA7"/>
    <w:rsid w:val="2F3A592B"/>
    <w:rsid w:val="2F4774CB"/>
    <w:rsid w:val="2F77400A"/>
    <w:rsid w:val="2FBB6EA8"/>
    <w:rsid w:val="2FF42B18"/>
    <w:rsid w:val="30101710"/>
    <w:rsid w:val="301D4FBB"/>
    <w:rsid w:val="3020216A"/>
    <w:rsid w:val="302167DA"/>
    <w:rsid w:val="3043158B"/>
    <w:rsid w:val="304357AE"/>
    <w:rsid w:val="30566D21"/>
    <w:rsid w:val="3057276A"/>
    <w:rsid w:val="311C3395"/>
    <w:rsid w:val="31326F54"/>
    <w:rsid w:val="316138A5"/>
    <w:rsid w:val="3197653A"/>
    <w:rsid w:val="31B23FF2"/>
    <w:rsid w:val="31DB2B80"/>
    <w:rsid w:val="31E4323E"/>
    <w:rsid w:val="326D6572"/>
    <w:rsid w:val="32717D89"/>
    <w:rsid w:val="32750DE9"/>
    <w:rsid w:val="32E16D68"/>
    <w:rsid w:val="333F56BE"/>
    <w:rsid w:val="335B7448"/>
    <w:rsid w:val="33922657"/>
    <w:rsid w:val="33981D96"/>
    <w:rsid w:val="33B968EE"/>
    <w:rsid w:val="340B42FE"/>
    <w:rsid w:val="34250D2A"/>
    <w:rsid w:val="343B6DE6"/>
    <w:rsid w:val="34933E7C"/>
    <w:rsid w:val="34B64CA9"/>
    <w:rsid w:val="34DE6C39"/>
    <w:rsid w:val="34EE7BDF"/>
    <w:rsid w:val="356F5468"/>
    <w:rsid w:val="357337B2"/>
    <w:rsid w:val="358F7373"/>
    <w:rsid w:val="35F7424D"/>
    <w:rsid w:val="36022157"/>
    <w:rsid w:val="36077B19"/>
    <w:rsid w:val="364E1E96"/>
    <w:rsid w:val="36560A75"/>
    <w:rsid w:val="366E427F"/>
    <w:rsid w:val="36920484"/>
    <w:rsid w:val="369B7698"/>
    <w:rsid w:val="36AE3F56"/>
    <w:rsid w:val="36E90059"/>
    <w:rsid w:val="3720334E"/>
    <w:rsid w:val="375A1220"/>
    <w:rsid w:val="37747305"/>
    <w:rsid w:val="378861FC"/>
    <w:rsid w:val="37EB0925"/>
    <w:rsid w:val="380134A4"/>
    <w:rsid w:val="381918FA"/>
    <w:rsid w:val="38320F5A"/>
    <w:rsid w:val="38605C26"/>
    <w:rsid w:val="388C0956"/>
    <w:rsid w:val="38AA004A"/>
    <w:rsid w:val="3907269F"/>
    <w:rsid w:val="39165263"/>
    <w:rsid w:val="39A44D73"/>
    <w:rsid w:val="39F5425C"/>
    <w:rsid w:val="3A201B7E"/>
    <w:rsid w:val="3A7663A5"/>
    <w:rsid w:val="3A7A6ABA"/>
    <w:rsid w:val="3A8246DD"/>
    <w:rsid w:val="3AA5105D"/>
    <w:rsid w:val="3AC25DAD"/>
    <w:rsid w:val="3AC94066"/>
    <w:rsid w:val="3AF1005F"/>
    <w:rsid w:val="3AF11AB4"/>
    <w:rsid w:val="3AF1490E"/>
    <w:rsid w:val="3B134F70"/>
    <w:rsid w:val="3B2E1EE0"/>
    <w:rsid w:val="3B660990"/>
    <w:rsid w:val="3B820171"/>
    <w:rsid w:val="3B9507D3"/>
    <w:rsid w:val="3B982EEB"/>
    <w:rsid w:val="3BBA391E"/>
    <w:rsid w:val="3C3A1547"/>
    <w:rsid w:val="3C7C3D86"/>
    <w:rsid w:val="3C865AC9"/>
    <w:rsid w:val="3CD57913"/>
    <w:rsid w:val="3CDD5E1C"/>
    <w:rsid w:val="3D331F3E"/>
    <w:rsid w:val="3D5077F2"/>
    <w:rsid w:val="3D5824D8"/>
    <w:rsid w:val="3D733738"/>
    <w:rsid w:val="3D890090"/>
    <w:rsid w:val="3EA553FA"/>
    <w:rsid w:val="3EB13165"/>
    <w:rsid w:val="3F513156"/>
    <w:rsid w:val="3FDF7E6A"/>
    <w:rsid w:val="4028648A"/>
    <w:rsid w:val="403F25A0"/>
    <w:rsid w:val="40531AA0"/>
    <w:rsid w:val="40953270"/>
    <w:rsid w:val="40AE2A15"/>
    <w:rsid w:val="41277225"/>
    <w:rsid w:val="417D176B"/>
    <w:rsid w:val="418F257F"/>
    <w:rsid w:val="41C9549B"/>
    <w:rsid w:val="41F4691E"/>
    <w:rsid w:val="42101127"/>
    <w:rsid w:val="4211788C"/>
    <w:rsid w:val="42250D7F"/>
    <w:rsid w:val="4250700B"/>
    <w:rsid w:val="42B25BFB"/>
    <w:rsid w:val="42D03DA6"/>
    <w:rsid w:val="42E323FA"/>
    <w:rsid w:val="43032134"/>
    <w:rsid w:val="435C43B6"/>
    <w:rsid w:val="43776579"/>
    <w:rsid w:val="438F780B"/>
    <w:rsid w:val="43BA0685"/>
    <w:rsid w:val="43EE05B1"/>
    <w:rsid w:val="44160087"/>
    <w:rsid w:val="44B5563D"/>
    <w:rsid w:val="44E11735"/>
    <w:rsid w:val="44F71638"/>
    <w:rsid w:val="451D2184"/>
    <w:rsid w:val="451F7543"/>
    <w:rsid w:val="45571EDE"/>
    <w:rsid w:val="459B13B9"/>
    <w:rsid w:val="459F307C"/>
    <w:rsid w:val="45A776F1"/>
    <w:rsid w:val="45C275CB"/>
    <w:rsid w:val="45DE7C00"/>
    <w:rsid w:val="45E330B6"/>
    <w:rsid w:val="45F018E9"/>
    <w:rsid w:val="46154D39"/>
    <w:rsid w:val="46305EA4"/>
    <w:rsid w:val="467E48BD"/>
    <w:rsid w:val="47154599"/>
    <w:rsid w:val="472B0AD7"/>
    <w:rsid w:val="473D71ED"/>
    <w:rsid w:val="47691DAF"/>
    <w:rsid w:val="47DC7324"/>
    <w:rsid w:val="481852C6"/>
    <w:rsid w:val="48260A2E"/>
    <w:rsid w:val="488D2389"/>
    <w:rsid w:val="48912C82"/>
    <w:rsid w:val="48EF7461"/>
    <w:rsid w:val="48F90BB5"/>
    <w:rsid w:val="4920556B"/>
    <w:rsid w:val="499E6C7D"/>
    <w:rsid w:val="49A808A7"/>
    <w:rsid w:val="49CF0F99"/>
    <w:rsid w:val="49F5194D"/>
    <w:rsid w:val="4A0D3F36"/>
    <w:rsid w:val="4A150A13"/>
    <w:rsid w:val="4A242291"/>
    <w:rsid w:val="4A52116B"/>
    <w:rsid w:val="4A8D53B1"/>
    <w:rsid w:val="4A9E4E2E"/>
    <w:rsid w:val="4AB17369"/>
    <w:rsid w:val="4AB32510"/>
    <w:rsid w:val="4B360B0A"/>
    <w:rsid w:val="4B64789A"/>
    <w:rsid w:val="4B7A01A8"/>
    <w:rsid w:val="4BB51CA8"/>
    <w:rsid w:val="4C59216B"/>
    <w:rsid w:val="4CA76695"/>
    <w:rsid w:val="4CB0398B"/>
    <w:rsid w:val="4CE26DE1"/>
    <w:rsid w:val="4CFE489A"/>
    <w:rsid w:val="4D031E7E"/>
    <w:rsid w:val="4D045E5E"/>
    <w:rsid w:val="4D237B8A"/>
    <w:rsid w:val="4D300613"/>
    <w:rsid w:val="4D9F14AF"/>
    <w:rsid w:val="4DB85FD0"/>
    <w:rsid w:val="4DBE73E6"/>
    <w:rsid w:val="4DD32030"/>
    <w:rsid w:val="4E0B1702"/>
    <w:rsid w:val="4E100706"/>
    <w:rsid w:val="4E3D314C"/>
    <w:rsid w:val="4E4318DE"/>
    <w:rsid w:val="4E74605D"/>
    <w:rsid w:val="4EDD045E"/>
    <w:rsid w:val="4EE97E19"/>
    <w:rsid w:val="4F376742"/>
    <w:rsid w:val="4F8B4100"/>
    <w:rsid w:val="4FDB05D7"/>
    <w:rsid w:val="501E33DB"/>
    <w:rsid w:val="50241B2D"/>
    <w:rsid w:val="503870C3"/>
    <w:rsid w:val="507E4629"/>
    <w:rsid w:val="50926036"/>
    <w:rsid w:val="50AF531F"/>
    <w:rsid w:val="511447BD"/>
    <w:rsid w:val="514C3B3D"/>
    <w:rsid w:val="516F09DF"/>
    <w:rsid w:val="51DD3991"/>
    <w:rsid w:val="520E2073"/>
    <w:rsid w:val="52571890"/>
    <w:rsid w:val="526C5210"/>
    <w:rsid w:val="527C611F"/>
    <w:rsid w:val="5298618D"/>
    <w:rsid w:val="52DB5C5F"/>
    <w:rsid w:val="52F4037F"/>
    <w:rsid w:val="53087D8A"/>
    <w:rsid w:val="53794583"/>
    <w:rsid w:val="53BA3095"/>
    <w:rsid w:val="5426336E"/>
    <w:rsid w:val="5452443D"/>
    <w:rsid w:val="54F033C3"/>
    <w:rsid w:val="55F74D63"/>
    <w:rsid w:val="56057FBD"/>
    <w:rsid w:val="560B58F7"/>
    <w:rsid w:val="56184F49"/>
    <w:rsid w:val="567D5645"/>
    <w:rsid w:val="569305C2"/>
    <w:rsid w:val="56C93246"/>
    <w:rsid w:val="570E7E8C"/>
    <w:rsid w:val="57140A18"/>
    <w:rsid w:val="574C2814"/>
    <w:rsid w:val="575D19A6"/>
    <w:rsid w:val="57F05C63"/>
    <w:rsid w:val="58181E9E"/>
    <w:rsid w:val="58441729"/>
    <w:rsid w:val="585D10AE"/>
    <w:rsid w:val="5868393C"/>
    <w:rsid w:val="587E4B4A"/>
    <w:rsid w:val="589561B4"/>
    <w:rsid w:val="58A34599"/>
    <w:rsid w:val="58F4481C"/>
    <w:rsid w:val="59012772"/>
    <w:rsid w:val="592C71C1"/>
    <w:rsid w:val="597B18FA"/>
    <w:rsid w:val="599072E6"/>
    <w:rsid w:val="59B44362"/>
    <w:rsid w:val="59DC6293"/>
    <w:rsid w:val="5A2B7892"/>
    <w:rsid w:val="5A2E78EF"/>
    <w:rsid w:val="5A4128CF"/>
    <w:rsid w:val="5AE74CF3"/>
    <w:rsid w:val="5B085EF5"/>
    <w:rsid w:val="5B474C62"/>
    <w:rsid w:val="5B593896"/>
    <w:rsid w:val="5B9148DD"/>
    <w:rsid w:val="5B945339"/>
    <w:rsid w:val="5C290EED"/>
    <w:rsid w:val="5C6549E5"/>
    <w:rsid w:val="5C6F32A8"/>
    <w:rsid w:val="5C884294"/>
    <w:rsid w:val="5D406BFC"/>
    <w:rsid w:val="5D677399"/>
    <w:rsid w:val="5D6A020A"/>
    <w:rsid w:val="5D757859"/>
    <w:rsid w:val="5D9C39BB"/>
    <w:rsid w:val="5DAF5640"/>
    <w:rsid w:val="5DEF7EC8"/>
    <w:rsid w:val="5DF9165C"/>
    <w:rsid w:val="5E0D7B75"/>
    <w:rsid w:val="5E135C83"/>
    <w:rsid w:val="5E837639"/>
    <w:rsid w:val="5EAD7384"/>
    <w:rsid w:val="5F4D0331"/>
    <w:rsid w:val="5F7C652B"/>
    <w:rsid w:val="5FDF7042"/>
    <w:rsid w:val="603F13F8"/>
    <w:rsid w:val="605250C7"/>
    <w:rsid w:val="606275DC"/>
    <w:rsid w:val="608D647B"/>
    <w:rsid w:val="60A60307"/>
    <w:rsid w:val="61290CE8"/>
    <w:rsid w:val="616D12B2"/>
    <w:rsid w:val="61712135"/>
    <w:rsid w:val="617E1423"/>
    <w:rsid w:val="61D01E30"/>
    <w:rsid w:val="61F76940"/>
    <w:rsid w:val="61F96ABB"/>
    <w:rsid w:val="62782E6C"/>
    <w:rsid w:val="62817A1D"/>
    <w:rsid w:val="62862B8F"/>
    <w:rsid w:val="62874A2B"/>
    <w:rsid w:val="62F23C77"/>
    <w:rsid w:val="63071DAE"/>
    <w:rsid w:val="636C04EB"/>
    <w:rsid w:val="638C664B"/>
    <w:rsid w:val="63DB0AFD"/>
    <w:rsid w:val="63DD14FF"/>
    <w:rsid w:val="63EE698F"/>
    <w:rsid w:val="64170720"/>
    <w:rsid w:val="64345A14"/>
    <w:rsid w:val="645B4D9B"/>
    <w:rsid w:val="649447BF"/>
    <w:rsid w:val="64BD4214"/>
    <w:rsid w:val="650C12E3"/>
    <w:rsid w:val="65121512"/>
    <w:rsid w:val="651A1CE4"/>
    <w:rsid w:val="65725764"/>
    <w:rsid w:val="65981262"/>
    <w:rsid w:val="65B10D34"/>
    <w:rsid w:val="65D84F1D"/>
    <w:rsid w:val="65E5414B"/>
    <w:rsid w:val="661C76CF"/>
    <w:rsid w:val="663D2435"/>
    <w:rsid w:val="665C33AE"/>
    <w:rsid w:val="66770E42"/>
    <w:rsid w:val="66AB3171"/>
    <w:rsid w:val="67065416"/>
    <w:rsid w:val="670E6B1D"/>
    <w:rsid w:val="675A2CDE"/>
    <w:rsid w:val="67A039A0"/>
    <w:rsid w:val="67BA1AC8"/>
    <w:rsid w:val="67C44D0B"/>
    <w:rsid w:val="67D14B90"/>
    <w:rsid w:val="67DC7E84"/>
    <w:rsid w:val="67F4535D"/>
    <w:rsid w:val="680B30B8"/>
    <w:rsid w:val="684E2A55"/>
    <w:rsid w:val="687633D4"/>
    <w:rsid w:val="687C4759"/>
    <w:rsid w:val="68886866"/>
    <w:rsid w:val="68A702DA"/>
    <w:rsid w:val="68AB058C"/>
    <w:rsid w:val="68B50AB1"/>
    <w:rsid w:val="68D12E51"/>
    <w:rsid w:val="68F34587"/>
    <w:rsid w:val="68FA0D43"/>
    <w:rsid w:val="69232A6D"/>
    <w:rsid w:val="69C711CD"/>
    <w:rsid w:val="69CA728E"/>
    <w:rsid w:val="69DD0F9A"/>
    <w:rsid w:val="6A7004ED"/>
    <w:rsid w:val="6AE82931"/>
    <w:rsid w:val="6B032BE1"/>
    <w:rsid w:val="6B996CBA"/>
    <w:rsid w:val="6BB72709"/>
    <w:rsid w:val="6BD6385E"/>
    <w:rsid w:val="6BE4638B"/>
    <w:rsid w:val="6C231425"/>
    <w:rsid w:val="6CA8629A"/>
    <w:rsid w:val="6CE21652"/>
    <w:rsid w:val="6CE55C9E"/>
    <w:rsid w:val="6D0074AD"/>
    <w:rsid w:val="6D4F3C9D"/>
    <w:rsid w:val="6D862E56"/>
    <w:rsid w:val="6DF47F7B"/>
    <w:rsid w:val="6E021EFD"/>
    <w:rsid w:val="6E0E0034"/>
    <w:rsid w:val="6E1E6AA1"/>
    <w:rsid w:val="6E290CF1"/>
    <w:rsid w:val="6E361C9F"/>
    <w:rsid w:val="6E407D34"/>
    <w:rsid w:val="6E726926"/>
    <w:rsid w:val="6ED37AD8"/>
    <w:rsid w:val="6F322A2B"/>
    <w:rsid w:val="6F331EC8"/>
    <w:rsid w:val="6FC1387C"/>
    <w:rsid w:val="6FC414FB"/>
    <w:rsid w:val="6FC8243A"/>
    <w:rsid w:val="6FD61A09"/>
    <w:rsid w:val="7009233E"/>
    <w:rsid w:val="703F4EC3"/>
    <w:rsid w:val="70946C50"/>
    <w:rsid w:val="70A952EA"/>
    <w:rsid w:val="70AA3FC8"/>
    <w:rsid w:val="70AD4386"/>
    <w:rsid w:val="70AE01B9"/>
    <w:rsid w:val="70D11D2C"/>
    <w:rsid w:val="70F02159"/>
    <w:rsid w:val="70F05A1D"/>
    <w:rsid w:val="71604972"/>
    <w:rsid w:val="718E0632"/>
    <w:rsid w:val="71BF7DC5"/>
    <w:rsid w:val="71EE5656"/>
    <w:rsid w:val="71EF35CD"/>
    <w:rsid w:val="720E412D"/>
    <w:rsid w:val="72594312"/>
    <w:rsid w:val="72EE18E1"/>
    <w:rsid w:val="7334421F"/>
    <w:rsid w:val="735B419C"/>
    <w:rsid w:val="738E7D63"/>
    <w:rsid w:val="73D24338"/>
    <w:rsid w:val="743C616E"/>
    <w:rsid w:val="74521016"/>
    <w:rsid w:val="74A73189"/>
    <w:rsid w:val="75025566"/>
    <w:rsid w:val="752C4B66"/>
    <w:rsid w:val="75C52A6B"/>
    <w:rsid w:val="760825D9"/>
    <w:rsid w:val="76184691"/>
    <w:rsid w:val="762257BC"/>
    <w:rsid w:val="763C2FE7"/>
    <w:rsid w:val="76550918"/>
    <w:rsid w:val="765D5D16"/>
    <w:rsid w:val="76623BB1"/>
    <w:rsid w:val="76AE5CC5"/>
    <w:rsid w:val="76B500B9"/>
    <w:rsid w:val="76B5361E"/>
    <w:rsid w:val="76D80207"/>
    <w:rsid w:val="76E07187"/>
    <w:rsid w:val="77A76D8A"/>
    <w:rsid w:val="77C55D0C"/>
    <w:rsid w:val="77D77DA6"/>
    <w:rsid w:val="77E81D8B"/>
    <w:rsid w:val="77F1543A"/>
    <w:rsid w:val="78297368"/>
    <w:rsid w:val="78394D05"/>
    <w:rsid w:val="783D5F86"/>
    <w:rsid w:val="78460EB2"/>
    <w:rsid w:val="78610C54"/>
    <w:rsid w:val="786651CE"/>
    <w:rsid w:val="787152B2"/>
    <w:rsid w:val="78787E1D"/>
    <w:rsid w:val="787D6AC4"/>
    <w:rsid w:val="78CF5471"/>
    <w:rsid w:val="78FC264C"/>
    <w:rsid w:val="7915031C"/>
    <w:rsid w:val="791E0BED"/>
    <w:rsid w:val="793E63A2"/>
    <w:rsid w:val="796420E7"/>
    <w:rsid w:val="79875F4F"/>
    <w:rsid w:val="799D4028"/>
    <w:rsid w:val="79BB275F"/>
    <w:rsid w:val="7A0D7E58"/>
    <w:rsid w:val="7A3E391D"/>
    <w:rsid w:val="7A77383F"/>
    <w:rsid w:val="7A834140"/>
    <w:rsid w:val="7A9B2FF8"/>
    <w:rsid w:val="7AC95A71"/>
    <w:rsid w:val="7AD83EB5"/>
    <w:rsid w:val="7AE84F70"/>
    <w:rsid w:val="7B17248C"/>
    <w:rsid w:val="7B314E25"/>
    <w:rsid w:val="7B786114"/>
    <w:rsid w:val="7B901F86"/>
    <w:rsid w:val="7BA012AF"/>
    <w:rsid w:val="7BAB7046"/>
    <w:rsid w:val="7BC311A9"/>
    <w:rsid w:val="7C263BC9"/>
    <w:rsid w:val="7C266DE6"/>
    <w:rsid w:val="7C382706"/>
    <w:rsid w:val="7C4D7119"/>
    <w:rsid w:val="7C6C6B57"/>
    <w:rsid w:val="7C98622E"/>
    <w:rsid w:val="7C9D2880"/>
    <w:rsid w:val="7CBA66C1"/>
    <w:rsid w:val="7CC009CC"/>
    <w:rsid w:val="7CD02817"/>
    <w:rsid w:val="7CF44FC2"/>
    <w:rsid w:val="7CF85D47"/>
    <w:rsid w:val="7D3710FF"/>
    <w:rsid w:val="7D49047B"/>
    <w:rsid w:val="7D707388"/>
    <w:rsid w:val="7DA14F4C"/>
    <w:rsid w:val="7DDD72F9"/>
    <w:rsid w:val="7E0C2036"/>
    <w:rsid w:val="7E5854FD"/>
    <w:rsid w:val="7E6410E6"/>
    <w:rsid w:val="7E6B0569"/>
    <w:rsid w:val="7E861852"/>
    <w:rsid w:val="7EA67CA1"/>
    <w:rsid w:val="7EA95003"/>
    <w:rsid w:val="7EB70E4C"/>
    <w:rsid w:val="7EBC39CB"/>
    <w:rsid w:val="7EC96A06"/>
    <w:rsid w:val="7EC96C3B"/>
    <w:rsid w:val="7EDF59E3"/>
    <w:rsid w:val="7F0F1C05"/>
    <w:rsid w:val="7F771F36"/>
    <w:rsid w:val="7F9737A6"/>
    <w:rsid w:val="7FBC5309"/>
    <w:rsid w:val="7FFD68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nhideWhenUsed="0" w:uiPriority="0" w:semiHidden="0"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nhideWhenUsed="0" w:uiPriority="0" w:semiHidden="0" w:name="Body Text First Indent"/>
    <w:lsdException w:uiPriority="99" w:name="Body Text First Indent 2"/>
    <w:lsdException w:qFormat="1" w:unhideWhenUsed="0" w:uiPriority="0"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keepLines/>
      <w:outlineLvl w:val="0"/>
    </w:pPr>
    <w:rPr>
      <w:b/>
      <w:bCs/>
      <w:kern w:val="44"/>
      <w:sz w:val="32"/>
      <w:szCs w:val="44"/>
    </w:rPr>
  </w:style>
  <w:style w:type="paragraph" w:styleId="4">
    <w:name w:val="heading 2"/>
    <w:basedOn w:val="1"/>
    <w:next w:val="1"/>
    <w:unhideWhenUsed/>
    <w:qFormat/>
    <w:uiPriority w:val="0"/>
    <w:pPr>
      <w:keepNext/>
      <w:keepLines/>
      <w:outlineLvl w:val="1"/>
    </w:pPr>
    <w:rPr>
      <w:rFonts w:asciiTheme="majorHAnsi" w:hAnsiTheme="majorHAnsi" w:eastAsiaTheme="majorEastAsia" w:cstheme="majorBidi"/>
      <w:b/>
      <w:bCs/>
      <w:sz w:val="30"/>
      <w:szCs w:val="32"/>
    </w:rPr>
  </w:style>
  <w:style w:type="paragraph" w:styleId="5">
    <w:name w:val="heading 3"/>
    <w:basedOn w:val="1"/>
    <w:next w:val="1"/>
    <w:qFormat/>
    <w:uiPriority w:val="0"/>
    <w:pPr>
      <w:keepNext/>
      <w:keepLines/>
      <w:numPr>
        <w:ilvl w:val="2"/>
        <w:numId w:val="1"/>
      </w:numPr>
      <w:spacing w:before="156" w:beforeLines="50"/>
      <w:ind w:left="0" w:firstLine="480"/>
      <w:outlineLvl w:val="2"/>
    </w:pPr>
    <w:rPr>
      <w:rFonts w:eastAsia="仿宋_GB2312"/>
      <w:bCs/>
      <w:sz w:val="24"/>
      <w:szCs w:val="32"/>
    </w:rPr>
  </w:style>
  <w:style w:type="paragraph" w:styleId="6">
    <w:name w:val="heading 4"/>
    <w:basedOn w:val="1"/>
    <w:next w:val="1"/>
    <w:qFormat/>
    <w:uiPriority w:val="0"/>
    <w:pPr>
      <w:keepNext/>
      <w:keepLines/>
      <w:spacing w:before="280" w:after="290" w:line="376" w:lineRule="auto"/>
      <w:outlineLvl w:val="3"/>
    </w:pPr>
    <w:rPr>
      <w:rFonts w:ascii="Arial" w:hAnsi="Arial" w:eastAsia="宋体" w:cs="Times New Roman"/>
      <w:bCs/>
      <w:sz w:val="24"/>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w:basedOn w:val="1"/>
    <w:link w:val="48"/>
    <w:qFormat/>
    <w:uiPriority w:val="99"/>
    <w:pPr>
      <w:spacing w:after="120"/>
    </w:pPr>
  </w:style>
  <w:style w:type="paragraph" w:styleId="7">
    <w:name w:val="Note Heading"/>
    <w:basedOn w:val="1"/>
    <w:next w:val="1"/>
    <w:qFormat/>
    <w:uiPriority w:val="0"/>
    <w:pPr>
      <w:jc w:val="center"/>
    </w:pPr>
  </w:style>
  <w:style w:type="paragraph" w:styleId="8">
    <w:name w:val="Normal Indent"/>
    <w:basedOn w:val="1"/>
    <w:semiHidden/>
    <w:unhideWhenUsed/>
    <w:qFormat/>
    <w:uiPriority w:val="99"/>
    <w:pPr>
      <w:ind w:firstLine="420" w:firstLineChars="200"/>
    </w:pPr>
  </w:style>
  <w:style w:type="paragraph" w:styleId="9">
    <w:name w:val="caption"/>
    <w:basedOn w:val="1"/>
    <w:next w:val="1"/>
    <w:qFormat/>
    <w:uiPriority w:val="0"/>
    <w:rPr>
      <w:rFonts w:ascii="Arial" w:hAnsi="Arial" w:eastAsia="黑体"/>
      <w:sz w:val="20"/>
      <w:szCs w:val="20"/>
    </w:rPr>
  </w:style>
  <w:style w:type="paragraph" w:styleId="10">
    <w:name w:val="Document Map"/>
    <w:basedOn w:val="1"/>
    <w:link w:val="47"/>
    <w:semiHidden/>
    <w:unhideWhenUsed/>
    <w:qFormat/>
    <w:uiPriority w:val="99"/>
    <w:rPr>
      <w:rFonts w:ascii="宋体" w:eastAsia="宋体"/>
      <w:sz w:val="18"/>
      <w:szCs w:val="18"/>
    </w:rPr>
  </w:style>
  <w:style w:type="paragraph" w:styleId="11">
    <w:name w:val="annotation text"/>
    <w:basedOn w:val="1"/>
    <w:unhideWhenUsed/>
    <w:qFormat/>
    <w:uiPriority w:val="0"/>
    <w:pPr>
      <w:jc w:val="left"/>
    </w:pPr>
  </w:style>
  <w:style w:type="paragraph" w:styleId="12">
    <w:name w:val="Body Text Indent"/>
    <w:basedOn w:val="1"/>
    <w:qFormat/>
    <w:uiPriority w:val="0"/>
    <w:pPr>
      <w:spacing w:after="120"/>
      <w:ind w:left="420" w:leftChars="200"/>
    </w:pPr>
  </w:style>
  <w:style w:type="paragraph" w:styleId="13">
    <w:name w:val="Plain Text"/>
    <w:basedOn w:val="1"/>
    <w:qFormat/>
    <w:uiPriority w:val="0"/>
    <w:rPr>
      <w:rFonts w:ascii="宋体" w:hAnsi="Courier New" w:cs="Century"/>
      <w:szCs w:val="21"/>
    </w:rPr>
  </w:style>
  <w:style w:type="paragraph" w:styleId="14">
    <w:name w:val="Date"/>
    <w:basedOn w:val="1"/>
    <w:next w:val="1"/>
    <w:link w:val="28"/>
    <w:semiHidden/>
    <w:unhideWhenUsed/>
    <w:qFormat/>
    <w:uiPriority w:val="99"/>
    <w:pPr>
      <w:ind w:left="100" w:leftChars="2500"/>
    </w:pPr>
  </w:style>
  <w:style w:type="paragraph" w:styleId="15">
    <w:name w:val="Balloon Text"/>
    <w:basedOn w:val="1"/>
    <w:link w:val="51"/>
    <w:semiHidden/>
    <w:unhideWhenUsed/>
    <w:qFormat/>
    <w:uiPriority w:val="99"/>
    <w:rPr>
      <w:sz w:val="18"/>
      <w:szCs w:val="18"/>
    </w:rPr>
  </w:style>
  <w:style w:type="paragraph" w:styleId="16">
    <w:name w:val="footer"/>
    <w:basedOn w:val="1"/>
    <w:link w:val="38"/>
    <w:unhideWhenUsed/>
    <w:qFormat/>
    <w:uiPriority w:val="99"/>
    <w:pPr>
      <w:tabs>
        <w:tab w:val="center" w:pos="4153"/>
        <w:tab w:val="right" w:pos="8306"/>
      </w:tabs>
      <w:snapToGrid w:val="0"/>
      <w:jc w:val="left"/>
    </w:pPr>
    <w:rPr>
      <w:sz w:val="18"/>
      <w:szCs w:val="18"/>
    </w:rPr>
  </w:style>
  <w:style w:type="paragraph" w:styleId="17">
    <w:name w:val="header"/>
    <w:basedOn w:val="1"/>
    <w:link w:val="37"/>
    <w:unhideWhenUsed/>
    <w:qFormat/>
    <w:uiPriority w:val="99"/>
    <w:pPr>
      <w:pBdr>
        <w:bottom w:val="single" w:color="auto" w:sz="6" w:space="1"/>
      </w:pBdr>
      <w:tabs>
        <w:tab w:val="center" w:pos="4153"/>
        <w:tab w:val="right" w:pos="8306"/>
      </w:tabs>
      <w:snapToGrid w:val="0"/>
      <w:jc w:val="center"/>
    </w:pPr>
    <w:rPr>
      <w:sz w:val="18"/>
      <w:szCs w:val="18"/>
    </w:rPr>
  </w:style>
  <w:style w:type="paragraph" w:styleId="18">
    <w:name w:val="index 7"/>
    <w:basedOn w:val="1"/>
    <w:next w:val="1"/>
    <w:qFormat/>
    <w:uiPriority w:val="0"/>
    <w:pPr>
      <w:ind w:left="1200" w:leftChars="1200"/>
    </w:pPr>
    <w:rPr>
      <w:sz w:val="24"/>
      <w:szCs w:val="20"/>
    </w:rPr>
  </w:style>
  <w:style w:type="paragraph" w:styleId="19">
    <w:name w:val="Normal (Web)"/>
    <w:basedOn w:val="1"/>
    <w:qFormat/>
    <w:uiPriority w:val="0"/>
    <w:pPr>
      <w:widowControl/>
      <w:spacing w:before="100" w:beforeAutospacing="1" w:after="100" w:afterAutospacing="1"/>
      <w:jc w:val="left"/>
    </w:pPr>
    <w:rPr>
      <w:rFonts w:ascii="宋体" w:hAnsi="宋体"/>
      <w:kern w:val="0"/>
      <w:sz w:val="24"/>
    </w:rPr>
  </w:style>
  <w:style w:type="paragraph" w:styleId="20">
    <w:name w:val="Body Text First Indent"/>
    <w:basedOn w:val="2"/>
    <w:qFormat/>
    <w:uiPriority w:val="0"/>
    <w:pPr>
      <w:ind w:firstLine="420" w:firstLineChars="100"/>
    </w:pPr>
  </w:style>
  <w:style w:type="table" w:styleId="22">
    <w:name w:val="Table Grid"/>
    <w:basedOn w:val="2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24">
    <w:name w:val="Strong"/>
    <w:basedOn w:val="23"/>
    <w:qFormat/>
    <w:uiPriority w:val="22"/>
    <w:rPr>
      <w:b/>
    </w:rPr>
  </w:style>
  <w:style w:type="character" w:styleId="25">
    <w:name w:val="Hyperlink"/>
    <w:basedOn w:val="23"/>
    <w:semiHidden/>
    <w:unhideWhenUsed/>
    <w:qFormat/>
    <w:uiPriority w:val="99"/>
    <w:rPr>
      <w:color w:val="0000FF"/>
      <w:u w:val="single"/>
    </w:rPr>
  </w:style>
  <w:style w:type="character" w:styleId="26">
    <w:name w:val="annotation reference"/>
    <w:basedOn w:val="23"/>
    <w:unhideWhenUsed/>
    <w:qFormat/>
    <w:uiPriority w:val="0"/>
    <w:rPr>
      <w:sz w:val="21"/>
      <w:szCs w:val="21"/>
    </w:rPr>
  </w:style>
  <w:style w:type="paragraph" w:customStyle="1" w:styleId="27">
    <w:name w:val="222222222"/>
    <w:basedOn w:val="14"/>
    <w:qFormat/>
    <w:uiPriority w:val="0"/>
    <w:pPr>
      <w:spacing w:beforeLines="50" w:afterLines="50" w:line="520" w:lineRule="exact"/>
      <w:ind w:left="0" w:leftChars="0"/>
      <w:outlineLvl w:val="1"/>
    </w:pPr>
    <w:rPr>
      <w:rFonts w:ascii="黑体" w:hAnsi="Times New Roman" w:eastAsia="黑体" w:cs="Times New Roman"/>
      <w:b/>
      <w:bCs/>
      <w:sz w:val="28"/>
      <w:szCs w:val="28"/>
    </w:rPr>
  </w:style>
  <w:style w:type="character" w:customStyle="1" w:styleId="28">
    <w:name w:val="日期 Char"/>
    <w:basedOn w:val="23"/>
    <w:link w:val="14"/>
    <w:semiHidden/>
    <w:qFormat/>
    <w:uiPriority w:val="99"/>
  </w:style>
  <w:style w:type="paragraph" w:customStyle="1" w:styleId="29">
    <w:name w:val="表内序号"/>
    <w:basedOn w:val="1"/>
    <w:qFormat/>
    <w:uiPriority w:val="0"/>
    <w:pPr>
      <w:widowControl/>
      <w:numPr>
        <w:ilvl w:val="0"/>
        <w:numId w:val="2"/>
      </w:numPr>
      <w:adjustRightInd w:val="0"/>
      <w:snapToGrid w:val="0"/>
      <w:spacing w:line="480" w:lineRule="exact"/>
    </w:pPr>
    <w:rPr>
      <w:rFonts w:ascii="Times New Roman" w:hAnsi="Times New Roman" w:eastAsia="宋体" w:cs="Times New Roman"/>
      <w:kern w:val="0"/>
      <w:sz w:val="18"/>
      <w:szCs w:val="20"/>
    </w:rPr>
  </w:style>
  <w:style w:type="paragraph" w:customStyle="1" w:styleId="30">
    <w:name w:val="样式 标题5 + 段前: 0.5 行 段后: 0.5 行"/>
    <w:basedOn w:val="1"/>
    <w:qFormat/>
    <w:uiPriority w:val="0"/>
    <w:pPr>
      <w:numPr>
        <w:ilvl w:val="4"/>
        <w:numId w:val="2"/>
      </w:numPr>
      <w:autoSpaceDE w:val="0"/>
      <w:autoSpaceDN w:val="0"/>
      <w:adjustRightInd w:val="0"/>
      <w:snapToGrid w:val="0"/>
      <w:spacing w:line="360" w:lineRule="auto"/>
      <w:ind w:firstLine="567"/>
      <w:jc w:val="left"/>
      <w:textAlignment w:val="bottom"/>
      <w:outlineLvl w:val="4"/>
    </w:pPr>
    <w:rPr>
      <w:rFonts w:ascii="宋体" w:hAnsi="宋体" w:eastAsia="宋体" w:cs="Times New Roman"/>
      <w:bCs/>
      <w:color w:val="000000"/>
      <w:sz w:val="28"/>
      <w:szCs w:val="28"/>
    </w:rPr>
  </w:style>
  <w:style w:type="paragraph" w:customStyle="1" w:styleId="31">
    <w:name w:val="表标题"/>
    <w:basedOn w:val="1"/>
    <w:link w:val="32"/>
    <w:qFormat/>
    <w:uiPriority w:val="0"/>
    <w:pPr>
      <w:adjustRightInd w:val="0"/>
      <w:snapToGrid w:val="0"/>
      <w:spacing w:line="500" w:lineRule="exact"/>
      <w:jc w:val="center"/>
    </w:pPr>
    <w:rPr>
      <w:rFonts w:ascii="Times New Roman" w:hAnsi="Times New Roman" w:eastAsia="黑体"/>
      <w:sz w:val="24"/>
    </w:rPr>
  </w:style>
  <w:style w:type="character" w:customStyle="1" w:styleId="32">
    <w:name w:val="表标题 Char Char"/>
    <w:link w:val="31"/>
    <w:qFormat/>
    <w:uiPriority w:val="0"/>
    <w:rPr>
      <w:rFonts w:ascii="Times New Roman" w:hAnsi="Times New Roman" w:eastAsia="黑体"/>
      <w:sz w:val="24"/>
    </w:rPr>
  </w:style>
  <w:style w:type="paragraph" w:customStyle="1" w:styleId="33">
    <w:name w:val="表格文字"/>
    <w:basedOn w:val="1"/>
    <w:qFormat/>
    <w:uiPriority w:val="0"/>
    <w:pPr>
      <w:adjustRightInd w:val="0"/>
      <w:jc w:val="center"/>
      <w:textAlignment w:val="baseline"/>
    </w:pPr>
    <w:rPr>
      <w:rFonts w:ascii="Times New Roman" w:hAnsi="Times New Roman" w:eastAsia="宋体" w:cs="Times New Roman"/>
      <w:kern w:val="0"/>
      <w:sz w:val="24"/>
      <w:szCs w:val="20"/>
    </w:rPr>
  </w:style>
  <w:style w:type="paragraph" w:customStyle="1" w:styleId="34">
    <w:name w:val="样式 四号 首行缩进:  2 字符"/>
    <w:basedOn w:val="1"/>
    <w:qFormat/>
    <w:uiPriority w:val="0"/>
    <w:pPr>
      <w:spacing w:line="480" w:lineRule="atLeast"/>
      <w:ind w:firstLine="200" w:firstLineChars="200"/>
    </w:pPr>
    <w:rPr>
      <w:rFonts w:ascii="Times New Roman" w:hAnsi="Times New Roman" w:eastAsia="宋体" w:cs="Times New Roman"/>
      <w:sz w:val="24"/>
      <w:szCs w:val="24"/>
    </w:rPr>
  </w:style>
  <w:style w:type="paragraph" w:customStyle="1" w:styleId="35">
    <w:name w:val="表格正文"/>
    <w:basedOn w:val="8"/>
    <w:link w:val="36"/>
    <w:qFormat/>
    <w:uiPriority w:val="0"/>
    <w:pPr>
      <w:widowControl/>
      <w:adjustRightInd w:val="0"/>
      <w:snapToGrid w:val="0"/>
      <w:spacing w:line="360" w:lineRule="exact"/>
      <w:ind w:firstLine="0" w:firstLineChars="0"/>
      <w:jc w:val="center"/>
    </w:pPr>
    <w:rPr>
      <w:rFonts w:ascii="Times New Roman" w:hAnsi="Times New Roman" w:eastAsia="宋体"/>
    </w:rPr>
  </w:style>
  <w:style w:type="character" w:customStyle="1" w:styleId="36">
    <w:name w:val="表格正文 Char1"/>
    <w:link w:val="35"/>
    <w:qFormat/>
    <w:uiPriority w:val="0"/>
    <w:rPr>
      <w:rFonts w:ascii="Times New Roman" w:hAnsi="Times New Roman" w:eastAsia="宋体"/>
    </w:rPr>
  </w:style>
  <w:style w:type="character" w:customStyle="1" w:styleId="37">
    <w:name w:val="页眉 Char"/>
    <w:basedOn w:val="23"/>
    <w:link w:val="17"/>
    <w:qFormat/>
    <w:uiPriority w:val="99"/>
    <w:rPr>
      <w:sz w:val="18"/>
      <w:szCs w:val="18"/>
    </w:rPr>
  </w:style>
  <w:style w:type="character" w:customStyle="1" w:styleId="38">
    <w:name w:val="页脚 Char"/>
    <w:basedOn w:val="23"/>
    <w:link w:val="16"/>
    <w:qFormat/>
    <w:uiPriority w:val="99"/>
    <w:rPr>
      <w:sz w:val="18"/>
      <w:szCs w:val="18"/>
    </w:rPr>
  </w:style>
  <w:style w:type="paragraph" w:customStyle="1" w:styleId="39">
    <w:name w:val="MFS正文 Char Char"/>
    <w:basedOn w:val="20"/>
    <w:qFormat/>
    <w:uiPriority w:val="0"/>
    <w:pPr>
      <w:adjustRightInd w:val="0"/>
      <w:snapToGrid w:val="0"/>
      <w:spacing w:before="93" w:line="360" w:lineRule="auto"/>
      <w:ind w:firstLine="487" w:firstLineChars="200"/>
    </w:pPr>
    <w:rPr>
      <w:rFonts w:eastAsia="楷体_GB2312"/>
      <w:sz w:val="24"/>
    </w:rPr>
  </w:style>
  <w:style w:type="paragraph" w:customStyle="1" w:styleId="40">
    <w:name w:val="图表文字"/>
    <w:basedOn w:val="8"/>
    <w:qFormat/>
    <w:uiPriority w:val="0"/>
    <w:pPr>
      <w:spacing w:beforeLines="50"/>
      <w:ind w:firstLine="0"/>
      <w:jc w:val="center"/>
    </w:pPr>
    <w:rPr>
      <w:szCs w:val="21"/>
    </w:rPr>
  </w:style>
  <w:style w:type="paragraph" w:customStyle="1" w:styleId="41">
    <w:name w:val="表格"/>
    <w:next w:val="1"/>
    <w:link w:val="81"/>
    <w:qFormat/>
    <w:uiPriority w:val="0"/>
    <w:pPr>
      <w:widowControl w:val="0"/>
      <w:spacing w:line="240" w:lineRule="atLeast"/>
      <w:jc w:val="center"/>
    </w:pPr>
    <w:rPr>
      <w:rFonts w:ascii="Times New Roman" w:hAnsi="Times New Roman" w:eastAsia="宋体" w:cs="Times New Roman"/>
      <w:sz w:val="21"/>
      <w:lang w:val="en-US" w:eastAsia="zh-CN" w:bidi="ar-SA"/>
    </w:rPr>
  </w:style>
  <w:style w:type="paragraph" w:customStyle="1" w:styleId="42">
    <w:name w:val="正文2"/>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43">
    <w:name w:val="表格字体"/>
    <w:basedOn w:val="1"/>
    <w:qFormat/>
    <w:uiPriority w:val="0"/>
    <w:pPr>
      <w:widowControl/>
      <w:snapToGrid w:val="0"/>
      <w:spacing w:line="276" w:lineRule="auto"/>
      <w:jc w:val="left"/>
    </w:pPr>
    <w:rPr>
      <w:rFonts w:ascii="宋体" w:hAnsi="宋体" w:eastAsia="Times New Roman" w:cs="宋体"/>
      <w:kern w:val="0"/>
    </w:rPr>
  </w:style>
  <w:style w:type="paragraph" w:customStyle="1" w:styleId="44">
    <w:name w:val="样式111"/>
    <w:basedOn w:val="1"/>
    <w:qFormat/>
    <w:uiPriority w:val="0"/>
    <w:pPr>
      <w:adjustRightInd w:val="0"/>
      <w:snapToGrid w:val="0"/>
      <w:spacing w:line="300" w:lineRule="auto"/>
      <w:jc w:val="center"/>
      <w:textAlignment w:val="baseline"/>
    </w:pPr>
    <w:rPr>
      <w:rFonts w:ascii="仿宋_GB2312" w:hAnsi="Courier New" w:eastAsia="仿宋_GB2312"/>
      <w:b/>
      <w:kern w:val="0"/>
      <w:sz w:val="28"/>
      <w:szCs w:val="20"/>
    </w:rPr>
  </w:style>
  <w:style w:type="paragraph" w:customStyle="1" w:styleId="45">
    <w:name w:val="表中文字"/>
    <w:basedOn w:val="1"/>
    <w:qFormat/>
    <w:uiPriority w:val="0"/>
    <w:pPr>
      <w:tabs>
        <w:tab w:val="left" w:pos="3286"/>
        <w:tab w:val="left" w:pos="8362"/>
      </w:tabs>
      <w:snapToGrid w:val="0"/>
      <w:spacing w:line="340" w:lineRule="exact"/>
      <w:jc w:val="center"/>
    </w:pPr>
    <w:rPr>
      <w:rFonts w:ascii="Arial" w:hAnsi="Arial" w:eastAsia="楷体_GB2312"/>
      <w:szCs w:val="21"/>
      <w:shd w:val="clear" w:color="auto" w:fill="FFFFFF"/>
    </w:rPr>
  </w:style>
  <w:style w:type="paragraph" w:customStyle="1" w:styleId="46">
    <w:name w:val="Table Paragraph"/>
    <w:basedOn w:val="1"/>
    <w:qFormat/>
    <w:uiPriority w:val="1"/>
    <w:rPr>
      <w:rFonts w:ascii="Calibri" w:hAnsi="Calibri" w:eastAsia="宋体" w:cs="Times New Roman"/>
    </w:rPr>
  </w:style>
  <w:style w:type="character" w:customStyle="1" w:styleId="47">
    <w:name w:val="文档结构图 Char"/>
    <w:basedOn w:val="23"/>
    <w:link w:val="10"/>
    <w:semiHidden/>
    <w:qFormat/>
    <w:uiPriority w:val="99"/>
    <w:rPr>
      <w:rFonts w:ascii="宋体" w:hAnsiTheme="minorHAnsi" w:cstheme="minorBidi"/>
      <w:kern w:val="2"/>
      <w:sz w:val="18"/>
      <w:szCs w:val="18"/>
    </w:rPr>
  </w:style>
  <w:style w:type="character" w:customStyle="1" w:styleId="48">
    <w:name w:val="正文文本 Char"/>
    <w:basedOn w:val="23"/>
    <w:link w:val="2"/>
    <w:qFormat/>
    <w:uiPriority w:val="99"/>
    <w:rPr>
      <w:rFonts w:asciiTheme="minorHAnsi" w:hAnsiTheme="minorHAnsi" w:eastAsiaTheme="minorEastAsia" w:cstheme="minorBidi"/>
      <w:kern w:val="2"/>
      <w:sz w:val="21"/>
      <w:szCs w:val="22"/>
    </w:rPr>
  </w:style>
  <w:style w:type="paragraph" w:customStyle="1" w:styleId="49">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50">
    <w:name w:val="24磅正文"/>
    <w:basedOn w:val="1"/>
    <w:qFormat/>
    <w:uiPriority w:val="0"/>
    <w:pPr>
      <w:topLinePunct/>
      <w:adjustRightInd w:val="0"/>
      <w:snapToGrid w:val="0"/>
      <w:spacing w:line="500" w:lineRule="exact"/>
      <w:ind w:firstLine="480" w:firstLineChars="200"/>
    </w:pPr>
    <w:rPr>
      <w:rFonts w:ascii="Times New Roman" w:hAnsi="Times New Roman" w:eastAsia="宋体" w:cs="Times New Roman"/>
      <w:color w:val="000000"/>
      <w:sz w:val="24"/>
      <w:szCs w:val="24"/>
    </w:rPr>
  </w:style>
  <w:style w:type="character" w:customStyle="1" w:styleId="51">
    <w:name w:val="批注框文本 Char"/>
    <w:basedOn w:val="23"/>
    <w:link w:val="15"/>
    <w:semiHidden/>
    <w:qFormat/>
    <w:uiPriority w:val="99"/>
    <w:rPr>
      <w:rFonts w:asciiTheme="minorHAnsi" w:hAnsiTheme="minorHAnsi" w:eastAsiaTheme="minorEastAsia" w:cstheme="minorBidi"/>
      <w:kern w:val="2"/>
      <w:sz w:val="18"/>
      <w:szCs w:val="18"/>
    </w:rPr>
  </w:style>
  <w:style w:type="paragraph" w:customStyle="1" w:styleId="52">
    <w:name w:val="表内文字小110"/>
    <w:basedOn w:val="1"/>
    <w:qFormat/>
    <w:uiPriority w:val="0"/>
    <w:pPr>
      <w:adjustRightInd w:val="0"/>
      <w:snapToGrid w:val="0"/>
      <w:jc w:val="center"/>
    </w:pPr>
    <w:rPr>
      <w:rFonts w:ascii="宋体" w:hAnsi="Times" w:eastAsia="宋体" w:cs="宋体"/>
      <w:szCs w:val="21"/>
    </w:rPr>
  </w:style>
  <w:style w:type="paragraph" w:customStyle="1" w:styleId="53">
    <w:name w:val="报告表格"/>
    <w:basedOn w:val="1"/>
    <w:qFormat/>
    <w:uiPriority w:val="0"/>
    <w:pPr>
      <w:autoSpaceDE w:val="0"/>
      <w:autoSpaceDN w:val="0"/>
      <w:adjustRightInd w:val="0"/>
      <w:spacing w:line="400" w:lineRule="exact"/>
      <w:jc w:val="center"/>
      <w:textAlignment w:val="baseline"/>
    </w:pPr>
    <w:rPr>
      <w:rFonts w:ascii="Times New Roman" w:hAnsi="Times New Roman" w:eastAsia="宋体" w:cs="Times New Roman"/>
      <w:kern w:val="0"/>
      <w:szCs w:val="21"/>
    </w:rPr>
  </w:style>
  <w:style w:type="character" w:customStyle="1" w:styleId="54">
    <w:name w:val="font71"/>
    <w:basedOn w:val="23"/>
    <w:qFormat/>
    <w:uiPriority w:val="0"/>
    <w:rPr>
      <w:rFonts w:hint="eastAsia" w:ascii="宋体" w:hAnsi="宋体" w:eastAsia="宋体" w:cs="宋体"/>
      <w:color w:val="000000"/>
      <w:sz w:val="21"/>
      <w:szCs w:val="21"/>
      <w:u w:val="none"/>
    </w:rPr>
  </w:style>
  <w:style w:type="character" w:customStyle="1" w:styleId="55">
    <w:name w:val="font61"/>
    <w:basedOn w:val="23"/>
    <w:qFormat/>
    <w:uiPriority w:val="0"/>
    <w:rPr>
      <w:rFonts w:hint="default" w:ascii="Times New Roman" w:hAnsi="Times New Roman" w:cs="Times New Roman"/>
      <w:color w:val="000000"/>
      <w:sz w:val="21"/>
      <w:szCs w:val="21"/>
      <w:u w:val="none"/>
    </w:rPr>
  </w:style>
  <w:style w:type="character" w:customStyle="1" w:styleId="56">
    <w:name w:val="font81"/>
    <w:basedOn w:val="23"/>
    <w:qFormat/>
    <w:uiPriority w:val="0"/>
    <w:rPr>
      <w:rFonts w:hint="default" w:ascii="Times New Roman" w:hAnsi="Times New Roman" w:cs="Times New Roman"/>
      <w:color w:val="000000"/>
      <w:sz w:val="21"/>
      <w:szCs w:val="21"/>
      <w:u w:val="none"/>
    </w:rPr>
  </w:style>
  <w:style w:type="character" w:customStyle="1" w:styleId="57">
    <w:name w:val="font91"/>
    <w:basedOn w:val="23"/>
    <w:qFormat/>
    <w:uiPriority w:val="0"/>
    <w:rPr>
      <w:rFonts w:hint="default" w:ascii="Times New Roman" w:hAnsi="Times New Roman" w:cs="Times New Roman"/>
      <w:color w:val="000000"/>
      <w:sz w:val="21"/>
      <w:szCs w:val="21"/>
      <w:u w:val="none"/>
    </w:rPr>
  </w:style>
  <w:style w:type="character" w:customStyle="1" w:styleId="58">
    <w:name w:val="font51"/>
    <w:basedOn w:val="23"/>
    <w:qFormat/>
    <w:uiPriority w:val="0"/>
    <w:rPr>
      <w:rFonts w:hint="default" w:ascii="Times New Roman" w:hAnsi="Times New Roman" w:cs="Times New Roman"/>
      <w:color w:val="000000"/>
      <w:sz w:val="21"/>
      <w:szCs w:val="21"/>
      <w:u w:val="none"/>
    </w:rPr>
  </w:style>
  <w:style w:type="character" w:customStyle="1" w:styleId="59">
    <w:name w:val="font31"/>
    <w:basedOn w:val="23"/>
    <w:qFormat/>
    <w:uiPriority w:val="0"/>
    <w:rPr>
      <w:rFonts w:hint="eastAsia" w:ascii="宋体" w:hAnsi="宋体" w:eastAsia="宋体" w:cs="宋体"/>
      <w:color w:val="000000"/>
      <w:sz w:val="16"/>
      <w:szCs w:val="16"/>
      <w:u w:val="none"/>
    </w:rPr>
  </w:style>
  <w:style w:type="character" w:customStyle="1" w:styleId="60">
    <w:name w:val="font41"/>
    <w:basedOn w:val="23"/>
    <w:qFormat/>
    <w:uiPriority w:val="0"/>
    <w:rPr>
      <w:rFonts w:hint="default" w:ascii="Arial" w:hAnsi="Arial" w:cs="Arial"/>
      <w:color w:val="000000"/>
      <w:sz w:val="16"/>
      <w:szCs w:val="16"/>
      <w:u w:val="none"/>
    </w:rPr>
  </w:style>
  <w:style w:type="character" w:customStyle="1" w:styleId="61">
    <w:name w:val="font01"/>
    <w:basedOn w:val="23"/>
    <w:qFormat/>
    <w:uiPriority w:val="0"/>
    <w:rPr>
      <w:rFonts w:hint="eastAsia" w:ascii="宋体" w:hAnsi="宋体" w:eastAsia="宋体" w:cs="宋体"/>
      <w:color w:val="000000"/>
      <w:sz w:val="16"/>
      <w:szCs w:val="16"/>
      <w:u w:val="none"/>
    </w:rPr>
  </w:style>
  <w:style w:type="character" w:customStyle="1" w:styleId="62">
    <w:name w:val="font21"/>
    <w:basedOn w:val="23"/>
    <w:qFormat/>
    <w:uiPriority w:val="0"/>
    <w:rPr>
      <w:rFonts w:hint="default" w:ascii="Arial" w:hAnsi="Arial" w:cs="Arial"/>
      <w:color w:val="000000"/>
      <w:sz w:val="16"/>
      <w:szCs w:val="16"/>
      <w:u w:val="none"/>
    </w:rPr>
  </w:style>
  <w:style w:type="paragraph" w:customStyle="1" w:styleId="63">
    <w:name w:val="1111111"/>
    <w:basedOn w:val="1"/>
    <w:qFormat/>
    <w:uiPriority w:val="0"/>
    <w:pPr>
      <w:jc w:val="center"/>
      <w:outlineLvl w:val="0"/>
    </w:pPr>
    <w:rPr>
      <w:rFonts w:ascii="黑体" w:hAnsi="Times New Roman" w:eastAsia="黑体" w:cs="Times New Roman"/>
      <w:sz w:val="36"/>
      <w:szCs w:val="36"/>
    </w:rPr>
  </w:style>
  <w:style w:type="paragraph" w:customStyle="1" w:styleId="64">
    <w:name w:val="正文11"/>
    <w:basedOn w:val="1"/>
    <w:qFormat/>
    <w:uiPriority w:val="0"/>
    <w:pPr>
      <w:adjustRightInd w:val="0"/>
      <w:spacing w:after="120" w:line="360" w:lineRule="atLeast"/>
      <w:jc w:val="center"/>
      <w:textAlignment w:val="baseline"/>
    </w:pPr>
    <w:rPr>
      <w:rFonts w:ascii="宋体" w:hAnsi="宋体" w:eastAsia="宋体"/>
      <w:kern w:val="0"/>
      <w:sz w:val="24"/>
      <w:szCs w:val="20"/>
    </w:rPr>
  </w:style>
  <w:style w:type="paragraph" w:customStyle="1" w:styleId="65">
    <w:name w:val="CM132"/>
    <w:basedOn w:val="66"/>
    <w:next w:val="66"/>
    <w:unhideWhenUsed/>
    <w:qFormat/>
    <w:uiPriority w:val="99"/>
    <w:pPr>
      <w:spacing w:after="325"/>
    </w:pPr>
    <w:rPr>
      <w:rFonts w:hint="default"/>
    </w:rPr>
  </w:style>
  <w:style w:type="paragraph" w:customStyle="1" w:styleId="66">
    <w:name w:val="Default"/>
    <w:unhideWhenUsed/>
    <w:qFormat/>
    <w:uiPriority w:val="99"/>
    <w:pPr>
      <w:widowControl w:val="0"/>
      <w:autoSpaceDE w:val="0"/>
      <w:autoSpaceDN w:val="0"/>
      <w:adjustRightInd w:val="0"/>
    </w:pPr>
    <w:rPr>
      <w:rFonts w:hint="eastAsia" w:ascii="楷体_GB2312" w:hAnsi="楷体_GB2312" w:eastAsia="楷体_GB2312" w:cs="Times New Roman"/>
      <w:color w:val="000000"/>
      <w:sz w:val="24"/>
      <w:lang w:val="en-US" w:eastAsia="zh-CN" w:bidi="ar-SA"/>
    </w:rPr>
  </w:style>
  <w:style w:type="paragraph" w:customStyle="1" w:styleId="67">
    <w:name w:val="CM31"/>
    <w:basedOn w:val="66"/>
    <w:next w:val="66"/>
    <w:unhideWhenUsed/>
    <w:qFormat/>
    <w:uiPriority w:val="99"/>
    <w:rPr>
      <w:rFonts w:hint="default"/>
    </w:rPr>
  </w:style>
  <w:style w:type="paragraph" w:customStyle="1" w:styleId="68">
    <w:name w:val="CM10"/>
    <w:basedOn w:val="66"/>
    <w:next w:val="66"/>
    <w:unhideWhenUsed/>
    <w:qFormat/>
    <w:uiPriority w:val="99"/>
    <w:pPr>
      <w:spacing w:line="471" w:lineRule="atLeast"/>
    </w:pPr>
    <w:rPr>
      <w:rFonts w:hint="default"/>
    </w:rPr>
  </w:style>
  <w:style w:type="paragraph" w:customStyle="1" w:styleId="69">
    <w:name w:val="CM8"/>
    <w:basedOn w:val="66"/>
    <w:next w:val="66"/>
    <w:unhideWhenUsed/>
    <w:qFormat/>
    <w:uiPriority w:val="99"/>
    <w:pPr>
      <w:spacing w:line="468" w:lineRule="atLeast"/>
    </w:pPr>
    <w:rPr>
      <w:rFonts w:hint="default"/>
    </w:rPr>
  </w:style>
  <w:style w:type="paragraph" w:customStyle="1" w:styleId="70">
    <w:name w:val="CM12"/>
    <w:basedOn w:val="66"/>
    <w:next w:val="66"/>
    <w:unhideWhenUsed/>
    <w:qFormat/>
    <w:uiPriority w:val="99"/>
    <w:pPr>
      <w:spacing w:line="471" w:lineRule="atLeast"/>
    </w:pPr>
    <w:rPr>
      <w:rFonts w:hint="default"/>
    </w:rPr>
  </w:style>
  <w:style w:type="paragraph" w:customStyle="1" w:styleId="71">
    <w:name w:val="CM26"/>
    <w:basedOn w:val="66"/>
    <w:next w:val="66"/>
    <w:unhideWhenUsed/>
    <w:qFormat/>
    <w:uiPriority w:val="99"/>
    <w:pPr>
      <w:spacing w:line="468" w:lineRule="atLeast"/>
    </w:pPr>
    <w:rPr>
      <w:rFonts w:hint="default"/>
    </w:rPr>
  </w:style>
  <w:style w:type="paragraph" w:customStyle="1" w:styleId="72">
    <w:name w:val="CM127"/>
    <w:basedOn w:val="66"/>
    <w:next w:val="66"/>
    <w:unhideWhenUsed/>
    <w:qFormat/>
    <w:uiPriority w:val="99"/>
    <w:pPr>
      <w:spacing w:after="200"/>
    </w:pPr>
    <w:rPr>
      <w:rFonts w:hint="default"/>
    </w:rPr>
  </w:style>
  <w:style w:type="paragraph" w:customStyle="1" w:styleId="73">
    <w:name w:val="CM11"/>
    <w:basedOn w:val="66"/>
    <w:next w:val="66"/>
    <w:unhideWhenUsed/>
    <w:qFormat/>
    <w:uiPriority w:val="99"/>
    <w:pPr>
      <w:spacing w:line="471" w:lineRule="atLeast"/>
    </w:pPr>
    <w:rPr>
      <w:rFonts w:hint="default"/>
    </w:rPr>
  </w:style>
  <w:style w:type="paragraph" w:customStyle="1" w:styleId="74">
    <w:name w:val="CM128"/>
    <w:basedOn w:val="66"/>
    <w:next w:val="66"/>
    <w:unhideWhenUsed/>
    <w:qFormat/>
    <w:uiPriority w:val="99"/>
    <w:pPr>
      <w:spacing w:after="505"/>
    </w:pPr>
    <w:rPr>
      <w:rFonts w:hint="default"/>
    </w:rPr>
  </w:style>
  <w:style w:type="paragraph" w:customStyle="1" w:styleId="75">
    <w:name w:val="CM24"/>
    <w:basedOn w:val="66"/>
    <w:next w:val="66"/>
    <w:unhideWhenUsed/>
    <w:qFormat/>
    <w:uiPriority w:val="99"/>
    <w:pPr>
      <w:spacing w:line="471" w:lineRule="atLeast"/>
    </w:pPr>
    <w:rPr>
      <w:rFonts w:hint="default"/>
    </w:rPr>
  </w:style>
  <w:style w:type="character" w:customStyle="1" w:styleId="76">
    <w:name w:val="fontstyle01"/>
    <w:basedOn w:val="23"/>
    <w:qFormat/>
    <w:uiPriority w:val="0"/>
    <w:rPr>
      <w:rFonts w:hint="eastAsia" w:ascii="宋体" w:hAnsi="宋体" w:eastAsia="宋体"/>
      <w:color w:val="000000"/>
      <w:sz w:val="24"/>
      <w:szCs w:val="24"/>
    </w:rPr>
  </w:style>
  <w:style w:type="paragraph" w:customStyle="1" w:styleId="77">
    <w:name w:val="p0"/>
    <w:basedOn w:val="1"/>
    <w:qFormat/>
    <w:uiPriority w:val="0"/>
    <w:pPr>
      <w:widowControl/>
      <w:snapToGrid w:val="0"/>
      <w:spacing w:before="156" w:line="324" w:lineRule="auto"/>
      <w:ind w:firstLine="420"/>
    </w:pPr>
    <w:rPr>
      <w:rFonts w:ascii="Arial" w:hAnsi="Arial" w:cs="Arial"/>
      <w:kern w:val="0"/>
      <w:sz w:val="28"/>
      <w:szCs w:val="28"/>
    </w:rPr>
  </w:style>
  <w:style w:type="paragraph" w:customStyle="1" w:styleId="78">
    <w:name w:val="003"/>
    <w:basedOn w:val="1"/>
    <w:qFormat/>
    <w:uiPriority w:val="0"/>
    <w:pPr>
      <w:spacing w:line="480" w:lineRule="exact"/>
      <w:outlineLvl w:val="2"/>
    </w:pPr>
    <w:rPr>
      <w:rFonts w:ascii="黑体" w:hAnsi="Calibri" w:eastAsia="黑体"/>
      <w:sz w:val="24"/>
      <w:szCs w:val="24"/>
    </w:rPr>
  </w:style>
  <w:style w:type="table" w:customStyle="1" w:styleId="79">
    <w:name w:val="MFS表格3"/>
    <w:basedOn w:val="21"/>
    <w:qFormat/>
    <w:uiPriority w:val="0"/>
    <w:pPr>
      <w:widowControl w:val="0"/>
      <w:snapToGrid w:val="0"/>
      <w:jc w:val="center"/>
    </w:pPr>
    <w:rPr>
      <w:sz w:val="18"/>
    </w:rPr>
    <w:tblPr>
      <w:tblBorders>
        <w:top w:val="single" w:color="000000" w:sz="12" w:space="0"/>
        <w:bottom w:val="single" w:color="000000" w:sz="12" w:space="0"/>
        <w:insideH w:val="single" w:color="000000" w:sz="6" w:space="0"/>
        <w:insideV w:val="single" w:color="000000" w:sz="6" w:space="0"/>
      </w:tblBorders>
      <w:tblLayout w:type="fixed"/>
    </w:tblPr>
    <w:tcPr>
      <w:shd w:val="clear" w:color="auto" w:fill="auto"/>
      <w:vAlign w:val="center"/>
    </w:tc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paragraph" w:customStyle="1" w:styleId="80">
    <w:name w:val="图题"/>
    <w:basedOn w:val="1"/>
    <w:qFormat/>
    <w:uiPriority w:val="0"/>
    <w:pPr>
      <w:spacing w:afterLines="50"/>
      <w:jc w:val="center"/>
    </w:pPr>
    <w:rPr>
      <w:rFonts w:ascii="Times New Roman" w:hAnsi="Times New Roman" w:eastAsia="Times New Roman" w:cs="Times New Roman"/>
      <w:b/>
      <w:bCs/>
      <w:sz w:val="24"/>
      <w:szCs w:val="32"/>
    </w:rPr>
  </w:style>
  <w:style w:type="character" w:customStyle="1" w:styleId="81">
    <w:name w:val="表格 Char Char Char"/>
    <w:link w:val="41"/>
    <w:qFormat/>
    <w:uiPriority w:val="0"/>
    <w:rPr>
      <w:sz w:val="21"/>
    </w:rPr>
  </w:style>
  <w:style w:type="paragraph" w:customStyle="1" w:styleId="82">
    <w:name w:val="表体"/>
    <w:basedOn w:val="1"/>
    <w:qFormat/>
    <w:uiPriority w:val="0"/>
    <w:pPr>
      <w:overflowPunct w:val="0"/>
      <w:jc w:val="center"/>
      <w:textAlignment w:val="baseline"/>
    </w:pPr>
    <w:rPr>
      <w:rFonts w:eastAsia="仿宋_GB2312"/>
      <w:color w:val="000000"/>
      <w:kern w:val="24"/>
    </w:rPr>
  </w:style>
  <w:style w:type="paragraph" w:customStyle="1" w:styleId="83">
    <w:name w:val="首行缩进2个字符"/>
    <w:basedOn w:val="1"/>
    <w:qFormat/>
    <w:uiPriority w:val="0"/>
    <w:pPr>
      <w:spacing w:line="360" w:lineRule="auto"/>
      <w:ind w:firstLine="200" w:firstLineChars="200"/>
    </w:pPr>
    <w:rPr>
      <w:rFonts w:ascii="宋体"/>
      <w:kern w:val="28"/>
      <w:sz w:val="28"/>
      <w:szCs w:val="28"/>
    </w:rPr>
  </w:style>
  <w:style w:type="paragraph" w:customStyle="1" w:styleId="84">
    <w:name w:val="标准文本 首行缩进:2 字符 行距1倍 Char"/>
    <w:basedOn w:val="1"/>
    <w:qFormat/>
    <w:uiPriority w:val="0"/>
    <w:pPr>
      <w:spacing w:line="360" w:lineRule="auto"/>
      <w:jc w:val="center"/>
      <w:textAlignment w:val="center"/>
    </w:pPr>
    <w:rPr>
      <w:rFonts w:cs="宋体"/>
      <w:sz w:val="24"/>
    </w:rPr>
  </w:style>
  <w:style w:type="paragraph" w:customStyle="1" w:styleId="85">
    <w:name w:val="表格内容"/>
    <w:basedOn w:val="1"/>
    <w:qFormat/>
    <w:uiPriority w:val="0"/>
    <w:pPr>
      <w:spacing w:line="360" w:lineRule="exact"/>
      <w:jc w:val="center"/>
    </w:pPr>
    <w:rPr>
      <w:rFonts w:ascii="Times New Roman" w:hAnsi="Times New Roman"/>
      <w:szCs w:val="21"/>
    </w:rPr>
  </w:style>
  <w:style w:type="table" w:customStyle="1" w:styleId="86">
    <w:name w:val="网格型1"/>
    <w:basedOn w:val="21"/>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87">
    <w:name w:val="表格 首行"/>
    <w:basedOn w:val="1"/>
    <w:qFormat/>
    <w:uiPriority w:val="0"/>
    <w:pPr>
      <w:spacing w:line="240" w:lineRule="exact"/>
      <w:jc w:val="center"/>
    </w:pPr>
    <w:rPr>
      <w:rFonts w:ascii="Times New Roman" w:hAnsi="Times New Roman" w:eastAsia="宋体" w:cs="Arial"/>
      <w:b/>
      <w:szCs w:val="21"/>
    </w:rPr>
  </w:style>
  <w:style w:type="paragraph" w:customStyle="1" w:styleId="88">
    <w:name w:val="表格 普通文字"/>
    <w:qFormat/>
    <w:uiPriority w:val="0"/>
    <w:pPr>
      <w:jc w:val="center"/>
    </w:pPr>
    <w:rPr>
      <w:rFonts w:ascii="Times New Roman" w:hAnsi="Times New Roman" w:eastAsia="宋体" w:cs="Arial"/>
      <w:kern w:val="2"/>
      <w:sz w:val="21"/>
      <w:szCs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9.jpeg"/><Relationship Id="rId98" Type="http://schemas.openxmlformats.org/officeDocument/2006/relationships/image" Target="media/image68.jpeg"/><Relationship Id="rId97" Type="http://schemas.openxmlformats.org/officeDocument/2006/relationships/image" Target="media/image67.png"/><Relationship Id="rId96" Type="http://schemas.openxmlformats.org/officeDocument/2006/relationships/image" Target="media/image66.jpeg"/><Relationship Id="rId95" Type="http://schemas.openxmlformats.org/officeDocument/2006/relationships/image" Target="media/image65.jpeg"/><Relationship Id="rId94" Type="http://schemas.openxmlformats.org/officeDocument/2006/relationships/image" Target="media/image64.jpeg"/><Relationship Id="rId93" Type="http://schemas.openxmlformats.org/officeDocument/2006/relationships/image" Target="media/image63.jpeg"/><Relationship Id="rId92" Type="http://schemas.openxmlformats.org/officeDocument/2006/relationships/image" Target="media/image62.jpeg"/><Relationship Id="rId91" Type="http://schemas.openxmlformats.org/officeDocument/2006/relationships/image" Target="media/image61.jpeg"/><Relationship Id="rId90" Type="http://schemas.openxmlformats.org/officeDocument/2006/relationships/image" Target="media/image60.jpeg"/><Relationship Id="rId9" Type="http://schemas.openxmlformats.org/officeDocument/2006/relationships/image" Target="media/image1.jpeg"/><Relationship Id="rId89" Type="http://schemas.openxmlformats.org/officeDocument/2006/relationships/image" Target="media/image59.jpeg"/><Relationship Id="rId88" Type="http://schemas.openxmlformats.org/officeDocument/2006/relationships/image" Target="media/image58.jpeg"/><Relationship Id="rId87" Type="http://schemas.openxmlformats.org/officeDocument/2006/relationships/image" Target="media/image57.jpeg"/><Relationship Id="rId86" Type="http://schemas.openxmlformats.org/officeDocument/2006/relationships/image" Target="media/image56.jpeg"/><Relationship Id="rId85" Type="http://schemas.openxmlformats.org/officeDocument/2006/relationships/image" Target="media/image55.jpeg"/><Relationship Id="rId84" Type="http://schemas.openxmlformats.org/officeDocument/2006/relationships/image" Target="media/image54.emf"/><Relationship Id="rId83" Type="http://schemas.openxmlformats.org/officeDocument/2006/relationships/oleObject" Target="embeddings/oleObject22.bin"/><Relationship Id="rId82" Type="http://schemas.openxmlformats.org/officeDocument/2006/relationships/image" Target="media/image53.emf"/><Relationship Id="rId81" Type="http://schemas.openxmlformats.org/officeDocument/2006/relationships/oleObject" Target="embeddings/oleObject21.bin"/><Relationship Id="rId80" Type="http://schemas.openxmlformats.org/officeDocument/2006/relationships/image" Target="media/image52.emf"/><Relationship Id="rId8" Type="http://schemas.openxmlformats.org/officeDocument/2006/relationships/theme" Target="theme/theme1.xml"/><Relationship Id="rId79" Type="http://schemas.openxmlformats.org/officeDocument/2006/relationships/oleObject" Target="embeddings/oleObject20.bin"/><Relationship Id="rId78" Type="http://schemas.openxmlformats.org/officeDocument/2006/relationships/image" Target="media/image51.jpeg"/><Relationship Id="rId77" Type="http://schemas.openxmlformats.org/officeDocument/2006/relationships/image" Target="media/image50.jpeg"/><Relationship Id="rId76" Type="http://schemas.openxmlformats.org/officeDocument/2006/relationships/image" Target="media/image49.jpeg"/><Relationship Id="rId75" Type="http://schemas.openxmlformats.org/officeDocument/2006/relationships/image" Target="media/image48.jpeg"/><Relationship Id="rId74" Type="http://schemas.openxmlformats.org/officeDocument/2006/relationships/image" Target="media/image47.wmf"/><Relationship Id="rId73" Type="http://schemas.openxmlformats.org/officeDocument/2006/relationships/image" Target="media/image46.wmf"/><Relationship Id="rId72" Type="http://schemas.openxmlformats.org/officeDocument/2006/relationships/oleObject" Target="embeddings/oleObject19.bin"/><Relationship Id="rId71" Type="http://schemas.openxmlformats.org/officeDocument/2006/relationships/image" Target="media/image45.wmf"/><Relationship Id="rId70" Type="http://schemas.openxmlformats.org/officeDocument/2006/relationships/oleObject" Target="embeddings/oleObject18.bin"/><Relationship Id="rId7" Type="http://schemas.openxmlformats.org/officeDocument/2006/relationships/footer" Target="footer5.xml"/><Relationship Id="rId69" Type="http://schemas.openxmlformats.org/officeDocument/2006/relationships/image" Target="media/image44.jpeg"/><Relationship Id="rId68" Type="http://schemas.openxmlformats.org/officeDocument/2006/relationships/image" Target="media/image43.jpeg"/><Relationship Id="rId67" Type="http://schemas.openxmlformats.org/officeDocument/2006/relationships/image" Target="media/image42.jpeg"/><Relationship Id="rId66" Type="http://schemas.openxmlformats.org/officeDocument/2006/relationships/image" Target="media/image41.png"/><Relationship Id="rId65" Type="http://schemas.openxmlformats.org/officeDocument/2006/relationships/image" Target="media/image40.png"/><Relationship Id="rId64" Type="http://schemas.openxmlformats.org/officeDocument/2006/relationships/image" Target="media/image39.png"/><Relationship Id="rId63" Type="http://schemas.openxmlformats.org/officeDocument/2006/relationships/image" Target="media/image38.png"/><Relationship Id="rId62" Type="http://schemas.openxmlformats.org/officeDocument/2006/relationships/image" Target="media/image37.jpeg"/><Relationship Id="rId61" Type="http://schemas.openxmlformats.org/officeDocument/2006/relationships/image" Target="media/image36.wmf"/><Relationship Id="rId60" Type="http://schemas.openxmlformats.org/officeDocument/2006/relationships/image" Target="media/image35.wmf"/><Relationship Id="rId6" Type="http://schemas.openxmlformats.org/officeDocument/2006/relationships/footer" Target="footer4.xml"/><Relationship Id="rId59" Type="http://schemas.openxmlformats.org/officeDocument/2006/relationships/image" Target="media/image34.wmf"/><Relationship Id="rId58" Type="http://schemas.openxmlformats.org/officeDocument/2006/relationships/image" Target="media/image33.wmf"/><Relationship Id="rId57" Type="http://schemas.openxmlformats.org/officeDocument/2006/relationships/image" Target="media/image32.wmf"/><Relationship Id="rId56" Type="http://schemas.openxmlformats.org/officeDocument/2006/relationships/image" Target="media/image31.wmf"/><Relationship Id="rId55" Type="http://schemas.openxmlformats.org/officeDocument/2006/relationships/image" Target="media/image30.jpeg"/><Relationship Id="rId54" Type="http://schemas.openxmlformats.org/officeDocument/2006/relationships/image" Target="media/image29.jpeg"/><Relationship Id="rId53" Type="http://schemas.openxmlformats.org/officeDocument/2006/relationships/image" Target="media/image28.jpeg"/><Relationship Id="rId52" Type="http://schemas.openxmlformats.org/officeDocument/2006/relationships/image" Target="media/image27.emf"/><Relationship Id="rId51" Type="http://schemas.openxmlformats.org/officeDocument/2006/relationships/oleObject" Target="embeddings/oleObject17.bin"/><Relationship Id="rId50" Type="http://schemas.openxmlformats.org/officeDocument/2006/relationships/image" Target="media/image26.emf"/><Relationship Id="rId5" Type="http://schemas.openxmlformats.org/officeDocument/2006/relationships/footer" Target="footer3.xml"/><Relationship Id="rId49" Type="http://schemas.openxmlformats.org/officeDocument/2006/relationships/oleObject" Target="embeddings/oleObject16.bin"/><Relationship Id="rId48" Type="http://schemas.openxmlformats.org/officeDocument/2006/relationships/image" Target="media/image25.emf"/><Relationship Id="rId47" Type="http://schemas.openxmlformats.org/officeDocument/2006/relationships/oleObject" Target="embeddings/oleObject15.bin"/><Relationship Id="rId46" Type="http://schemas.openxmlformats.org/officeDocument/2006/relationships/image" Target="media/image24.emf"/><Relationship Id="rId45" Type="http://schemas.openxmlformats.org/officeDocument/2006/relationships/oleObject" Target="embeddings/oleObject14.bin"/><Relationship Id="rId44" Type="http://schemas.openxmlformats.org/officeDocument/2006/relationships/image" Target="media/image23.emf"/><Relationship Id="rId43" Type="http://schemas.openxmlformats.org/officeDocument/2006/relationships/oleObject" Target="embeddings/oleObject13.bin"/><Relationship Id="rId42" Type="http://schemas.openxmlformats.org/officeDocument/2006/relationships/image" Target="media/image22.emf"/><Relationship Id="rId41" Type="http://schemas.openxmlformats.org/officeDocument/2006/relationships/oleObject" Target="embeddings/oleObject12.bin"/><Relationship Id="rId40" Type="http://schemas.openxmlformats.org/officeDocument/2006/relationships/image" Target="media/image21.emf"/><Relationship Id="rId4" Type="http://schemas.openxmlformats.org/officeDocument/2006/relationships/footer" Target="footer2.xml"/><Relationship Id="rId39" Type="http://schemas.openxmlformats.org/officeDocument/2006/relationships/oleObject" Target="embeddings/oleObject11.bin"/><Relationship Id="rId38" Type="http://schemas.openxmlformats.org/officeDocument/2006/relationships/image" Target="media/image20.emf"/><Relationship Id="rId37" Type="http://schemas.openxmlformats.org/officeDocument/2006/relationships/oleObject" Target="embeddings/oleObject10.bin"/><Relationship Id="rId36" Type="http://schemas.openxmlformats.org/officeDocument/2006/relationships/image" Target="media/image19.emf"/><Relationship Id="rId35" Type="http://schemas.openxmlformats.org/officeDocument/2006/relationships/oleObject" Target="embeddings/oleObject9.bin"/><Relationship Id="rId34" Type="http://schemas.openxmlformats.org/officeDocument/2006/relationships/image" Target="media/image18.emf"/><Relationship Id="rId33" Type="http://schemas.openxmlformats.org/officeDocument/2006/relationships/oleObject" Target="embeddings/oleObject8.bin"/><Relationship Id="rId32" Type="http://schemas.openxmlformats.org/officeDocument/2006/relationships/image" Target="media/image17.emf"/><Relationship Id="rId31" Type="http://schemas.openxmlformats.org/officeDocument/2006/relationships/oleObject" Target="embeddings/oleObject7.bin"/><Relationship Id="rId30" Type="http://schemas.openxmlformats.org/officeDocument/2006/relationships/image" Target="media/image16.emf"/><Relationship Id="rId3" Type="http://schemas.openxmlformats.org/officeDocument/2006/relationships/footer" Target="footer1.xml"/><Relationship Id="rId29" Type="http://schemas.openxmlformats.org/officeDocument/2006/relationships/oleObject" Target="embeddings/oleObject6.bin"/><Relationship Id="rId28" Type="http://schemas.openxmlformats.org/officeDocument/2006/relationships/image" Target="media/image15.emf"/><Relationship Id="rId27" Type="http://schemas.openxmlformats.org/officeDocument/2006/relationships/oleObject" Target="embeddings/oleObject5.bin"/><Relationship Id="rId26" Type="http://schemas.openxmlformats.org/officeDocument/2006/relationships/image" Target="media/image14.emf"/><Relationship Id="rId25" Type="http://schemas.openxmlformats.org/officeDocument/2006/relationships/oleObject" Target="embeddings/oleObject4.bin"/><Relationship Id="rId24" Type="http://schemas.openxmlformats.org/officeDocument/2006/relationships/image" Target="media/image13.emf"/><Relationship Id="rId23" Type="http://schemas.openxmlformats.org/officeDocument/2006/relationships/oleObject" Target="embeddings/oleObject3.bin"/><Relationship Id="rId22" Type="http://schemas.openxmlformats.org/officeDocument/2006/relationships/image" Target="media/image12.emf"/><Relationship Id="rId21" Type="http://schemas.openxmlformats.org/officeDocument/2006/relationships/oleObject" Target="embeddings/oleObject2.bin"/><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0" Type="http://schemas.openxmlformats.org/officeDocument/2006/relationships/fontTable" Target="fontTable.xml"/><Relationship Id="rId16" Type="http://schemas.openxmlformats.org/officeDocument/2006/relationships/image" Target="media/image7.emf"/><Relationship Id="rId159" Type="http://schemas.openxmlformats.org/officeDocument/2006/relationships/numbering" Target="numbering.xml"/><Relationship Id="rId158" Type="http://schemas.openxmlformats.org/officeDocument/2006/relationships/customXml" Target="../customXml/item1.xml"/><Relationship Id="rId157" Type="http://schemas.openxmlformats.org/officeDocument/2006/relationships/image" Target="media/image123.jpeg"/><Relationship Id="rId156" Type="http://schemas.openxmlformats.org/officeDocument/2006/relationships/image" Target="media/image122.jpeg"/><Relationship Id="rId155" Type="http://schemas.openxmlformats.org/officeDocument/2006/relationships/image" Target="media/image121.jpeg"/><Relationship Id="rId154" Type="http://schemas.openxmlformats.org/officeDocument/2006/relationships/image" Target="media/image120.png"/><Relationship Id="rId153" Type="http://schemas.openxmlformats.org/officeDocument/2006/relationships/image" Target="media/image119.png"/><Relationship Id="rId152" Type="http://schemas.openxmlformats.org/officeDocument/2006/relationships/image" Target="media/image118.emf"/><Relationship Id="rId151" Type="http://schemas.openxmlformats.org/officeDocument/2006/relationships/oleObject" Target="embeddings/oleObject26.bin"/><Relationship Id="rId150" Type="http://schemas.openxmlformats.org/officeDocument/2006/relationships/image" Target="media/image117.emf"/><Relationship Id="rId15" Type="http://schemas.openxmlformats.org/officeDocument/2006/relationships/oleObject" Target="embeddings/oleObject1.bin"/><Relationship Id="rId149" Type="http://schemas.openxmlformats.org/officeDocument/2006/relationships/oleObject" Target="embeddings/oleObject25.bin"/><Relationship Id="rId148" Type="http://schemas.openxmlformats.org/officeDocument/2006/relationships/image" Target="media/image116.emf"/><Relationship Id="rId147" Type="http://schemas.openxmlformats.org/officeDocument/2006/relationships/oleObject" Target="embeddings/oleObject24.bin"/><Relationship Id="rId146" Type="http://schemas.openxmlformats.org/officeDocument/2006/relationships/image" Target="media/image115.emf"/><Relationship Id="rId145" Type="http://schemas.openxmlformats.org/officeDocument/2006/relationships/oleObject" Target="embeddings/oleObject23.bin"/><Relationship Id="rId144" Type="http://schemas.openxmlformats.org/officeDocument/2006/relationships/image" Target="media/image114.jpeg"/><Relationship Id="rId143" Type="http://schemas.openxmlformats.org/officeDocument/2006/relationships/image" Target="media/image113.jpeg"/><Relationship Id="rId142" Type="http://schemas.openxmlformats.org/officeDocument/2006/relationships/image" Target="media/image112.jpeg"/><Relationship Id="rId141" Type="http://schemas.openxmlformats.org/officeDocument/2006/relationships/image" Target="media/image111.jpeg"/><Relationship Id="rId140" Type="http://schemas.openxmlformats.org/officeDocument/2006/relationships/image" Target="media/image110.jpeg"/><Relationship Id="rId14" Type="http://schemas.openxmlformats.org/officeDocument/2006/relationships/image" Target="media/image6.jpeg"/><Relationship Id="rId139" Type="http://schemas.openxmlformats.org/officeDocument/2006/relationships/image" Target="media/image109.jpeg"/><Relationship Id="rId138" Type="http://schemas.openxmlformats.org/officeDocument/2006/relationships/image" Target="media/image108.jpeg"/><Relationship Id="rId137" Type="http://schemas.openxmlformats.org/officeDocument/2006/relationships/image" Target="media/image107.jpeg"/><Relationship Id="rId136" Type="http://schemas.openxmlformats.org/officeDocument/2006/relationships/image" Target="media/image106.jpeg"/><Relationship Id="rId135" Type="http://schemas.openxmlformats.org/officeDocument/2006/relationships/image" Target="media/image105.jpeg"/><Relationship Id="rId134" Type="http://schemas.openxmlformats.org/officeDocument/2006/relationships/image" Target="media/image104.jpeg"/><Relationship Id="rId133" Type="http://schemas.openxmlformats.org/officeDocument/2006/relationships/image" Target="media/image103.jpeg"/><Relationship Id="rId132" Type="http://schemas.openxmlformats.org/officeDocument/2006/relationships/image" Target="media/image102.jpeg"/><Relationship Id="rId131" Type="http://schemas.openxmlformats.org/officeDocument/2006/relationships/image" Target="media/image101.jpeg"/><Relationship Id="rId130" Type="http://schemas.openxmlformats.org/officeDocument/2006/relationships/image" Target="media/image100.jpeg"/><Relationship Id="rId13" Type="http://schemas.openxmlformats.org/officeDocument/2006/relationships/image" Target="media/image5.jpeg"/><Relationship Id="rId129" Type="http://schemas.openxmlformats.org/officeDocument/2006/relationships/image" Target="media/image99.jpeg"/><Relationship Id="rId128" Type="http://schemas.openxmlformats.org/officeDocument/2006/relationships/image" Target="media/image98.jpeg"/><Relationship Id="rId127" Type="http://schemas.openxmlformats.org/officeDocument/2006/relationships/image" Target="media/image97.jpeg"/><Relationship Id="rId126" Type="http://schemas.openxmlformats.org/officeDocument/2006/relationships/image" Target="media/image96.jpeg"/><Relationship Id="rId125" Type="http://schemas.openxmlformats.org/officeDocument/2006/relationships/image" Target="media/image95.jpeg"/><Relationship Id="rId124" Type="http://schemas.openxmlformats.org/officeDocument/2006/relationships/image" Target="media/image94.jpeg"/><Relationship Id="rId123" Type="http://schemas.openxmlformats.org/officeDocument/2006/relationships/image" Target="media/image93.jpeg"/><Relationship Id="rId122" Type="http://schemas.openxmlformats.org/officeDocument/2006/relationships/image" Target="media/image92.jpeg"/><Relationship Id="rId121" Type="http://schemas.openxmlformats.org/officeDocument/2006/relationships/image" Target="media/image91.jpeg"/><Relationship Id="rId120" Type="http://schemas.openxmlformats.org/officeDocument/2006/relationships/image" Target="media/image90.jpeg"/><Relationship Id="rId12" Type="http://schemas.openxmlformats.org/officeDocument/2006/relationships/image" Target="media/image4.jpeg"/><Relationship Id="rId119" Type="http://schemas.openxmlformats.org/officeDocument/2006/relationships/image" Target="media/image89.jpeg"/><Relationship Id="rId118" Type="http://schemas.openxmlformats.org/officeDocument/2006/relationships/image" Target="media/image88.jpeg"/><Relationship Id="rId117" Type="http://schemas.openxmlformats.org/officeDocument/2006/relationships/image" Target="media/image87.jpeg"/><Relationship Id="rId116" Type="http://schemas.openxmlformats.org/officeDocument/2006/relationships/image" Target="media/image86.jpeg"/><Relationship Id="rId115" Type="http://schemas.openxmlformats.org/officeDocument/2006/relationships/image" Target="media/image85.jpeg"/><Relationship Id="rId114" Type="http://schemas.openxmlformats.org/officeDocument/2006/relationships/image" Target="media/image84.jpeg"/><Relationship Id="rId113" Type="http://schemas.openxmlformats.org/officeDocument/2006/relationships/image" Target="media/image83.jpeg"/><Relationship Id="rId112" Type="http://schemas.openxmlformats.org/officeDocument/2006/relationships/image" Target="media/image82.jpeg"/><Relationship Id="rId111" Type="http://schemas.openxmlformats.org/officeDocument/2006/relationships/image" Target="media/image81.jpeg"/><Relationship Id="rId110" Type="http://schemas.openxmlformats.org/officeDocument/2006/relationships/image" Target="media/image80.jpeg"/><Relationship Id="rId11" Type="http://schemas.openxmlformats.org/officeDocument/2006/relationships/image" Target="media/image3.jpeg"/><Relationship Id="rId109" Type="http://schemas.openxmlformats.org/officeDocument/2006/relationships/image" Target="media/image79.jpeg"/><Relationship Id="rId108" Type="http://schemas.openxmlformats.org/officeDocument/2006/relationships/image" Target="media/image78.jpeg"/><Relationship Id="rId107" Type="http://schemas.openxmlformats.org/officeDocument/2006/relationships/image" Target="media/image77.jpeg"/><Relationship Id="rId106" Type="http://schemas.openxmlformats.org/officeDocument/2006/relationships/image" Target="media/image76.jpeg"/><Relationship Id="rId105" Type="http://schemas.openxmlformats.org/officeDocument/2006/relationships/image" Target="media/image75.jpeg"/><Relationship Id="rId104" Type="http://schemas.openxmlformats.org/officeDocument/2006/relationships/image" Target="media/image74.jpeg"/><Relationship Id="rId103" Type="http://schemas.openxmlformats.org/officeDocument/2006/relationships/image" Target="media/image73.png"/><Relationship Id="rId102" Type="http://schemas.openxmlformats.org/officeDocument/2006/relationships/image" Target="media/image72.jpeg"/><Relationship Id="rId101" Type="http://schemas.openxmlformats.org/officeDocument/2006/relationships/image" Target="media/image71.jpeg"/><Relationship Id="rId100" Type="http://schemas.openxmlformats.org/officeDocument/2006/relationships/image" Target="media/image70.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1026"/>
    <customShpInfo spid="_x0000_s1027"/>
    <customShpInfo spid="_x0000_s1050"/>
    <customShpInfo spid="_x0000_s1051"/>
    <customShpInfo spid="_x0000_s1053"/>
    <customShpInfo spid="_x0000_s1034"/>
    <customShpInfo spid="_x0000_s1035"/>
    <customShpInfo spid="_x0000_s1036"/>
    <customShpInfo spid="_x0000_s1038"/>
    <customShpInfo spid="_x0000_s1046"/>
    <customShpInfo spid="_x0000_s1047"/>
    <customShpInfo spid="_x0000_s1048"/>
    <customShpInfo spid="_x0000_s1049"/>
    <customShpInfo spid="_x0000_s1028"/>
    <customShpInfo spid="_x0000_s103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Win10NeT.COM</Company>
  <Pages>320</Pages>
  <Words>33925</Words>
  <Characters>193374</Characters>
  <Lines>1611</Lines>
  <Paragraphs>453</Paragraphs>
  <TotalTime>7</TotalTime>
  <ScaleCrop>false</ScaleCrop>
  <LinksUpToDate>false</LinksUpToDate>
  <CharactersWithSpaces>226846</CharactersWithSpaces>
  <Application>WPS Office_11.1.0.8907_F1E327BC-269C-435d-A152-05C5408002CA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2018-12-11T03:12:00Z</dcterms:created>
  <dc:creator>THINKPAD</dc:creator>
  <cp:lastModifiedBy>Coldness</cp:lastModifiedBy>
  <dcterms:modified xsi:type="dcterms:W3CDTF">2019-08-22T00:57:27Z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2052-11.1.0.8907</vt:lpwstr>
  </property>
</Properties>
</file>