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b/>
          <w:sz w:val="44"/>
          <w:szCs w:val="44"/>
        </w:rPr>
      </w:pPr>
      <w:bookmarkStart w:id="0" w:name="_Toc318376965"/>
      <w:r>
        <w:rPr>
          <w:rFonts w:hint="eastAsia" w:ascii="Times New Roman" w:hAnsi="Times New Roman" w:cs="Times New Roman"/>
          <w:b/>
          <w:sz w:val="44"/>
          <w:szCs w:val="44"/>
        </w:rPr>
        <w:t xml:space="preserve"> </w:t>
      </w:r>
      <w:r>
        <w:rPr>
          <w:rFonts w:ascii="Times New Roman" w:hAnsi="Times New Roman" w:cs="Times New Roman"/>
          <w:b/>
          <w:sz w:val="44"/>
          <w:szCs w:val="44"/>
        </w:rPr>
        <w:t>芜湖新兴铸管有限责任公司</w:t>
      </w:r>
    </w:p>
    <w:p>
      <w:pPr>
        <w:adjustRightInd w:val="0"/>
        <w:snapToGrid w:val="0"/>
        <w:spacing w:line="360" w:lineRule="auto"/>
        <w:jc w:val="center"/>
        <w:rPr>
          <w:rFonts w:ascii="Times New Roman" w:hAnsi="Times New Roman" w:cs="Times New Roman"/>
          <w:b/>
          <w:sz w:val="44"/>
          <w:szCs w:val="44"/>
        </w:rPr>
      </w:pPr>
      <w:r>
        <w:rPr>
          <w:rFonts w:hint="eastAsia" w:ascii="Times New Roman" w:hAnsi="Times New Roman" w:cs="Times New Roman"/>
          <w:b/>
          <w:sz w:val="44"/>
          <w:szCs w:val="44"/>
        </w:rPr>
        <w:t>焦化油库装车区自动消防灭火系统</w:t>
      </w:r>
    </w:p>
    <w:p>
      <w:pPr>
        <w:adjustRightInd w:val="0"/>
        <w:snapToGrid w:val="0"/>
        <w:spacing w:line="360" w:lineRule="auto"/>
        <w:jc w:val="center"/>
        <w:rPr>
          <w:rFonts w:ascii="Times New Roman" w:hAnsi="Times New Roman" w:cs="Times New Roman"/>
          <w:b/>
          <w:sz w:val="44"/>
          <w:szCs w:val="44"/>
        </w:rPr>
      </w:pP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技</w:t>
      </w: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术</w:t>
      </w: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规</w:t>
      </w: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格</w:t>
      </w:r>
    </w:p>
    <w:p>
      <w:pPr>
        <w:adjustRightInd w:val="0"/>
        <w:snapToGrid w:val="0"/>
        <w:spacing w:line="360" w:lineRule="auto"/>
        <w:jc w:val="center"/>
        <w:rPr>
          <w:rFonts w:ascii="Times New Roman" w:hAnsi="Times New Roman" w:cs="Times New Roman"/>
          <w:b/>
          <w:bCs/>
          <w:sz w:val="28"/>
          <w:szCs w:val="28"/>
        </w:rPr>
      </w:pPr>
      <w:r>
        <w:rPr>
          <w:rFonts w:ascii="Times New Roman" w:hAnsi="Times New Roman" w:cs="Times New Roman"/>
          <w:b/>
          <w:sz w:val="44"/>
          <w:szCs w:val="44"/>
        </w:rPr>
        <w:t>书</w:t>
      </w:r>
    </w:p>
    <w:bookmarkEnd w:id="0"/>
    <w:p>
      <w:pPr>
        <w:spacing w:line="560" w:lineRule="exact"/>
        <w:ind w:firstLine="280" w:firstLineChars="100"/>
        <w:rPr>
          <w:rFonts w:ascii="Times New Roman" w:hAnsi="Times New Roman" w:cs="Times New Roman"/>
          <w:sz w:val="28"/>
          <w:szCs w:val="28"/>
        </w:rPr>
      </w:pPr>
      <w:bookmarkStart w:id="1" w:name="_Toc21641"/>
      <w:bookmarkStart w:id="2" w:name="_Toc426550707"/>
    </w:p>
    <w:p>
      <w:pPr>
        <w:spacing w:line="560" w:lineRule="exact"/>
        <w:rPr>
          <w:rFonts w:ascii="Times New Roman" w:hAnsi="Times New Roman" w:cs="Times New Roman"/>
          <w:sz w:val="28"/>
          <w:szCs w:val="28"/>
        </w:rPr>
      </w:pP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设计：</w:t>
      </w: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审核：</w:t>
      </w: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会审：</w:t>
      </w: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批准：</w:t>
      </w:r>
    </w:p>
    <w:p>
      <w:pPr>
        <w:spacing w:line="560" w:lineRule="exact"/>
        <w:jc w:val="center"/>
        <w:rPr>
          <w:rFonts w:ascii="Times New Roman" w:hAnsi="Times New Roman" w:cs="Times New Roman"/>
          <w:sz w:val="28"/>
          <w:szCs w:val="28"/>
        </w:rPr>
      </w:pPr>
    </w:p>
    <w:p>
      <w:pPr>
        <w:spacing w:line="560" w:lineRule="exact"/>
        <w:rPr>
          <w:rFonts w:ascii="Times New Roman" w:hAnsi="Times New Roman" w:cs="Times New Roman"/>
          <w:sz w:val="28"/>
          <w:szCs w:val="28"/>
        </w:rPr>
      </w:pPr>
    </w:p>
    <w:p>
      <w:pPr>
        <w:spacing w:line="560" w:lineRule="exact"/>
        <w:jc w:val="center"/>
        <w:rPr>
          <w:rFonts w:ascii="Times New Roman" w:hAnsi="Times New Roman" w:cs="Times New Roman"/>
          <w:sz w:val="28"/>
          <w:szCs w:val="28"/>
        </w:rPr>
      </w:pP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201</w:t>
      </w:r>
      <w:r>
        <w:rPr>
          <w:rFonts w:hint="eastAsia" w:ascii="Times New Roman" w:hAnsi="Times New Roman" w:cs="Times New Roman"/>
          <w:sz w:val="32"/>
          <w:szCs w:val="32"/>
        </w:rPr>
        <w:t>9</w:t>
      </w:r>
      <w:r>
        <w:rPr>
          <w:rFonts w:ascii="Times New Roman" w:hAnsi="Times New Roman" w:cs="Times New Roman"/>
          <w:sz w:val="32"/>
          <w:szCs w:val="32"/>
        </w:rPr>
        <w:t>年</w:t>
      </w:r>
      <w:r>
        <w:rPr>
          <w:rFonts w:hint="eastAsia" w:ascii="Times New Roman" w:hAnsi="Times New Roman" w:cs="Times New Roman"/>
          <w:sz w:val="32"/>
          <w:szCs w:val="32"/>
        </w:rPr>
        <w:t>0</w:t>
      </w:r>
      <w:r>
        <w:rPr>
          <w:rFonts w:hint="eastAsia" w:ascii="Times New Roman" w:hAnsi="Times New Roman" w:cs="Times New Roman"/>
          <w:sz w:val="32"/>
          <w:szCs w:val="32"/>
          <w:lang w:val="en-US" w:eastAsia="zh-CN"/>
        </w:rPr>
        <w:t>8</w:t>
      </w:r>
      <w:r>
        <w:rPr>
          <w:rFonts w:ascii="Times New Roman" w:hAnsi="Times New Roman" w:cs="Times New Roman"/>
          <w:sz w:val="32"/>
          <w:szCs w:val="32"/>
        </w:rPr>
        <w:t>月</w:t>
      </w:r>
      <w:r>
        <w:rPr>
          <w:rFonts w:hint="eastAsia" w:ascii="Times New Roman" w:hAnsi="Times New Roman" w:cs="Times New Roman"/>
          <w:sz w:val="32"/>
          <w:szCs w:val="32"/>
          <w:lang w:val="en-US" w:eastAsia="zh-CN"/>
        </w:rPr>
        <w:t>02</w:t>
      </w:r>
      <w:r>
        <w:rPr>
          <w:rFonts w:ascii="Times New Roman" w:hAnsi="Times New Roman" w:cs="Times New Roman"/>
          <w:sz w:val="32"/>
          <w:szCs w:val="32"/>
        </w:rPr>
        <w:t>日</w:t>
      </w:r>
    </w:p>
    <w:p>
      <w:pPr>
        <w:spacing w:line="560" w:lineRule="exact"/>
        <w:jc w:val="center"/>
        <w:rPr>
          <w:rFonts w:ascii="Times New Roman" w:hAnsi="Times New Roman" w:cs="Times New Roman"/>
          <w:sz w:val="32"/>
          <w:szCs w:val="32"/>
        </w:rPr>
      </w:pPr>
    </w:p>
    <w:p>
      <w:pPr>
        <w:spacing w:line="560" w:lineRule="exact"/>
        <w:jc w:val="center"/>
        <w:rPr>
          <w:rFonts w:ascii="Times New Roman" w:hAnsi="Times New Roman" w:cs="Times New Roman"/>
          <w:sz w:val="32"/>
          <w:szCs w:val="32"/>
        </w:rPr>
      </w:pPr>
    </w:p>
    <w:p>
      <w:pPr>
        <w:pStyle w:val="5"/>
        <w:shd w:val="clear" w:color="auto" w:fill="FFFFFF" w:themeFill="background1"/>
        <w:tabs>
          <w:tab w:val="left" w:pos="214"/>
        </w:tabs>
        <w:adjustRightInd w:val="0"/>
        <w:snapToGrid w:val="0"/>
        <w:spacing w:line="400" w:lineRule="exact"/>
        <w:rPr>
          <w:rStyle w:val="17"/>
          <w:rFonts w:hint="default" w:ascii="Times New Roman" w:hAnsi="Times New Roman" w:cs="Times New Roman"/>
          <w:bCs w:val="0"/>
          <w:color w:val="auto"/>
          <w:sz w:val="28"/>
          <w:szCs w:val="28"/>
          <w:vertAlign w:val="baseline"/>
        </w:rPr>
      </w:pPr>
      <w:r>
        <w:rPr>
          <w:rStyle w:val="17"/>
          <w:rFonts w:ascii="Times New Roman" w:hAnsi="Times New Roman" w:cs="Times New Roman"/>
          <w:bCs w:val="0"/>
          <w:color w:val="auto"/>
          <w:sz w:val="28"/>
          <w:szCs w:val="28"/>
          <w:vertAlign w:val="baseline"/>
        </w:rPr>
        <w:t xml:space="preserve">1 </w:t>
      </w:r>
      <w:r>
        <w:rPr>
          <w:rStyle w:val="17"/>
          <w:rFonts w:hint="default" w:ascii="Times New Roman" w:hAnsi="Times New Roman" w:cs="Times New Roman"/>
          <w:bCs w:val="0"/>
          <w:color w:val="auto"/>
          <w:sz w:val="28"/>
          <w:szCs w:val="28"/>
          <w:vertAlign w:val="baseline"/>
        </w:rPr>
        <w:t>项目概述</w:t>
      </w:r>
    </w:p>
    <w:p>
      <w:pPr>
        <w:widowControl/>
        <w:shd w:val="clear" w:color="auto" w:fill="FFFFFF" w:themeFill="background1"/>
        <w:adjustRightInd w:val="0"/>
        <w:snapToGrid w:val="0"/>
        <w:spacing w:line="400" w:lineRule="exact"/>
        <w:rPr>
          <w:rFonts w:ascii="Times New Roman" w:hAnsi="Times New Roman" w:cs="Times New Roman"/>
          <w:kern w:val="0"/>
          <w:sz w:val="24"/>
        </w:rPr>
      </w:pPr>
      <w:r>
        <w:rPr>
          <w:rFonts w:hint="eastAsia" w:ascii="Times New Roman" w:hAnsi="Times New Roman" w:cs="Times New Roman"/>
          <w:sz w:val="24"/>
          <w:szCs w:val="21"/>
        </w:rPr>
        <w:t xml:space="preserve">1.1 </w:t>
      </w:r>
      <w:r>
        <w:rPr>
          <w:rFonts w:ascii="Times New Roman" w:hAnsi="Times New Roman" w:cs="Times New Roman"/>
          <w:sz w:val="24"/>
          <w:szCs w:val="21"/>
        </w:rPr>
        <w:t>芜湖新兴铸管有限责任公司</w:t>
      </w:r>
      <w:r>
        <w:rPr>
          <w:rFonts w:hint="eastAsia" w:ascii="Times New Roman" w:hAnsi="Times New Roman" w:cs="Times New Roman"/>
          <w:sz w:val="24"/>
          <w:szCs w:val="21"/>
        </w:rPr>
        <w:t>焦化油库装车区新增一套自动消防灭火系统</w:t>
      </w:r>
      <w:r>
        <w:rPr>
          <w:rFonts w:ascii="Times New Roman" w:hAnsi="Times New Roman" w:cs="Times New Roman"/>
          <w:kern w:val="0"/>
          <w:sz w:val="24"/>
        </w:rPr>
        <w:t>。</w:t>
      </w:r>
    </w:p>
    <w:p>
      <w:pPr>
        <w:widowControl/>
        <w:shd w:val="clear" w:color="auto" w:fill="FFFFFF" w:themeFill="background1"/>
        <w:adjustRightInd w:val="0"/>
        <w:snapToGrid w:val="0"/>
        <w:spacing w:line="400" w:lineRule="exact"/>
        <w:rPr>
          <w:rFonts w:ascii="Times New Roman" w:hAnsi="Times New Roman" w:cs="Times New Roman"/>
          <w:sz w:val="24"/>
          <w:szCs w:val="21"/>
        </w:rPr>
      </w:pPr>
      <w:r>
        <w:rPr>
          <w:rFonts w:hint="eastAsia" w:ascii="Times New Roman" w:hAnsi="Times New Roman" w:cs="Times New Roman"/>
          <w:sz w:val="24"/>
          <w:szCs w:val="21"/>
        </w:rPr>
        <w:t xml:space="preserve">1.2 </w:t>
      </w:r>
      <w:r>
        <w:rPr>
          <w:rFonts w:ascii="Times New Roman" w:hAnsi="Times New Roman" w:cs="Times New Roman"/>
          <w:sz w:val="24"/>
          <w:szCs w:val="21"/>
        </w:rPr>
        <w:t>本工程投标方负责项目的整体设计、设备</w:t>
      </w:r>
      <w:r>
        <w:rPr>
          <w:rFonts w:hint="eastAsia" w:ascii="Times New Roman" w:hAnsi="Times New Roman" w:cs="Times New Roman"/>
          <w:sz w:val="24"/>
          <w:szCs w:val="21"/>
        </w:rPr>
        <w:t>及材料</w:t>
      </w:r>
      <w:r>
        <w:rPr>
          <w:rFonts w:ascii="Times New Roman" w:hAnsi="Times New Roman" w:cs="Times New Roman"/>
          <w:sz w:val="24"/>
          <w:szCs w:val="21"/>
        </w:rPr>
        <w:t>供货、</w:t>
      </w:r>
      <w:r>
        <w:rPr>
          <w:rFonts w:hint="eastAsia" w:ascii="Times New Roman" w:hAnsi="Times New Roman" w:cs="Times New Roman"/>
          <w:sz w:val="24"/>
          <w:szCs w:val="21"/>
        </w:rPr>
        <w:t>安装、</w:t>
      </w:r>
      <w:r>
        <w:rPr>
          <w:rFonts w:ascii="Times New Roman" w:hAnsi="Times New Roman" w:cs="Times New Roman"/>
          <w:sz w:val="24"/>
          <w:szCs w:val="21"/>
        </w:rPr>
        <w:t>调试、培训及资料交付</w:t>
      </w:r>
      <w:r>
        <w:rPr>
          <w:rFonts w:hint="eastAsia" w:ascii="Times New Roman" w:hAnsi="Times New Roman" w:cs="Times New Roman"/>
          <w:sz w:val="24"/>
          <w:szCs w:val="21"/>
        </w:rPr>
        <w:t>。</w:t>
      </w:r>
    </w:p>
    <w:p>
      <w:pPr>
        <w:widowControl/>
        <w:shd w:val="clear" w:color="auto" w:fill="FFFFFF" w:themeFill="background1"/>
        <w:adjustRightInd w:val="0"/>
        <w:snapToGrid w:val="0"/>
        <w:spacing w:line="400" w:lineRule="exact"/>
        <w:rPr>
          <w:rFonts w:ascii="Times New Roman" w:hAnsi="Times New Roman" w:cs="Times New Roman"/>
          <w:sz w:val="24"/>
          <w:szCs w:val="21"/>
        </w:rPr>
      </w:pPr>
      <w:r>
        <w:rPr>
          <w:rFonts w:hint="eastAsia" w:ascii="Times New Roman" w:hAnsi="Times New Roman" w:cs="Times New Roman"/>
          <w:sz w:val="24"/>
          <w:szCs w:val="21"/>
        </w:rPr>
        <w:t>1.3 焦化化产工序油库存储粗苯、焦油、洗油、液碱、浓硫酸等易燃易爆危险化学品，投产初期安全技防查，油库装车为人工手动装车，区域缺少技术安全事故应急处置自动化设备</w:t>
      </w:r>
      <w:r>
        <w:rPr>
          <w:rFonts w:ascii="Times New Roman" w:hAnsi="Times New Roman" w:cs="Times New Roman"/>
          <w:sz w:val="24"/>
          <w:szCs w:val="21"/>
        </w:rPr>
        <w:t>。</w:t>
      </w:r>
      <w:r>
        <w:rPr>
          <w:rFonts w:hint="eastAsia" w:ascii="Times New Roman" w:hAnsi="Times New Roman" w:cs="Times New Roman"/>
          <w:sz w:val="24"/>
          <w:szCs w:val="21"/>
        </w:rPr>
        <w:t>为了提高油库装车突发火灾安全技术防护水平，对重大危险源粗苯、焦油装车过程事故应急有效管控，特增加一套自动检测消防火灾灭火系统。</w:t>
      </w:r>
    </w:p>
    <w:p>
      <w:pPr>
        <w:widowControl/>
        <w:shd w:val="clear" w:color="auto" w:fill="FFFFFF" w:themeFill="background1"/>
        <w:adjustRightInd w:val="0"/>
        <w:snapToGrid w:val="0"/>
        <w:spacing w:line="400" w:lineRule="exact"/>
        <w:rPr>
          <w:rFonts w:ascii="Times New Roman" w:hAnsi="Times New Roman" w:cs="Times New Roman"/>
          <w:sz w:val="24"/>
          <w:szCs w:val="21"/>
        </w:rPr>
      </w:pPr>
      <w:r>
        <w:rPr>
          <w:rFonts w:hint="eastAsia" w:ascii="Times New Roman" w:hAnsi="Times New Roman" w:cs="Times New Roman"/>
          <w:sz w:val="24"/>
          <w:szCs w:val="21"/>
        </w:rPr>
        <w:t>1.4  招标方在本招标文件中提出了最低限度的技术要求，并未规定所有的设计与技术要求、安装细节和适用的标准，投标方负责在投标书中提供一套满足本招标文件和所列标准要求的高质量产品及其相应服务，并必须满足国家有关安全、环保、消防等强制性标准的要求。</w:t>
      </w:r>
    </w:p>
    <w:p>
      <w:pPr>
        <w:pStyle w:val="5"/>
        <w:shd w:val="clear" w:color="auto" w:fill="FFFFFF" w:themeFill="background1"/>
        <w:tabs>
          <w:tab w:val="left" w:pos="214"/>
        </w:tabs>
        <w:adjustRightInd w:val="0"/>
        <w:snapToGrid w:val="0"/>
        <w:spacing w:line="400" w:lineRule="exact"/>
        <w:rPr>
          <w:rStyle w:val="17"/>
          <w:rFonts w:hint="default" w:ascii="Times New Roman" w:hAnsi="Times New Roman" w:cs="Times New Roman"/>
          <w:bCs w:val="0"/>
          <w:color w:val="auto"/>
          <w:sz w:val="28"/>
          <w:szCs w:val="28"/>
          <w:vertAlign w:val="baseline"/>
        </w:rPr>
      </w:pPr>
      <w:r>
        <w:rPr>
          <w:rStyle w:val="17"/>
          <w:rFonts w:ascii="Times New Roman" w:hAnsi="Times New Roman" w:cs="Times New Roman"/>
          <w:bCs w:val="0"/>
          <w:color w:val="auto"/>
          <w:sz w:val="28"/>
          <w:szCs w:val="28"/>
          <w:vertAlign w:val="baseline"/>
        </w:rPr>
        <w:t>2</w:t>
      </w:r>
      <w:r>
        <w:rPr>
          <w:rStyle w:val="17"/>
          <w:rFonts w:hint="default" w:ascii="Times New Roman" w:hAnsi="Times New Roman" w:cs="Times New Roman"/>
          <w:bCs w:val="0"/>
          <w:color w:val="auto"/>
          <w:sz w:val="28"/>
          <w:szCs w:val="28"/>
          <w:vertAlign w:val="baseline"/>
        </w:rPr>
        <w:t xml:space="preserve"> 标准和规范</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焦化油库装车区自动检测消防火灾灭火系统的设计、调试、验收、监制应满足以下规范和标准</w:t>
      </w:r>
      <w:r>
        <w:rPr>
          <w:rFonts w:hint="eastAsia" w:ascii="宋体" w:hAnsi="宋体"/>
          <w:sz w:val="24"/>
        </w:rPr>
        <w:t>(但不限于以下标准)如下</w:t>
      </w:r>
      <w:r>
        <w:rPr>
          <w:rFonts w:ascii="Times New Roman" w:hAnsi="Times New Roman" w:cs="Times New Roman"/>
          <w:sz w:val="24"/>
          <w:szCs w:val="21"/>
        </w:rPr>
        <w:t>：</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《火灾自动报警系统设计规范》（GB50116-2013）</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《建筑设计防火规范》(GB 50016-2014)</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《固定消防炮灭火系统设计规范》（GB50338-20</w:t>
      </w:r>
      <w:r>
        <w:rPr>
          <w:rFonts w:hint="eastAsia" w:ascii="Times New Roman" w:hAnsi="Times New Roman" w:cs="Times New Roman"/>
          <w:sz w:val="24"/>
          <w:szCs w:val="21"/>
        </w:rPr>
        <w:t>16</w:t>
      </w:r>
      <w:r>
        <w:rPr>
          <w:rFonts w:ascii="Times New Roman" w:hAnsi="Times New Roman" w:cs="Times New Roman"/>
          <w:sz w:val="24"/>
          <w:szCs w:val="21"/>
        </w:rPr>
        <w:t>）</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《民用建筑电气防火设计规程》  (DG/TJ08-2048-20</w:t>
      </w:r>
      <w:r>
        <w:rPr>
          <w:rFonts w:hint="eastAsia" w:ascii="Times New Roman" w:hAnsi="Times New Roman" w:cs="Times New Roman"/>
          <w:sz w:val="24"/>
          <w:szCs w:val="21"/>
        </w:rPr>
        <w:t>16</w:t>
      </w:r>
      <w:r>
        <w:rPr>
          <w:rFonts w:ascii="Times New Roman" w:hAnsi="Times New Roman" w:cs="Times New Roman"/>
          <w:sz w:val="24"/>
          <w:szCs w:val="21"/>
        </w:rPr>
        <w:t>）；</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《爆炸性环境 第1部分：设备 通用要求》(GB3836.1-2010)</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《爆炸性环境 第2部分：由隔爆外壳“d”保护的设备》（GB3836.1-2010）</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《消防炮通用技术条件》（GB19156-2003）</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以上标准若有更新，则以最新版本为准。</w:t>
      </w:r>
      <w:r>
        <w:rPr>
          <w:rFonts w:hint="eastAsia" w:ascii="Times New Roman" w:hAnsi="Times New Roman" w:cs="Times New Roman"/>
          <w:sz w:val="24"/>
          <w:szCs w:val="21"/>
        </w:rPr>
        <w:t>投标</w:t>
      </w:r>
      <w:r>
        <w:rPr>
          <w:rFonts w:ascii="Times New Roman" w:hAnsi="Times New Roman" w:cs="Times New Roman"/>
          <w:sz w:val="24"/>
          <w:szCs w:val="21"/>
        </w:rPr>
        <w:t>方提供的所有系统中的消防设备必须是经中国国家消防装备质量监督检验中心检验合格的产品，并且所有的产品及系统设计均应取得地方消防部门认可。</w:t>
      </w:r>
    </w:p>
    <w:p>
      <w:pPr>
        <w:widowControl/>
        <w:shd w:val="clear" w:color="auto" w:fill="FFFFFF" w:themeFill="background1"/>
        <w:adjustRightInd w:val="0"/>
        <w:snapToGrid w:val="0"/>
        <w:spacing w:line="400" w:lineRule="exact"/>
        <w:rPr>
          <w:rStyle w:val="17"/>
          <w:rFonts w:hint="default" w:ascii="Times New Roman" w:hAnsi="Times New Roman" w:cs="Times New Roman"/>
          <w:b/>
          <w:color w:val="auto"/>
          <w:sz w:val="28"/>
          <w:szCs w:val="28"/>
          <w:vertAlign w:val="baseline"/>
        </w:rPr>
      </w:pPr>
      <w:r>
        <w:rPr>
          <w:rStyle w:val="17"/>
          <w:rFonts w:ascii="Times New Roman" w:hAnsi="Times New Roman" w:cs="Times New Roman"/>
          <w:b/>
          <w:color w:val="auto"/>
          <w:sz w:val="28"/>
          <w:szCs w:val="28"/>
          <w:vertAlign w:val="baseline"/>
        </w:rPr>
        <w:t>3 系统主要设备</w:t>
      </w:r>
    </w:p>
    <w:p>
      <w:pPr>
        <w:widowControl/>
        <w:shd w:val="clear" w:color="auto" w:fill="FFFFFF" w:themeFill="background1"/>
        <w:adjustRightInd w:val="0"/>
        <w:snapToGrid w:val="0"/>
        <w:spacing w:line="400" w:lineRule="exact"/>
        <w:rPr>
          <w:rFonts w:ascii="Times New Roman" w:hAnsi="Times New Roman" w:cs="Times New Roman"/>
          <w:bCs/>
          <w:sz w:val="24"/>
        </w:rPr>
      </w:pPr>
      <w:r>
        <w:rPr>
          <w:rFonts w:hint="eastAsia" w:ascii="Times New Roman" w:hAnsi="Times New Roman" w:cs="Times New Roman"/>
          <w:sz w:val="24"/>
          <w:szCs w:val="21"/>
        </w:rPr>
        <w:t>3.1 自动检测消防火灾灭火系统主要</w:t>
      </w:r>
      <w:r>
        <w:rPr>
          <w:rFonts w:hint="eastAsia" w:ascii="Times New Roman" w:hAnsi="Times New Roman" w:cs="Times New Roman"/>
          <w:bCs/>
          <w:sz w:val="24"/>
        </w:rPr>
        <w:t>由下列设备组成：自动跟踪定位射流灭火装置、消防炮塔、消防水箱、防爆电气控制箱、防爆图像火灾探测器、防爆红紫外探测器、联动控制柜、操控电脑、防爆消防高压水泵、压力式比例混合装置、全自动柴油发电机等。</w:t>
      </w:r>
    </w:p>
    <w:p>
      <w:pPr>
        <w:widowControl/>
        <w:shd w:val="clear" w:color="auto" w:fill="FFFFFF" w:themeFill="background1"/>
        <w:adjustRightInd w:val="0"/>
        <w:snapToGrid w:val="0"/>
        <w:spacing w:line="400" w:lineRule="exact"/>
        <w:rPr>
          <w:rFonts w:ascii="Times New Roman" w:hAnsi="Times New Roman" w:cs="Times New Roman"/>
          <w:b/>
          <w:sz w:val="24"/>
        </w:rPr>
      </w:pPr>
      <w:r>
        <w:rPr>
          <w:rFonts w:hint="eastAsia" w:ascii="Times New Roman" w:hAnsi="Times New Roman" w:cs="Times New Roman"/>
          <w:bCs/>
          <w:sz w:val="24"/>
        </w:rPr>
        <w:t xml:space="preserve">3.2 </w:t>
      </w:r>
      <w:r>
        <w:rPr>
          <w:rFonts w:hint="eastAsia"/>
          <w:bCs/>
          <w:sz w:val="24"/>
        </w:rPr>
        <w:t>自动跟踪定位射流灭火装置（防爆自动泡沫水两用炮）</w:t>
      </w:r>
      <w:r>
        <w:rPr>
          <w:rFonts w:hint="eastAsia"/>
          <w:bCs/>
          <w:sz w:val="30"/>
          <w:szCs w:val="30"/>
        </w:rPr>
        <w:t xml:space="preserve">  </w:t>
      </w:r>
      <w:r>
        <w:rPr>
          <w:rFonts w:hint="eastAsia"/>
          <w:b/>
          <w:sz w:val="30"/>
          <w:szCs w:val="30"/>
        </w:rPr>
        <w:t xml:space="preserve"> </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自动跟踪定位射流灭火装置（消防炮）是一种流量大、射程远的高效消防灭火产品。该消防炮需配合防爆图像火灾探测器、防爆红紫外探测器等，全天候自动对焦化油库装车区进行主动探测，一旦发现火灾，立即启动，同时发出报警信号，联动防爆消防电动阀、防爆消防高压水泵、防爆现场控制箱等配套设备，对着火点实施定点喷射泡沫灭火，火灭后自动停止，如有复燃，重新启动。</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消防炮可根据着火点远近及大小手动调整喷嘴的喷射角度，保证定位准确，消防炮能在水平和垂直方向进行大角度的旋转调节，以保护在其保护范围内的立体空间。可以通过视频集中联动控制柜或灭火装置现场控制箱进行自／手动控制：</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①自动状态下，装置完成定位后，发出报警信号，联动电动阀、水泵等配套设备喷水灭火，火灾扑灭后自动关闭电动阀，水泵。如有复燃，重复所有动作。</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②手动状态下，装置完成定位后，发出报警信号，此时，需通过灭火装置现场控制箱或消防炮内的摄像头传输到控制中心的现场画面确认火情，人工打开电动阀、水泵等配套设备喷水灭火，同时可以对装置进行水平、垂直调整以及复位等操作。</w:t>
      </w:r>
    </w:p>
    <w:p>
      <w:pPr>
        <w:widowControl/>
        <w:shd w:val="clear" w:color="auto" w:fill="FFFFFF" w:themeFill="background1"/>
        <w:adjustRightInd w:val="0"/>
        <w:snapToGrid w:val="0"/>
        <w:spacing w:line="400" w:lineRule="exact"/>
        <w:ind w:firstLine="480" w:firstLineChars="200"/>
        <w:rPr>
          <w:rFonts w:ascii="Times New Roman" w:hAnsi="Times New Roman" w:cs="Times New Roman"/>
          <w:bCs/>
          <w:sz w:val="24"/>
        </w:rPr>
      </w:pPr>
      <w:r>
        <w:rPr>
          <w:rFonts w:hint="eastAsia" w:ascii="Times New Roman" w:hAnsi="Times New Roman" w:cs="Times New Roman"/>
          <w:bCs/>
          <w:sz w:val="24"/>
        </w:rPr>
        <w:t>技术参数如下：</w:t>
      </w:r>
    </w:p>
    <w:p>
      <w:pPr>
        <w:pStyle w:val="19"/>
        <w:shd w:val="clear" w:color="auto" w:fill="FFFFFF" w:themeFill="background1"/>
        <w:adjustRightInd w:val="0"/>
        <w:snapToGrid w:val="0"/>
        <w:spacing w:line="400" w:lineRule="exact"/>
        <w:ind w:right="615" w:rightChars="293" w:firstLine="480" w:firstLineChars="200"/>
        <w:rPr>
          <w:rFonts w:ascii="Times New Roman" w:hAnsi="Times New Roman" w:cs="Times New Roman"/>
          <w:bCs/>
          <w:sz w:val="24"/>
          <w:szCs w:val="24"/>
        </w:rPr>
      </w:pPr>
      <w:r>
        <w:rPr>
          <w:rFonts w:hint="eastAsia" w:ascii="Times New Roman" w:hAnsi="Times New Roman" w:cs="Times New Roman"/>
          <w:bCs/>
          <w:sz w:val="24"/>
          <w:szCs w:val="24"/>
        </w:rPr>
        <w:t>流量：30L/s</w:t>
      </w:r>
    </w:p>
    <w:p>
      <w:pPr>
        <w:pStyle w:val="19"/>
        <w:shd w:val="clear" w:color="auto" w:fill="FFFFFF" w:themeFill="background1"/>
        <w:adjustRightInd w:val="0"/>
        <w:snapToGrid w:val="0"/>
        <w:spacing w:line="400" w:lineRule="exact"/>
        <w:ind w:right="615" w:rightChars="293" w:firstLine="480" w:firstLineChars="200"/>
        <w:rPr>
          <w:rFonts w:ascii="Times New Roman" w:hAnsi="Times New Roman" w:cs="Times New Roman"/>
          <w:bCs/>
          <w:sz w:val="24"/>
          <w:szCs w:val="24"/>
        </w:rPr>
      </w:pPr>
      <w:r>
        <w:rPr>
          <w:rFonts w:hint="eastAsia" w:ascii="Times New Roman" w:hAnsi="Times New Roman" w:cs="Times New Roman"/>
          <w:bCs/>
          <w:sz w:val="24"/>
          <w:szCs w:val="24"/>
        </w:rPr>
        <w:t>额定工作压力：0.8MPa</w:t>
      </w:r>
    </w:p>
    <w:p>
      <w:pPr>
        <w:pStyle w:val="19"/>
        <w:shd w:val="clear" w:color="auto" w:fill="FFFFFF" w:themeFill="background1"/>
        <w:adjustRightInd w:val="0"/>
        <w:snapToGrid w:val="0"/>
        <w:spacing w:line="400" w:lineRule="exact"/>
        <w:ind w:right="615" w:rightChars="293" w:firstLine="480" w:firstLineChars="200"/>
        <w:rPr>
          <w:rFonts w:ascii="Times New Roman" w:hAnsi="Times New Roman" w:cs="Times New Roman"/>
          <w:bCs/>
          <w:sz w:val="24"/>
          <w:szCs w:val="24"/>
        </w:rPr>
      </w:pPr>
      <w:r>
        <w:rPr>
          <w:rFonts w:hint="eastAsia" w:ascii="Times New Roman" w:hAnsi="Times New Roman" w:cs="Times New Roman"/>
          <w:bCs/>
          <w:sz w:val="24"/>
          <w:szCs w:val="24"/>
        </w:rPr>
        <w:t>最大保护半径：≥55m</w:t>
      </w:r>
    </w:p>
    <w:p>
      <w:pPr>
        <w:pStyle w:val="19"/>
        <w:shd w:val="clear" w:color="auto" w:fill="FFFFFF" w:themeFill="background1"/>
        <w:adjustRightInd w:val="0"/>
        <w:snapToGrid w:val="0"/>
        <w:spacing w:line="400" w:lineRule="exact"/>
        <w:ind w:right="615" w:rightChars="293" w:firstLine="480" w:firstLineChars="200"/>
        <w:rPr>
          <w:rFonts w:ascii="Times New Roman" w:hAnsi="Times New Roman" w:cs="Times New Roman"/>
          <w:bCs/>
          <w:sz w:val="24"/>
          <w:szCs w:val="24"/>
        </w:rPr>
      </w:pPr>
      <w:r>
        <w:rPr>
          <w:rFonts w:hint="eastAsia" w:ascii="Times New Roman" w:hAnsi="Times New Roman" w:cs="Times New Roman"/>
          <w:bCs/>
          <w:sz w:val="24"/>
          <w:szCs w:val="24"/>
        </w:rPr>
        <w:t>水平旋转角度：0°～360°</w:t>
      </w:r>
    </w:p>
    <w:p>
      <w:pPr>
        <w:pStyle w:val="19"/>
        <w:shd w:val="clear" w:color="auto" w:fill="FFFFFF" w:themeFill="background1"/>
        <w:adjustRightInd w:val="0"/>
        <w:snapToGrid w:val="0"/>
        <w:spacing w:line="400" w:lineRule="exact"/>
        <w:ind w:right="615" w:rightChars="293" w:firstLine="480" w:firstLineChars="200"/>
        <w:rPr>
          <w:rFonts w:ascii="Times New Roman" w:hAnsi="Times New Roman" w:cs="Times New Roman"/>
          <w:bCs/>
          <w:sz w:val="24"/>
          <w:szCs w:val="24"/>
        </w:rPr>
      </w:pPr>
      <w:r>
        <w:rPr>
          <w:rFonts w:hint="eastAsia" w:ascii="Times New Roman" w:hAnsi="Times New Roman" w:cs="Times New Roman"/>
          <w:bCs/>
          <w:sz w:val="24"/>
          <w:szCs w:val="24"/>
        </w:rPr>
        <w:t>垂直旋转角度：-90°～＋30°</w:t>
      </w:r>
    </w:p>
    <w:p>
      <w:pPr>
        <w:pStyle w:val="19"/>
        <w:shd w:val="clear" w:color="auto" w:fill="FFFFFF" w:themeFill="background1"/>
        <w:adjustRightInd w:val="0"/>
        <w:snapToGrid w:val="0"/>
        <w:spacing w:line="400" w:lineRule="exact"/>
        <w:ind w:right="615" w:rightChars="293" w:firstLine="480" w:firstLineChars="200"/>
        <w:rPr>
          <w:rFonts w:ascii="Times New Roman" w:hAnsi="Times New Roman" w:cs="Times New Roman"/>
          <w:bCs/>
          <w:sz w:val="24"/>
          <w:szCs w:val="24"/>
        </w:rPr>
      </w:pPr>
      <w:r>
        <w:rPr>
          <w:rFonts w:hint="eastAsia" w:ascii="Times New Roman" w:hAnsi="Times New Roman" w:cs="Times New Roman"/>
          <w:bCs/>
          <w:sz w:val="24"/>
          <w:szCs w:val="24"/>
        </w:rPr>
        <w:t>通讯方式：RS485</w:t>
      </w:r>
    </w:p>
    <w:p>
      <w:pPr>
        <w:pStyle w:val="19"/>
        <w:shd w:val="clear" w:color="auto" w:fill="FFFFFF" w:themeFill="background1"/>
        <w:adjustRightInd w:val="0"/>
        <w:snapToGrid w:val="0"/>
        <w:spacing w:line="400" w:lineRule="exact"/>
        <w:ind w:right="615" w:rightChars="293" w:firstLine="480" w:firstLineChars="200"/>
        <w:rPr>
          <w:rFonts w:ascii="Times New Roman" w:hAnsi="Times New Roman" w:cs="Times New Roman"/>
          <w:bCs/>
          <w:sz w:val="24"/>
          <w:szCs w:val="24"/>
        </w:rPr>
      </w:pPr>
      <w:r>
        <w:rPr>
          <w:rFonts w:hint="eastAsia" w:ascii="Times New Roman" w:hAnsi="Times New Roman" w:cs="Times New Roman"/>
          <w:bCs/>
          <w:sz w:val="24"/>
          <w:szCs w:val="24"/>
        </w:rPr>
        <w:t>工作环境：满足气候条件</w:t>
      </w:r>
    </w:p>
    <w:p>
      <w:pPr>
        <w:pStyle w:val="19"/>
        <w:shd w:val="clear" w:color="auto" w:fill="FFFFFF" w:themeFill="background1"/>
        <w:adjustRightInd w:val="0"/>
        <w:snapToGrid w:val="0"/>
        <w:spacing w:line="400" w:lineRule="exact"/>
        <w:ind w:right="615" w:rightChars="293"/>
        <w:rPr>
          <w:rFonts w:ascii="Times New Roman" w:hAnsi="Times New Roman" w:cs="Times New Roman"/>
          <w:bCs/>
          <w:sz w:val="24"/>
          <w:szCs w:val="24"/>
        </w:rPr>
      </w:pPr>
      <w:r>
        <w:rPr>
          <w:rFonts w:hint="eastAsia" w:ascii="Times New Roman" w:hAnsi="Times New Roman" w:cs="Times New Roman"/>
          <w:bCs/>
          <w:sz w:val="24"/>
          <w:szCs w:val="24"/>
        </w:rPr>
        <w:t>3.3 防爆电气控制箱</w:t>
      </w:r>
    </w:p>
    <w:p>
      <w:pPr>
        <w:tabs>
          <w:tab w:val="left" w:pos="840"/>
        </w:tabs>
        <w:adjustRightInd w:val="0"/>
        <w:snapToGrid w:val="0"/>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防爆电气控制箱与消防炮采用一对一配对手动操作使用。控制箱面板上设有阀开、阀关、俯、仰、左、右等按键，用来控制阀门的开关以及消防炮的上下左右转动。另外设有电源、手动/自动两个开关。</w:t>
      </w:r>
    </w:p>
    <w:p>
      <w:pPr>
        <w:tabs>
          <w:tab w:val="left" w:pos="840"/>
        </w:tabs>
        <w:adjustRightInd w:val="0"/>
        <w:snapToGrid w:val="0"/>
        <w:spacing w:line="400" w:lineRule="exact"/>
        <w:rPr>
          <w:rFonts w:ascii="Times New Roman" w:hAnsi="Times New Roman" w:cs="Times New Roman"/>
          <w:sz w:val="24"/>
        </w:rPr>
      </w:pPr>
      <w:r>
        <w:rPr>
          <w:rFonts w:hint="eastAsia" w:ascii="Times New Roman" w:hAnsi="Times New Roman" w:cs="Times New Roman"/>
          <w:sz w:val="24"/>
        </w:rPr>
        <w:t xml:space="preserve">3.4 </w:t>
      </w:r>
      <w:r>
        <w:rPr>
          <w:rFonts w:hint="eastAsia" w:ascii="Times New Roman" w:hAnsi="Times New Roman" w:cs="Times New Roman"/>
          <w:sz w:val="24"/>
          <w:szCs w:val="21"/>
        </w:rPr>
        <w:t>灭火装置视频集中</w:t>
      </w:r>
      <w:r>
        <w:rPr>
          <w:rFonts w:hint="eastAsia" w:ascii="Times New Roman" w:hAnsi="Times New Roman" w:cs="Times New Roman"/>
          <w:sz w:val="24"/>
        </w:rPr>
        <w:t>联动控制柜</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灭火装置视频集中联动控制柜以CAN总线的方式管理灭火装置现场控制箱,每台灭火装置视频集中联动控制柜可以控制多台灭火装置现场控制箱（最多可控制50台），每台灭火装置现场控制箱以RS485总线的方式管理一个防火分区最多1台智能定位灭火装置。该主机可以通过安防等系统查看现场火情，并手动控制灭火装置进行灭火。本集中控制主机可以实时记录现场信号。集中</w:t>
      </w:r>
      <w:r>
        <w:rPr>
          <w:rFonts w:hint="eastAsia" w:ascii="Times New Roman" w:hAnsi="Times New Roman" w:cs="Times New Roman"/>
          <w:sz w:val="24"/>
        </w:rPr>
        <w:t>联动控制柜</w:t>
      </w:r>
      <w:r>
        <w:rPr>
          <w:rFonts w:hint="eastAsia" w:ascii="Times New Roman" w:hAnsi="Times New Roman" w:cs="Times New Roman"/>
          <w:sz w:val="24"/>
          <w:szCs w:val="21"/>
        </w:rPr>
        <w:t>主机拟安装在焦化部办公楼一楼消防控制室，需将控制信号及监控视频引入二楼中控大屏，中控人员能进行操作和监视。</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性能特点：</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可直观显示现场任意一台灭火装置和电动阀的运行状态和报警、故障信息；</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配置火灾报警集成软件，可与任何厂家的火灾自动报警系统进行火警联动；</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配置灭火装置远程控制软件，可远程对现场任意一门灭火装置进行纯手动水平、垂直定位；</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可远程对现场任意一个电动阀进行打开或关闭控制；</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带安全监控软件，可远程对现场进行实时的视频监控，同时具有防火灭火监控功能，是一款性价比最高的产品；</w:t>
      </w:r>
    </w:p>
    <w:p>
      <w:pPr>
        <w:tabs>
          <w:tab w:val="left" w:pos="840"/>
        </w:tabs>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带图像火灾处理软件，当现场灭火装置报警后，主机会自动弹出现场火警画面，并自动开启录像进行记录，具备视频录像、回放功能。</w:t>
      </w:r>
    </w:p>
    <w:p>
      <w:pPr>
        <w:tabs>
          <w:tab w:val="left" w:pos="840"/>
        </w:tabs>
        <w:adjustRightInd w:val="0"/>
        <w:snapToGrid w:val="0"/>
        <w:spacing w:line="400" w:lineRule="exact"/>
        <w:rPr>
          <w:rFonts w:ascii="Times New Roman" w:hAnsi="Times New Roman" w:cs="Times New Roman"/>
          <w:sz w:val="24"/>
          <w:szCs w:val="21"/>
        </w:rPr>
      </w:pPr>
      <w:r>
        <w:rPr>
          <w:rFonts w:hint="eastAsia" w:ascii="Times New Roman" w:hAnsi="Times New Roman" w:cs="Times New Roman"/>
          <w:sz w:val="24"/>
          <w:szCs w:val="21"/>
        </w:rPr>
        <w:t>3.5 防爆红紫外探测器</w:t>
      </w:r>
    </w:p>
    <w:p>
      <w:pPr>
        <w:tabs>
          <w:tab w:val="left" w:pos="840"/>
        </w:tabs>
        <w:adjustRightInd w:val="0"/>
        <w:snapToGrid w:val="0"/>
        <w:spacing w:line="400" w:lineRule="exact"/>
        <w:ind w:firstLine="480"/>
        <w:rPr>
          <w:rFonts w:ascii="Times New Roman" w:hAnsi="Times New Roman" w:cs="Times New Roman"/>
          <w:sz w:val="24"/>
          <w:szCs w:val="21"/>
        </w:rPr>
      </w:pPr>
      <w:r>
        <w:rPr>
          <w:rFonts w:hint="eastAsia" w:ascii="Times New Roman" w:hAnsi="Times New Roman" w:cs="Times New Roman"/>
          <w:sz w:val="24"/>
          <w:szCs w:val="21"/>
        </w:rPr>
        <w:t>本探测器可实现对火焰信号的快速响应和准确识别。本探测器采用非接触式探测，灵敏度现场可调，与自动检测消防火灾灭火系统相连接。</w:t>
      </w:r>
    </w:p>
    <w:p>
      <w:pPr>
        <w:tabs>
          <w:tab w:val="left" w:pos="840"/>
        </w:tabs>
        <w:adjustRightInd w:val="0"/>
        <w:snapToGrid w:val="0"/>
        <w:spacing w:line="400" w:lineRule="exact"/>
        <w:rPr>
          <w:rFonts w:ascii="Times New Roman" w:hAnsi="Times New Roman" w:cs="Times New Roman"/>
          <w:bCs/>
          <w:sz w:val="24"/>
        </w:rPr>
      </w:pPr>
      <w:r>
        <w:rPr>
          <w:rFonts w:hint="eastAsia" w:ascii="Times New Roman" w:hAnsi="Times New Roman" w:cs="Times New Roman"/>
          <w:sz w:val="24"/>
          <w:szCs w:val="21"/>
        </w:rPr>
        <w:t xml:space="preserve">3.6 </w:t>
      </w:r>
      <w:r>
        <w:rPr>
          <w:rFonts w:hint="eastAsia" w:ascii="Times New Roman" w:hAnsi="Times New Roman" w:cs="Times New Roman"/>
          <w:bCs/>
          <w:sz w:val="24"/>
        </w:rPr>
        <w:t>防爆图像火灾探测器</w:t>
      </w:r>
    </w:p>
    <w:p>
      <w:pPr>
        <w:tabs>
          <w:tab w:val="left" w:pos="840"/>
        </w:tabs>
        <w:adjustRightInd w:val="0"/>
        <w:snapToGrid w:val="0"/>
        <w:spacing w:line="400" w:lineRule="exact"/>
        <w:ind w:firstLine="480"/>
        <w:rPr>
          <w:rFonts w:ascii="Times New Roman" w:hAnsi="Times New Roman" w:cs="Times New Roman"/>
          <w:sz w:val="24"/>
          <w:szCs w:val="21"/>
        </w:rPr>
      </w:pPr>
      <w:r>
        <w:rPr>
          <w:rFonts w:hint="eastAsia" w:ascii="Times New Roman" w:hAnsi="Times New Roman" w:cs="Times New Roman"/>
          <w:bCs/>
          <w:sz w:val="24"/>
        </w:rPr>
        <w:t>可以从不同角度（火焰的光学特性、形状、跳动频率、变化趋势等）进行分析判断火焰。具有非接触式探测特点，不受空间高度、高温、易爆、有毒等环境条件的限制，采用最先进的智能图像分析技术，能够实时采集并分析现场视频，迅速识别火焰并产生火情报警，支持现场监控及录像取证，</w:t>
      </w:r>
      <w:r>
        <w:rPr>
          <w:rFonts w:hint="eastAsia" w:ascii="Times New Roman" w:hAnsi="Times New Roman" w:cs="Times New Roman"/>
          <w:sz w:val="24"/>
          <w:szCs w:val="21"/>
        </w:rPr>
        <w:t>与自动检测消防火灾灭火系统相连接。响应速度快：火焰识别报警响应时间＜15秒。探测准确率：火灾报警准确率达到99.9%。</w:t>
      </w:r>
    </w:p>
    <w:p>
      <w:pPr>
        <w:tabs>
          <w:tab w:val="left" w:pos="840"/>
        </w:tabs>
        <w:adjustRightInd w:val="0"/>
        <w:snapToGrid w:val="0"/>
        <w:spacing w:line="400" w:lineRule="exact"/>
        <w:rPr>
          <w:rFonts w:ascii="Times New Roman" w:hAnsi="Times New Roman" w:cs="Times New Roman"/>
          <w:sz w:val="24"/>
          <w:szCs w:val="21"/>
        </w:rPr>
      </w:pPr>
      <w:r>
        <w:rPr>
          <w:rFonts w:hint="eastAsia" w:ascii="Times New Roman" w:hAnsi="Times New Roman" w:cs="Times New Roman"/>
          <w:sz w:val="24"/>
          <w:szCs w:val="21"/>
        </w:rPr>
        <w:t>3.7 消防炮塔</w:t>
      </w:r>
    </w:p>
    <w:p>
      <w:pPr>
        <w:tabs>
          <w:tab w:val="left" w:pos="840"/>
        </w:tabs>
        <w:adjustRightInd w:val="0"/>
        <w:snapToGrid w:val="0"/>
        <w:spacing w:line="400" w:lineRule="exact"/>
        <w:rPr>
          <w:rFonts w:ascii="Times New Roman" w:hAnsi="Times New Roman" w:cs="Times New Roman"/>
          <w:sz w:val="24"/>
          <w:szCs w:val="21"/>
        </w:rPr>
      </w:pPr>
      <w:r>
        <w:rPr>
          <w:rFonts w:hint="eastAsia" w:ascii="Times New Roman" w:hAnsi="Times New Roman" w:cs="Times New Roman"/>
          <w:sz w:val="24"/>
          <w:szCs w:val="21"/>
        </w:rPr>
        <w:t xml:space="preserve">   消防炮塔高10米，操作平台周围设置1.2米栅栏式护栏，顶部操作平台设有避雷装置，每层操作平台均配有水喷淋冷却降温系统，且每层操作平台均设置消防水炮；上下爬梯需设有安全护笼。</w:t>
      </w:r>
    </w:p>
    <w:p>
      <w:pPr>
        <w:tabs>
          <w:tab w:val="left" w:pos="840"/>
        </w:tabs>
        <w:adjustRightInd w:val="0"/>
        <w:snapToGrid w:val="0"/>
        <w:spacing w:line="400" w:lineRule="exact"/>
        <w:rPr>
          <w:rFonts w:ascii="Times New Roman" w:hAnsi="Times New Roman" w:cs="Times New Roman"/>
          <w:sz w:val="24"/>
          <w:szCs w:val="21"/>
        </w:rPr>
      </w:pPr>
      <w:r>
        <w:rPr>
          <w:rFonts w:hint="eastAsia" w:ascii="Times New Roman" w:hAnsi="Times New Roman" w:cs="Times New Roman"/>
          <w:sz w:val="24"/>
          <w:szCs w:val="21"/>
        </w:rPr>
        <w:t xml:space="preserve">3.8 压力式比例混合装置                               </w:t>
      </w:r>
    </w:p>
    <w:p>
      <w:pPr>
        <w:tabs>
          <w:tab w:val="left" w:pos="840"/>
        </w:tabs>
        <w:adjustRightInd w:val="0"/>
        <w:snapToGrid w:val="0"/>
        <w:spacing w:line="400" w:lineRule="exact"/>
        <w:ind w:firstLine="480"/>
        <w:rPr>
          <w:rFonts w:ascii="Times New Roman" w:hAnsi="Times New Roman" w:cs="Times New Roman"/>
          <w:sz w:val="24"/>
          <w:szCs w:val="21"/>
        </w:rPr>
      </w:pPr>
      <w:r>
        <w:rPr>
          <w:rFonts w:hint="eastAsia" w:ascii="Times New Roman" w:hAnsi="Times New Roman" w:cs="Times New Roman"/>
          <w:sz w:val="24"/>
          <w:szCs w:val="21"/>
        </w:rPr>
        <w:t>PHYM系列压力式比例混合装置由泡沫液储罐、胶囊、比例混合器、安全阀、排气阀、压力表、止回阀及各类控制阀及管道组成。由泵供给压力水，将泡沫液按一定比例置换出来后与压力水混合成泡沫混合液。由于胶囊将泡沫液与水隔开，泡沫液一次没用完，下次可以继续使用且混合精度稳定、可靠。具有流量范围广、安全可靠、操作方便、灭火效率高等特点。</w:t>
      </w:r>
    </w:p>
    <w:p>
      <w:pPr>
        <w:tabs>
          <w:tab w:val="left" w:pos="840"/>
        </w:tabs>
        <w:adjustRightInd w:val="0"/>
        <w:snapToGrid w:val="0"/>
        <w:spacing w:line="400" w:lineRule="exact"/>
        <w:ind w:firstLine="480"/>
        <w:rPr>
          <w:rFonts w:hint="eastAsia" w:ascii="Times New Roman" w:hAnsi="Times New Roman" w:cs="Times New Roman"/>
          <w:sz w:val="24"/>
          <w:szCs w:val="21"/>
        </w:rPr>
      </w:pPr>
      <w:r>
        <w:rPr>
          <w:rFonts w:hint="eastAsia" w:ascii="Times New Roman" w:hAnsi="Times New Roman" w:cs="Times New Roman"/>
          <w:sz w:val="24"/>
          <w:szCs w:val="21"/>
        </w:rPr>
        <w:t>工作原理：当发生火灾时，报警系统发出报警信号，同时将启动消防水泵，当压力水流经比例混合器时，一部分压力水（3%或6%）通过进水管进入罐内，挤压胶囊，将胶囊等量的泡沫液从出液管内挤出，通过进液管进入比例混合器，与另一部分水混合形成泡沫混合液，输送给泡沫产生器或喷射设备，产生空气泡沫进行灭火。工作压力：0.6~1.2MPa，压力降：≤0.2。</w:t>
      </w:r>
    </w:p>
    <w:p>
      <w:pPr>
        <w:tabs>
          <w:tab w:val="left" w:pos="840"/>
        </w:tabs>
        <w:adjustRightInd w:val="0"/>
        <w:snapToGrid w:val="0"/>
        <w:spacing w:line="400" w:lineRule="exact"/>
        <w:ind w:firstLine="480"/>
        <w:rPr>
          <w:rFonts w:hint="eastAsia" w:ascii="Times New Roman" w:hAnsi="Times New Roman" w:cs="Times New Roman"/>
          <w:sz w:val="24"/>
          <w:szCs w:val="21"/>
        </w:rPr>
      </w:pPr>
    </w:p>
    <w:p>
      <w:pPr>
        <w:pStyle w:val="19"/>
        <w:shd w:val="clear" w:color="auto" w:fill="FFFFFF" w:themeFill="background1"/>
        <w:adjustRightInd w:val="0"/>
        <w:snapToGrid w:val="0"/>
        <w:spacing w:line="400" w:lineRule="exact"/>
        <w:rPr>
          <w:rFonts w:ascii="Times New Roman" w:hAnsi="Times New Roman" w:cs="Times New Roman"/>
          <w:b/>
          <w:sz w:val="28"/>
          <w:szCs w:val="28"/>
        </w:rPr>
      </w:pPr>
      <w:r>
        <w:rPr>
          <w:rFonts w:hint="eastAsia" w:ascii="Times New Roman" w:hAnsi="Times New Roman" w:cs="Times New Roman"/>
          <w:b/>
          <w:sz w:val="28"/>
          <w:szCs w:val="28"/>
        </w:rPr>
        <w:t xml:space="preserve">4 </w:t>
      </w:r>
      <w:r>
        <w:rPr>
          <w:rFonts w:ascii="Times New Roman" w:hAnsi="Times New Roman" w:cs="Times New Roman"/>
          <w:b/>
          <w:sz w:val="28"/>
          <w:szCs w:val="28"/>
        </w:rPr>
        <w:t>设备</w:t>
      </w:r>
      <w:r>
        <w:rPr>
          <w:rFonts w:hint="eastAsia" w:ascii="Times New Roman" w:hAnsi="Times New Roman" w:cs="Times New Roman"/>
          <w:b/>
          <w:sz w:val="28"/>
          <w:szCs w:val="28"/>
        </w:rPr>
        <w:t>材料</w:t>
      </w:r>
      <w:r>
        <w:rPr>
          <w:rFonts w:ascii="Times New Roman" w:hAnsi="Times New Roman" w:cs="Times New Roman"/>
          <w:b/>
          <w:sz w:val="28"/>
          <w:szCs w:val="28"/>
        </w:rPr>
        <w:t xml:space="preserve">明细  </w:t>
      </w:r>
    </w:p>
    <w:tbl>
      <w:tblPr>
        <w:tblStyle w:val="13"/>
        <w:tblW w:w="8518" w:type="dxa"/>
        <w:jc w:val="center"/>
        <w:tblInd w:w="-1702" w:type="dxa"/>
        <w:tblLayout w:type="fixed"/>
        <w:tblCellMar>
          <w:top w:w="15" w:type="dxa"/>
          <w:left w:w="15" w:type="dxa"/>
          <w:bottom w:w="15" w:type="dxa"/>
          <w:right w:w="15" w:type="dxa"/>
        </w:tblCellMar>
      </w:tblPr>
      <w:tblGrid>
        <w:gridCol w:w="964"/>
        <w:gridCol w:w="3425"/>
        <w:gridCol w:w="1949"/>
        <w:gridCol w:w="1180"/>
        <w:gridCol w:w="1000"/>
      </w:tblGrid>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序号</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设备名称</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规格</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备注</w:t>
            </w: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kern w:val="0"/>
                <w:szCs w:val="21"/>
              </w:rPr>
              <w:t>智能防爆自动消防水炮</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kern w:val="0"/>
                <w:szCs w:val="21"/>
              </w:rPr>
              <w:t>2套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2</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防爆现场控制箱</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2个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3</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智能防爆红紫外探测器</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2套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4</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防爆电动阀</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2个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5</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智能防爆图像火灾探测器</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4套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6</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消防炮塔</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高10米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1座</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7</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消防水箱</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50吨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8</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防爆消防高压水泵</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2套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9</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 xml:space="preserve">压力式泡沫比例混合装置 </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10</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 xml:space="preserve">抗溶性泡沫灭火剂 </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3.5吨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11</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全自动柴油发电机组</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250KVA</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12</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灭火装置视频集中联动控制柜</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13</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硬盘录像机</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宋体" w:cs="Times New Roman"/>
                <w:bCs/>
                <w:szCs w:val="21"/>
                <w:lang w:val="en-US"/>
              </w:rPr>
            </w:pPr>
            <w:r>
              <w:rPr>
                <w:rFonts w:hint="eastAsia" w:ascii="宋体" w:hAnsi="宋体" w:eastAsia="宋体" w:cs="宋体"/>
                <w:bCs/>
                <w:szCs w:val="21"/>
                <w:lang w:eastAsia="zh-CN"/>
              </w:rPr>
              <w:t>≧</w:t>
            </w:r>
            <w:r>
              <w:rPr>
                <w:rFonts w:hint="eastAsia" w:ascii="Times New Roman" w:hAnsi="Times New Roman" w:eastAsia="宋体" w:cs="Times New Roman"/>
                <w:bCs/>
                <w:szCs w:val="21"/>
                <w:lang w:val="en-US" w:eastAsia="zh-CN"/>
              </w:rPr>
              <w:t>1T</w:t>
            </w:r>
          </w:p>
        </w:tc>
      </w:tr>
      <w:tr>
        <w:tblPrEx>
          <w:tblLayout w:type="fixed"/>
          <w:tblCellMar>
            <w:top w:w="15" w:type="dxa"/>
            <w:left w:w="15" w:type="dxa"/>
            <w:bottom w:w="15" w:type="dxa"/>
            <w:right w:w="15" w:type="dxa"/>
          </w:tblCellMar>
        </w:tblPrEx>
        <w:trPr>
          <w:trHeight w:val="533" w:hRule="exact"/>
          <w:jc w:val="center"/>
        </w:trPr>
        <w:tc>
          <w:tcPr>
            <w:tcW w:w="964"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14</w:t>
            </w:r>
          </w:p>
        </w:tc>
        <w:tc>
          <w:tcPr>
            <w:tcW w:w="3425"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工控机</w:t>
            </w:r>
          </w:p>
        </w:tc>
        <w:tc>
          <w:tcPr>
            <w:tcW w:w="1949"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含主机、显示器、鼠标、键盘等</w:t>
            </w:r>
          </w:p>
        </w:tc>
        <w:tc>
          <w:tcPr>
            <w:tcW w:w="1180"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1套</w:t>
            </w:r>
          </w:p>
        </w:tc>
        <w:tc>
          <w:tcPr>
            <w:tcW w:w="1000" w:type="dxa"/>
            <w:tcBorders>
              <w:top w:val="single" w:color="000000" w:sz="4" w:space="0"/>
              <w:left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15</w:t>
            </w:r>
          </w:p>
        </w:tc>
        <w:tc>
          <w:tcPr>
            <w:tcW w:w="3425"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UPS不间断电源</w:t>
            </w:r>
          </w:p>
        </w:tc>
        <w:tc>
          <w:tcPr>
            <w:tcW w:w="1949"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6KVA</w:t>
            </w:r>
          </w:p>
        </w:tc>
        <w:tc>
          <w:tcPr>
            <w:tcW w:w="1180"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1个</w:t>
            </w:r>
          </w:p>
        </w:tc>
        <w:tc>
          <w:tcPr>
            <w:tcW w:w="1000" w:type="dxa"/>
            <w:tcBorders>
              <w:top w:val="single" w:color="000000" w:sz="4" w:space="0"/>
              <w:left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宋体" w:cs="Times New Roman"/>
                <w:bCs/>
                <w:szCs w:val="21"/>
                <w:lang w:val="en-US" w:eastAsia="zh-CN"/>
              </w:rPr>
            </w:pPr>
            <w:r>
              <w:rPr>
                <w:rFonts w:hint="eastAsia" w:ascii="宋体" w:hAnsi="宋体" w:eastAsia="宋体" w:cs="宋体"/>
                <w:bCs/>
                <w:szCs w:val="21"/>
                <w:lang w:eastAsia="zh-CN"/>
              </w:rPr>
              <w:t>≧</w:t>
            </w:r>
            <w:r>
              <w:rPr>
                <w:rFonts w:hint="eastAsia" w:ascii="Times New Roman" w:hAnsi="Times New Roman" w:eastAsia="宋体" w:cs="Times New Roman"/>
                <w:bCs/>
                <w:szCs w:val="21"/>
                <w:lang w:val="en-US" w:eastAsia="zh-CN"/>
              </w:rPr>
              <w:t>1h</w:t>
            </w: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16</w:t>
            </w:r>
          </w:p>
        </w:tc>
        <w:tc>
          <w:tcPr>
            <w:tcW w:w="3425"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管道、阀门</w:t>
            </w:r>
          </w:p>
        </w:tc>
        <w:tc>
          <w:tcPr>
            <w:tcW w:w="1949"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000" w:type="dxa"/>
            <w:tcBorders>
              <w:top w:val="single" w:color="000000" w:sz="4" w:space="0"/>
              <w:left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根据需要</w:t>
            </w: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17</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配电箱</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根据需要</w:t>
            </w: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18</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线缆</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阻燃耐火铜芯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根据需要</w:t>
            </w:r>
          </w:p>
        </w:tc>
      </w:tr>
      <w:tr>
        <w:tblPrEx>
          <w:tblLayout w:type="fixed"/>
          <w:tblCellMar>
            <w:top w:w="15" w:type="dxa"/>
            <w:left w:w="15" w:type="dxa"/>
            <w:bottom w:w="15" w:type="dxa"/>
            <w:right w:w="15" w:type="dxa"/>
          </w:tblCellMar>
        </w:tblPrEx>
        <w:trPr>
          <w:trHeight w:val="340" w:hRule="exac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kern w:val="0"/>
                <w:szCs w:val="21"/>
              </w:rPr>
            </w:pPr>
            <w:r>
              <w:rPr>
                <w:rFonts w:hint="eastAsia" w:ascii="Times New Roman" w:hAnsi="Times New Roman" w:eastAsia="宋体" w:cs="Times New Roman"/>
                <w:bCs/>
                <w:kern w:val="0"/>
                <w:szCs w:val="21"/>
              </w:rPr>
              <w:t>19</w:t>
            </w:r>
          </w:p>
        </w:tc>
        <w:tc>
          <w:tcPr>
            <w:tcW w:w="3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r>
              <w:rPr>
                <w:rFonts w:hint="eastAsia" w:ascii="Times New Roman" w:hAnsi="Times New Roman" w:eastAsia="宋体" w:cs="Times New Roman"/>
                <w:bCs/>
                <w:szCs w:val="21"/>
              </w:rPr>
              <w:t>桥架、穿线管等辅材</w:t>
            </w:r>
          </w:p>
        </w:tc>
        <w:tc>
          <w:tcPr>
            <w:tcW w:w="1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Times New Roman" w:hAnsi="Times New Roman" w:eastAsia="宋体" w:cs="Times New Roman"/>
                <w:bCs/>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eastAsia="宋体" w:cs="Times New Roman"/>
                <w:bCs/>
                <w:szCs w:val="21"/>
              </w:rPr>
            </w:pPr>
            <w:r>
              <w:rPr>
                <w:rFonts w:hint="eastAsia" w:ascii="Times New Roman" w:hAnsi="Times New Roman" w:eastAsia="宋体" w:cs="Times New Roman"/>
                <w:bCs/>
                <w:szCs w:val="21"/>
              </w:rPr>
              <w:t>根据需要</w:t>
            </w:r>
          </w:p>
        </w:tc>
      </w:tr>
    </w:tbl>
    <w:p>
      <w:pPr>
        <w:shd w:val="clear" w:color="auto" w:fill="FFFFFF" w:themeFill="background1"/>
        <w:tabs>
          <w:tab w:val="left" w:pos="840"/>
        </w:tabs>
        <w:adjustRightInd w:val="0"/>
        <w:snapToGrid w:val="0"/>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本招标文件未涉及但又属于本系统正常运行必备的部分，或投标方考虑不周而招标方需要增加的满足设备系统工艺运行要求的所需设备、阀门、管道、仪表、电气、控制、零配件、附件、安装材料等，或在供货范围、所属系统范围内安装调试运行需增补的、必不可少的设备和零部件等由投标方无条件、无偿补齐，且不发生任何费用。</w:t>
      </w:r>
    </w:p>
    <w:p>
      <w:pPr>
        <w:shd w:val="clear" w:color="auto" w:fill="FFFFFF" w:themeFill="background1"/>
        <w:tabs>
          <w:tab w:val="left" w:pos="840"/>
        </w:tabs>
        <w:adjustRightInd w:val="0"/>
        <w:snapToGrid w:val="0"/>
        <w:spacing w:line="360" w:lineRule="auto"/>
        <w:jc w:val="left"/>
        <w:rPr>
          <w:rFonts w:ascii="Times New Roman" w:hAnsi="Times New Roman" w:cs="Times New Roman"/>
          <w:b/>
          <w:kern w:val="0"/>
          <w:sz w:val="28"/>
          <w:szCs w:val="28"/>
        </w:rPr>
      </w:pPr>
      <w:r>
        <w:rPr>
          <w:rFonts w:hint="eastAsia" w:ascii="Times New Roman" w:hAnsi="Times New Roman" w:cs="Times New Roman"/>
          <w:b/>
          <w:sz w:val="28"/>
          <w:szCs w:val="28"/>
        </w:rPr>
        <w:t xml:space="preserve">5 </w:t>
      </w:r>
      <w:r>
        <w:rPr>
          <w:rFonts w:hint="eastAsia" w:ascii="Times New Roman" w:hAnsi="Times New Roman" w:cs="Times New Roman"/>
          <w:b/>
          <w:kern w:val="0"/>
          <w:sz w:val="28"/>
          <w:szCs w:val="28"/>
        </w:rPr>
        <w:t>设备主要交接点：</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5.1 电气控制系统：投标方完成系统内供配电设计、自动化设计以及电气施工图设计，招标方仅提供电源至投标方总配电柜。投标方负责系统内控制电缆、电力电缆及区域内穿线管及桥架的供货。</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5.2 能源介质：招标方接至供方使用设备最近的柱列线标高1米处并设置一道总阀，由供方负责接至设备使用点。</w:t>
      </w:r>
    </w:p>
    <w:p>
      <w:pPr>
        <w:shd w:val="clear" w:color="auto" w:fill="FFFFFF" w:themeFill="background1"/>
        <w:tabs>
          <w:tab w:val="left" w:pos="840"/>
        </w:tabs>
        <w:adjustRightInd w:val="0"/>
        <w:snapToGrid w:val="0"/>
        <w:spacing w:line="360" w:lineRule="auto"/>
        <w:jc w:val="left"/>
        <w:rPr>
          <w:rFonts w:ascii="Times New Roman" w:hAnsi="Times New Roman" w:cs="Times New Roman"/>
          <w:b/>
          <w:kern w:val="0"/>
          <w:sz w:val="28"/>
          <w:szCs w:val="28"/>
        </w:rPr>
      </w:pPr>
      <w:r>
        <w:rPr>
          <w:rFonts w:hint="eastAsia" w:ascii="Times New Roman" w:hAnsi="Times New Roman" w:cs="Times New Roman"/>
          <w:b/>
          <w:sz w:val="28"/>
          <w:szCs w:val="28"/>
        </w:rPr>
        <w:t xml:space="preserve">6 </w:t>
      </w:r>
      <w:r>
        <w:rPr>
          <w:rFonts w:hint="eastAsia" w:ascii="Times New Roman" w:hAnsi="Times New Roman" w:cs="Times New Roman"/>
          <w:b/>
          <w:kern w:val="0"/>
          <w:sz w:val="28"/>
          <w:szCs w:val="28"/>
        </w:rPr>
        <w:t>工程技术资料要求</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6.1 投标方需提供如下资料，包括但不限于此：</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a)防爆型电动消防水炮需提供国家消防装备质量监督检验中心出具的3C强制认证证明。</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b)供货的资质证明。</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c)相关技术方案资料及图纸。</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d)电源要求及安装方案、产品说明书。</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E)所有设备产品说明书；消防产品检测报告；质量合格证；调试、维护说明书；安装要求等。</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6.2 投标方随机应提供施工、调试、试运、机组性能试验和运行维护所需的技术资料。包括但不限于以下项目：</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 xml:space="preserve">    安装、调试和试运、运行、维护、检修所需的详尽图纸和技术文件，包括设备总图、部件总图、分图和必要的零件图、计算资料以及各有关部件的配合尺寸、公差等要求。</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 xml:space="preserve">    设备的安装、运行、维护、检修说明书，包括设备结构特点、安装检修程序和工艺要求、启动调试要领、运行操作规定和控制数据、定期检验和维护说明等。</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6.3 投标方需提供全套设备的平面布置图、立面布置图、和主要技术参数。</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6.4 提供全套设备的土建基础条件、设备需要的总功率及介质资料（含土建、水、风、气、区域电缆沟及预埋管条件图等）。</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说明：因为投标方条件错误导致后期安装出现问题，由投标方负责无条件解决。</w:t>
      </w:r>
    </w:p>
    <w:p>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hint="eastAsia" w:ascii="Times New Roman" w:hAnsi="Times New Roman" w:cs="Times New Roman"/>
          <w:sz w:val="24"/>
        </w:rPr>
        <w:t xml:space="preserve">    投标方提供设备总装图、易损件图、标准件、易损件清单（含采购单位名称）、电气及自动化系统施工图、管道系统施工图。</w:t>
      </w:r>
    </w:p>
    <w:p>
      <w:pPr>
        <w:shd w:val="clear" w:color="auto" w:fill="FFFFFF" w:themeFill="background1"/>
        <w:tabs>
          <w:tab w:val="left" w:pos="840"/>
        </w:tabs>
        <w:adjustRightInd w:val="0"/>
        <w:snapToGrid w:val="0"/>
        <w:spacing w:line="360" w:lineRule="auto"/>
        <w:jc w:val="left"/>
        <w:rPr>
          <w:rFonts w:ascii="Times New Roman" w:hAnsi="Times New Roman" w:cs="Times New Roman"/>
          <w:b/>
          <w:sz w:val="28"/>
          <w:szCs w:val="28"/>
        </w:rPr>
      </w:pPr>
      <w:bookmarkStart w:id="3" w:name="_Toc484177693"/>
      <w:bookmarkStart w:id="4" w:name="_Toc450922643"/>
      <w:bookmarkStart w:id="5" w:name="_Toc396488846"/>
      <w:bookmarkStart w:id="6" w:name="_Toc455585948"/>
      <w:bookmarkStart w:id="7" w:name="_Toc534486225"/>
      <w:bookmarkStart w:id="8" w:name="_Toc462154162"/>
      <w:bookmarkStart w:id="9" w:name="_Toc462154246"/>
      <w:bookmarkStart w:id="10" w:name="_Toc462472996"/>
      <w:bookmarkStart w:id="11" w:name="_Toc388000753"/>
      <w:bookmarkStart w:id="12" w:name="_Toc436913128"/>
      <w:r>
        <w:rPr>
          <w:rFonts w:hint="eastAsia" w:ascii="Times New Roman" w:hAnsi="Times New Roman" w:cs="Times New Roman"/>
          <w:b/>
          <w:sz w:val="28"/>
          <w:szCs w:val="28"/>
        </w:rPr>
        <w:t xml:space="preserve">7 </w:t>
      </w:r>
      <w:r>
        <w:rPr>
          <w:rFonts w:ascii="Times New Roman" w:hAnsi="Times New Roman" w:cs="Times New Roman"/>
          <w:b/>
          <w:sz w:val="28"/>
          <w:szCs w:val="28"/>
        </w:rPr>
        <w:t>调试及</w:t>
      </w:r>
      <w:bookmarkEnd w:id="3"/>
      <w:bookmarkEnd w:id="4"/>
      <w:bookmarkEnd w:id="5"/>
      <w:bookmarkEnd w:id="6"/>
      <w:bookmarkEnd w:id="7"/>
      <w:bookmarkEnd w:id="8"/>
      <w:bookmarkEnd w:id="9"/>
      <w:bookmarkEnd w:id="10"/>
      <w:bookmarkEnd w:id="11"/>
      <w:bookmarkEnd w:id="12"/>
      <w:r>
        <w:rPr>
          <w:rFonts w:ascii="Times New Roman" w:hAnsi="Times New Roman" w:cs="Times New Roman"/>
          <w:b/>
          <w:sz w:val="28"/>
          <w:szCs w:val="28"/>
        </w:rPr>
        <w:t>培训要求</w:t>
      </w:r>
    </w:p>
    <w:p>
      <w:pPr>
        <w:spacing w:line="360" w:lineRule="auto"/>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.1</w:t>
      </w:r>
      <w:r>
        <w:rPr>
          <w:rFonts w:hint="eastAsia" w:ascii="Times New Roman" w:hAnsi="Times New Roman" w:cs="Times New Roman"/>
          <w:sz w:val="24"/>
        </w:rPr>
        <w:t xml:space="preserve"> </w:t>
      </w:r>
      <w:r>
        <w:rPr>
          <w:rFonts w:hint="eastAsia" w:ascii="宋体" w:hAnsi="宋体"/>
          <w:sz w:val="24"/>
        </w:rPr>
        <w:t>投标方负责设备的图纸整体设计、</w:t>
      </w:r>
      <w:r>
        <w:rPr>
          <w:rFonts w:ascii="Times New Roman" w:hAnsi="Times New Roman" w:cs="Times New Roman"/>
          <w:sz w:val="24"/>
          <w:szCs w:val="21"/>
        </w:rPr>
        <w:t>设备</w:t>
      </w:r>
      <w:r>
        <w:rPr>
          <w:rFonts w:hint="eastAsia" w:ascii="Times New Roman" w:hAnsi="Times New Roman" w:cs="Times New Roman"/>
          <w:sz w:val="24"/>
          <w:szCs w:val="21"/>
        </w:rPr>
        <w:t>及材料</w:t>
      </w:r>
      <w:r>
        <w:rPr>
          <w:rFonts w:ascii="Times New Roman" w:hAnsi="Times New Roman" w:cs="Times New Roman"/>
          <w:sz w:val="24"/>
          <w:szCs w:val="21"/>
        </w:rPr>
        <w:t>供货</w:t>
      </w:r>
      <w:r>
        <w:rPr>
          <w:rFonts w:hint="eastAsia" w:ascii="宋体" w:hAnsi="宋体"/>
          <w:sz w:val="24"/>
        </w:rPr>
        <w:t>、安装调试及招标方操作人员的技术培训。</w:t>
      </w:r>
      <w:r>
        <w:rPr>
          <w:rFonts w:hint="eastAsia" w:ascii="Times New Roman" w:hAnsi="Times New Roman" w:cs="Times New Roman"/>
          <w:sz w:val="24"/>
        </w:rPr>
        <w:t>投标</w:t>
      </w:r>
      <w:r>
        <w:rPr>
          <w:rFonts w:ascii="Times New Roman" w:hAnsi="Times New Roman" w:cs="Times New Roman"/>
          <w:sz w:val="24"/>
        </w:rPr>
        <w:t>方负责调试过程的技术培训及实际生产操作的岗位培训。</w:t>
      </w:r>
    </w:p>
    <w:p>
      <w:pPr>
        <w:spacing w:line="360" w:lineRule="auto"/>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.2 为了顺利进行设备的安装和正常运行，</w:t>
      </w:r>
      <w:r>
        <w:rPr>
          <w:rFonts w:hint="eastAsia" w:ascii="Times New Roman" w:hAnsi="Times New Roman" w:cs="Times New Roman"/>
          <w:sz w:val="24"/>
        </w:rPr>
        <w:t>投标</w:t>
      </w:r>
      <w:r>
        <w:rPr>
          <w:rFonts w:ascii="Times New Roman" w:hAnsi="Times New Roman" w:cs="Times New Roman"/>
          <w:sz w:val="24"/>
        </w:rPr>
        <w:t>方负责派遣技术熟练的专职技术人员到施工现场进行技术服务。</w:t>
      </w:r>
    </w:p>
    <w:p>
      <w:pPr>
        <w:spacing w:line="360" w:lineRule="auto"/>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 xml:space="preserve">.3 </w:t>
      </w:r>
      <w:r>
        <w:rPr>
          <w:rFonts w:hint="eastAsia" w:ascii="Times New Roman" w:hAnsi="Times New Roman" w:cs="Times New Roman"/>
          <w:sz w:val="24"/>
        </w:rPr>
        <w:t>投标</w:t>
      </w:r>
      <w:r>
        <w:rPr>
          <w:rFonts w:ascii="Times New Roman" w:hAnsi="Times New Roman" w:cs="Times New Roman"/>
          <w:sz w:val="24"/>
        </w:rPr>
        <w:t>方技术人员的实际人数、预计到达和离开合同设备现场的日期根据现场施工的实际进度由双方协商决定。</w:t>
      </w:r>
    </w:p>
    <w:p>
      <w:pPr>
        <w:spacing w:line="500" w:lineRule="exact"/>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.4安装调试服务范围及职责</w:t>
      </w:r>
    </w:p>
    <w:p>
      <w:pPr>
        <w:spacing w:line="360" w:lineRule="auto"/>
        <w:rPr>
          <w:rFonts w:ascii="Times New Roman" w:hAnsi="Times New Roman" w:cs="Times New Roman"/>
          <w:sz w:val="24"/>
        </w:rPr>
      </w:pPr>
      <w:r>
        <w:rPr>
          <w:rFonts w:hint="eastAsia" w:ascii="Times New Roman" w:hAnsi="Times New Roman" w:cs="Times New Roman"/>
          <w:sz w:val="24"/>
        </w:rPr>
        <w:t>投标</w:t>
      </w:r>
      <w:r>
        <w:rPr>
          <w:rFonts w:ascii="Times New Roman" w:hAnsi="Times New Roman" w:cs="Times New Roman"/>
          <w:sz w:val="24"/>
        </w:rPr>
        <w:t>方负责整个系统的调试</w:t>
      </w:r>
      <w:r>
        <w:rPr>
          <w:rFonts w:hint="eastAsia" w:ascii="Times New Roman" w:hAnsi="Times New Roman" w:cs="Times New Roman"/>
          <w:sz w:val="24"/>
        </w:rPr>
        <w:t>工作</w:t>
      </w:r>
      <w:r>
        <w:rPr>
          <w:rFonts w:ascii="Times New Roman" w:hAnsi="Times New Roman" w:cs="Times New Roman"/>
          <w:sz w:val="24"/>
        </w:rPr>
        <w:t>，直到项目的正常运行。</w:t>
      </w:r>
    </w:p>
    <w:p>
      <w:pPr>
        <w:spacing w:line="360" w:lineRule="auto"/>
        <w:rPr>
          <w:rFonts w:ascii="Times New Roman" w:hAnsi="Times New Roman" w:cs="Times New Roman"/>
          <w:sz w:val="24"/>
        </w:rPr>
      </w:pPr>
    </w:p>
    <w:p>
      <w:pPr>
        <w:shd w:val="clear" w:color="auto" w:fill="FFFFFF" w:themeFill="background1"/>
        <w:tabs>
          <w:tab w:val="left" w:pos="840"/>
        </w:tabs>
        <w:adjustRightInd w:val="0"/>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 xml:space="preserve">8 </w:t>
      </w:r>
      <w:r>
        <w:rPr>
          <w:rFonts w:hint="eastAsia" w:ascii="Times New Roman" w:hAnsi="Times New Roman" w:cs="Times New Roman"/>
          <w:b/>
          <w:sz w:val="28"/>
          <w:szCs w:val="28"/>
          <w:lang w:val="zh-CN"/>
        </w:rPr>
        <w:t>建安工程</w:t>
      </w:r>
      <w:r>
        <w:rPr>
          <w:rFonts w:hint="eastAsia" w:ascii="Times New Roman" w:hAnsi="Times New Roman" w:cs="Times New Roman"/>
          <w:b/>
          <w:sz w:val="28"/>
          <w:szCs w:val="28"/>
        </w:rPr>
        <w:t>要求</w:t>
      </w:r>
    </w:p>
    <w:p>
      <w:pPr>
        <w:pStyle w:val="4"/>
        <w:keepNext/>
        <w:keepLines/>
        <w:pageBreakBefore w:val="0"/>
        <w:widowControl w:val="0"/>
        <w:kinsoku/>
        <w:wordWrap/>
        <w:overflowPunct/>
        <w:topLinePunct w:val="0"/>
        <w:autoSpaceDE/>
        <w:autoSpaceDN/>
        <w:bidi w:val="0"/>
        <w:adjustRightInd/>
        <w:snapToGrid/>
        <w:textAlignment w:val="auto"/>
        <w:rPr>
          <w:rFonts w:hint="eastAsia"/>
          <w:szCs w:val="24"/>
        </w:rPr>
      </w:pPr>
      <w:r>
        <w:rPr>
          <w:rFonts w:hint="eastAsia"/>
          <w:szCs w:val="24"/>
        </w:rPr>
        <w:t>8.1对投标方要求</w:t>
      </w:r>
    </w:p>
    <w:p>
      <w:pPr>
        <w:adjustRightInd w:val="0"/>
        <w:snapToGrid w:val="0"/>
        <w:spacing w:line="360" w:lineRule="auto"/>
        <w:jc w:val="left"/>
        <w:rPr>
          <w:rFonts w:ascii="Times New Roman" w:hAnsi="Times New Roman" w:cs="Times New Roman"/>
          <w:sz w:val="24"/>
          <w:highlight w:val="none"/>
          <w:shd w:val="clear" w:color="auto" w:fill="auto"/>
        </w:rPr>
      </w:pPr>
      <w:bookmarkStart w:id="13" w:name="_Toc361952047"/>
      <w:bookmarkStart w:id="14" w:name="OLE_LINK1"/>
      <w:r>
        <w:rPr>
          <w:rFonts w:hint="eastAsia" w:ascii="Times New Roman" w:hAnsi="Times New Roman" w:cs="Times New Roman"/>
          <w:sz w:val="24"/>
          <w:highlight w:val="none"/>
          <w:shd w:val="clear" w:color="auto" w:fill="auto"/>
        </w:rPr>
        <w:t>（1）投标方应能够完成所承揽项目在芜湖市的企业备案和单项工程备案手续。</w:t>
      </w:r>
    </w:p>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（2）在中华人民共和国工商管理部门注册，且具有中华人民共和国独立法人或</w:t>
      </w:r>
      <w:r>
        <w:rPr>
          <w:rFonts w:ascii="Times New Roman" w:hAnsi="Times New Roman" w:cs="Times New Roman"/>
          <w:sz w:val="24"/>
          <w:highlight w:val="none"/>
          <w:shd w:val="clear" w:color="auto" w:fill="auto"/>
        </w:rPr>
        <w:t>分公司负责人</w:t>
      </w:r>
      <w:r>
        <w:rPr>
          <w:rFonts w:hint="eastAsia" w:ascii="Times New Roman" w:hAnsi="Times New Roman" w:cs="Times New Roman"/>
          <w:sz w:val="24"/>
          <w:highlight w:val="none"/>
          <w:shd w:val="clear" w:color="auto" w:fill="auto"/>
        </w:rPr>
        <w:t>资格；且具有履行合同和履行民事责任的能力。营业执照处于有效期。</w:t>
      </w:r>
    </w:p>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（3）具备承担本项目的资金及资信能力。</w:t>
      </w:r>
    </w:p>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（4）具有国家相关主管部门颁发的</w:t>
      </w:r>
      <w:r>
        <w:rPr>
          <w:rFonts w:hint="eastAsia" w:ascii="宋体" w:hAnsi="宋体"/>
          <w:bCs/>
          <w:sz w:val="24"/>
          <w:szCs w:val="24"/>
          <w:highlight w:val="none"/>
        </w:rPr>
        <w:t>消防设施工程设计与施工</w:t>
      </w:r>
      <w:r>
        <w:rPr>
          <w:rFonts w:hint="eastAsia" w:ascii="宋体" w:hAnsi="宋体"/>
          <w:bCs/>
          <w:sz w:val="24"/>
          <w:szCs w:val="24"/>
          <w:highlight w:val="none"/>
          <w:lang w:eastAsia="zh-CN"/>
        </w:rPr>
        <w:t>贰级以上</w:t>
      </w:r>
      <w:r>
        <w:rPr>
          <w:rFonts w:hint="eastAsia" w:ascii="宋体" w:hAnsi="宋体"/>
          <w:bCs/>
          <w:sz w:val="24"/>
          <w:szCs w:val="24"/>
          <w:highlight w:val="none"/>
        </w:rPr>
        <w:t>资质</w:t>
      </w:r>
      <w:r>
        <w:rPr>
          <w:rFonts w:hint="eastAsia" w:ascii="宋体" w:hAnsi="宋体"/>
          <w:sz w:val="24"/>
          <w:szCs w:val="24"/>
        </w:rPr>
        <w:t>（含</w:t>
      </w:r>
      <w:r>
        <w:rPr>
          <w:rFonts w:hint="eastAsia" w:ascii="宋体" w:hAnsi="宋体"/>
          <w:sz w:val="24"/>
          <w:szCs w:val="24"/>
          <w:lang w:eastAsia="zh-CN"/>
        </w:rPr>
        <w:t>贰</w:t>
      </w:r>
      <w:r>
        <w:rPr>
          <w:rFonts w:hint="eastAsia" w:ascii="宋体" w:hAnsi="宋体"/>
          <w:sz w:val="24"/>
          <w:szCs w:val="24"/>
        </w:rPr>
        <w:t>级）</w:t>
      </w:r>
      <w:r>
        <w:rPr>
          <w:rFonts w:hint="eastAsia"/>
          <w:sz w:val="24"/>
          <w:szCs w:val="24"/>
          <w:highlight w:val="none"/>
        </w:rPr>
        <w:t>证书</w:t>
      </w:r>
      <w:r>
        <w:rPr>
          <w:rFonts w:hint="eastAsia" w:ascii="Times New Roman" w:hAnsi="Times New Roman" w:cs="Times New Roman"/>
          <w:sz w:val="24"/>
          <w:highlight w:val="none"/>
          <w:shd w:val="clear" w:color="auto" w:fill="auto"/>
        </w:rPr>
        <w:t>。</w:t>
      </w:r>
    </w:p>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（5）拟派项目负责人具有建设行政主管部门颁发的</w:t>
      </w:r>
      <w:r>
        <w:rPr>
          <w:rFonts w:hint="eastAsia" w:ascii="Times New Roman" w:hAnsi="Times New Roman" w:cs="Times New Roman"/>
          <w:sz w:val="24"/>
          <w:highlight w:val="none"/>
          <w:shd w:val="clear" w:color="auto" w:fill="auto"/>
          <w:lang w:eastAsia="zh-CN"/>
        </w:rPr>
        <w:t>二</w:t>
      </w:r>
      <w:r>
        <w:rPr>
          <w:rFonts w:hint="eastAsia" w:ascii="Times New Roman" w:hAnsi="Times New Roman" w:cs="Times New Roman"/>
          <w:sz w:val="24"/>
          <w:highlight w:val="none"/>
          <w:shd w:val="clear" w:color="auto" w:fill="auto"/>
        </w:rPr>
        <w:t>级注册建造师资格</w:t>
      </w:r>
      <w:bookmarkStart w:id="15" w:name="_GoBack"/>
      <w:bookmarkEnd w:id="15"/>
      <w:r>
        <w:rPr>
          <w:rFonts w:hint="eastAsia" w:ascii="Times New Roman" w:hAnsi="Times New Roman" w:cs="Times New Roman"/>
          <w:sz w:val="24"/>
          <w:highlight w:val="none"/>
          <w:shd w:val="clear" w:color="auto" w:fill="auto"/>
        </w:rPr>
        <w:t>。</w:t>
      </w:r>
    </w:p>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（6）具有有效的安全生产许可证。</w:t>
      </w:r>
    </w:p>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（7）投标方能够按国家规定和招标方要求开具增值税专用发票。</w:t>
      </w:r>
    </w:p>
    <w:bookmarkEnd w:id="13"/>
    <w:bookmarkEnd w:id="14"/>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w:t>
      </w:r>
      <w:r>
        <w:rPr>
          <w:rFonts w:hint="eastAsia" w:ascii="Times New Roman" w:hAnsi="Times New Roman" w:cs="Times New Roman"/>
          <w:sz w:val="24"/>
          <w:highlight w:val="none"/>
          <w:shd w:val="clear" w:color="auto" w:fill="auto"/>
          <w:lang w:val="en-US" w:eastAsia="zh-CN"/>
        </w:rPr>
        <w:t>8</w:t>
      </w:r>
      <w:r>
        <w:rPr>
          <w:rFonts w:hint="eastAsia" w:ascii="Times New Roman" w:hAnsi="Times New Roman" w:cs="Times New Roman"/>
          <w:sz w:val="24"/>
          <w:highlight w:val="none"/>
          <w:shd w:val="clear" w:color="auto" w:fill="auto"/>
        </w:rPr>
        <w:t>）投标方中标后，不能进行转包。</w:t>
      </w:r>
    </w:p>
    <w:p>
      <w:pPr>
        <w:spacing w:line="360" w:lineRule="auto"/>
        <w:rPr>
          <w:rFonts w:ascii="Times New Roman" w:hAnsi="Times New Roman" w:cs="Times New Roman"/>
          <w:sz w:val="24"/>
          <w:highlight w:val="none"/>
          <w:shd w:val="clear" w:color="auto" w:fill="auto"/>
        </w:rPr>
      </w:pPr>
      <w:r>
        <w:rPr>
          <w:rFonts w:hint="eastAsia" w:ascii="Times New Roman" w:hAnsi="Times New Roman" w:cs="Times New Roman"/>
          <w:sz w:val="24"/>
          <w:highlight w:val="none"/>
          <w:shd w:val="clear" w:color="auto" w:fill="auto"/>
        </w:rPr>
        <w:t>（</w:t>
      </w:r>
      <w:r>
        <w:rPr>
          <w:rFonts w:hint="eastAsia" w:ascii="Times New Roman" w:hAnsi="Times New Roman" w:cs="Times New Roman"/>
          <w:sz w:val="24"/>
          <w:highlight w:val="none"/>
          <w:shd w:val="clear" w:color="auto" w:fill="auto"/>
          <w:lang w:val="en-US" w:eastAsia="zh-CN"/>
        </w:rPr>
        <w:t>9</w:t>
      </w:r>
      <w:r>
        <w:rPr>
          <w:rFonts w:hint="eastAsia" w:ascii="Times New Roman" w:hAnsi="Times New Roman" w:cs="Times New Roman"/>
          <w:sz w:val="24"/>
          <w:highlight w:val="none"/>
          <w:shd w:val="clear" w:color="auto" w:fill="auto"/>
        </w:rPr>
        <w:t>）投标人需</w:t>
      </w:r>
      <w:r>
        <w:rPr>
          <w:rFonts w:ascii="Times New Roman" w:hAnsi="Times New Roman" w:cs="Times New Roman"/>
          <w:sz w:val="24"/>
          <w:highlight w:val="none"/>
          <w:shd w:val="clear" w:color="auto" w:fill="auto"/>
        </w:rPr>
        <w:t>提供近三年类似工程业绩</w:t>
      </w:r>
      <w:r>
        <w:rPr>
          <w:rFonts w:hint="eastAsia" w:ascii="Times New Roman" w:hAnsi="Times New Roman" w:cs="Times New Roman"/>
          <w:sz w:val="24"/>
          <w:highlight w:val="none"/>
          <w:shd w:val="clear" w:color="auto" w:fill="auto"/>
        </w:rPr>
        <w:t>。</w:t>
      </w:r>
    </w:p>
    <w:p>
      <w:pPr>
        <w:pStyle w:val="4"/>
        <w:keepNext/>
        <w:keepLines/>
        <w:pageBreakBefore w:val="0"/>
        <w:widowControl w:val="0"/>
        <w:kinsoku/>
        <w:wordWrap/>
        <w:overflowPunct/>
        <w:topLinePunct w:val="0"/>
        <w:autoSpaceDE/>
        <w:autoSpaceDN/>
        <w:bidi w:val="0"/>
        <w:adjustRightInd/>
        <w:snapToGrid/>
        <w:textAlignment w:val="auto"/>
        <w:rPr>
          <w:rFonts w:hint="eastAsia"/>
          <w:szCs w:val="24"/>
        </w:rPr>
      </w:pPr>
      <w:r>
        <w:rPr>
          <w:rFonts w:hint="eastAsia"/>
          <w:szCs w:val="24"/>
        </w:rPr>
        <w:t>8.2建设工期：暂定</w:t>
      </w:r>
    </w:p>
    <w:p>
      <w:pPr>
        <w:pStyle w:val="4"/>
        <w:keepNext/>
        <w:keepLines/>
        <w:pageBreakBefore w:val="0"/>
        <w:widowControl w:val="0"/>
        <w:kinsoku/>
        <w:wordWrap/>
        <w:overflowPunct/>
        <w:topLinePunct w:val="0"/>
        <w:autoSpaceDE/>
        <w:autoSpaceDN/>
        <w:bidi w:val="0"/>
        <w:adjustRightInd/>
        <w:snapToGrid/>
        <w:textAlignment w:val="auto"/>
        <w:rPr>
          <w:rFonts w:hint="eastAsia"/>
          <w:szCs w:val="24"/>
        </w:rPr>
      </w:pPr>
      <w:r>
        <w:rPr>
          <w:rFonts w:hint="eastAsia"/>
          <w:szCs w:val="24"/>
        </w:rPr>
        <w:t>8.3报价形式</w:t>
      </w:r>
    </w:p>
    <w:p>
      <w:pPr>
        <w:spacing w:line="360" w:lineRule="auto"/>
        <w:rPr>
          <w:rFonts w:ascii="Times New Roman" w:hAnsi="Times New Roman" w:cs="Times New Roman"/>
          <w:sz w:val="24"/>
        </w:rPr>
      </w:pPr>
      <w:r>
        <w:rPr>
          <w:rFonts w:hint="eastAsia" w:ascii="Times New Roman" w:hAnsi="Times New Roman" w:cs="Times New Roman"/>
          <w:sz w:val="24"/>
        </w:rPr>
        <w:t>建安费按设备组成分项报价。</w:t>
      </w:r>
    </w:p>
    <w:p>
      <w:pPr>
        <w:pStyle w:val="4"/>
        <w:keepNext/>
        <w:keepLines/>
        <w:pageBreakBefore w:val="0"/>
        <w:widowControl w:val="0"/>
        <w:kinsoku/>
        <w:wordWrap/>
        <w:overflowPunct/>
        <w:topLinePunct w:val="0"/>
        <w:autoSpaceDE/>
        <w:autoSpaceDN/>
        <w:bidi w:val="0"/>
        <w:adjustRightInd/>
        <w:snapToGrid/>
        <w:textAlignment w:val="auto"/>
        <w:rPr>
          <w:rFonts w:hint="eastAsia"/>
          <w:szCs w:val="24"/>
        </w:rPr>
      </w:pPr>
      <w:r>
        <w:rPr>
          <w:rFonts w:hint="eastAsia"/>
          <w:szCs w:val="24"/>
        </w:rPr>
        <w:t>8.4建安合同付款</w:t>
      </w:r>
    </w:p>
    <w:p>
      <w:pPr>
        <w:spacing w:line="360" w:lineRule="auto"/>
        <w:ind w:firstLine="480" w:firstLineChars="200"/>
        <w:rPr>
          <w:rFonts w:ascii="Times New Roman" w:hAnsi="Times New Roman" w:cs="Times New Roman"/>
          <w:sz w:val="24"/>
          <w:lang w:val="zh-CN"/>
        </w:rPr>
      </w:pPr>
      <w:r>
        <w:rPr>
          <w:rFonts w:hint="eastAsia" w:ascii="Times New Roman" w:hAnsi="Times New Roman" w:cs="Times New Roman"/>
          <w:sz w:val="24"/>
          <w:lang w:val="zh-CN"/>
        </w:rPr>
        <w:t>承包人每月20日前向发包人代表提交已完工程量报告，发包人代表收到报告后5日内审核完毕。</w:t>
      </w:r>
    </w:p>
    <w:p>
      <w:pPr>
        <w:spacing w:line="360" w:lineRule="auto"/>
        <w:ind w:firstLine="480" w:firstLineChars="200"/>
        <w:rPr>
          <w:rFonts w:ascii="Times New Roman" w:hAnsi="Times New Roman" w:cs="Times New Roman"/>
          <w:sz w:val="24"/>
          <w:lang w:val="zh-CN"/>
        </w:rPr>
      </w:pPr>
      <w:r>
        <w:rPr>
          <w:rFonts w:hint="eastAsia" w:ascii="Times New Roman" w:hAnsi="Times New Roman" w:cs="Times New Roman"/>
          <w:sz w:val="24"/>
          <w:lang w:val="zh-CN"/>
        </w:rPr>
        <w:t>发包人次月按审定的上月进度的70%支付承包人工程款。工程竣工验收合格、结算审核后付至审核价的9</w:t>
      </w:r>
      <w:r>
        <w:rPr>
          <w:rFonts w:hint="eastAsia" w:ascii="Times New Roman" w:hAnsi="Times New Roman" w:cs="Times New Roman"/>
          <w:sz w:val="24"/>
          <w:lang w:val="en-US" w:eastAsia="zh-CN"/>
        </w:rPr>
        <w:t>7</w:t>
      </w:r>
      <w:r>
        <w:rPr>
          <w:rFonts w:hint="eastAsia" w:ascii="Times New Roman" w:hAnsi="Times New Roman" w:cs="Times New Roman"/>
          <w:sz w:val="24"/>
          <w:lang w:val="zh-CN"/>
        </w:rPr>
        <w:t>%，留</w:t>
      </w:r>
      <w:r>
        <w:rPr>
          <w:rFonts w:hint="eastAsia" w:ascii="Times New Roman" w:hAnsi="Times New Roman" w:cs="Times New Roman"/>
          <w:sz w:val="24"/>
          <w:lang w:val="en-US" w:eastAsia="zh-CN"/>
        </w:rPr>
        <w:t>3</w:t>
      </w:r>
      <w:r>
        <w:rPr>
          <w:rFonts w:hint="eastAsia" w:ascii="Times New Roman" w:hAnsi="Times New Roman" w:cs="Times New Roman"/>
          <w:sz w:val="24"/>
          <w:lang w:val="zh-CN"/>
        </w:rPr>
        <w:t>%为质保金，质保金返还按保修规定。承包人应于发包人支付全部或部分工程款项前向发包人开具增值税专用发票，工程款以6个月承兑汇票支付。结算审核后承包人及时向发包人开具全额增值税专用发票。</w:t>
      </w:r>
    </w:p>
    <w:p>
      <w:pPr>
        <w:pStyle w:val="4"/>
        <w:keepNext/>
        <w:keepLines/>
        <w:pageBreakBefore w:val="0"/>
        <w:widowControl w:val="0"/>
        <w:kinsoku/>
        <w:wordWrap/>
        <w:overflowPunct/>
        <w:topLinePunct w:val="0"/>
        <w:autoSpaceDE/>
        <w:autoSpaceDN/>
        <w:bidi w:val="0"/>
        <w:adjustRightInd/>
        <w:snapToGrid/>
        <w:textAlignment w:val="auto"/>
        <w:rPr>
          <w:rFonts w:hint="eastAsia"/>
          <w:szCs w:val="24"/>
          <w:lang w:val="zh-CN"/>
        </w:rPr>
      </w:pPr>
      <w:r>
        <w:rPr>
          <w:rFonts w:hint="eastAsia"/>
          <w:szCs w:val="24"/>
        </w:rPr>
        <w:t>8.5</w:t>
      </w:r>
      <w:r>
        <w:rPr>
          <w:rFonts w:hint="eastAsia"/>
          <w:szCs w:val="24"/>
          <w:lang w:val="zh-CN"/>
        </w:rPr>
        <w:t>建安合同考核</w:t>
      </w:r>
    </w:p>
    <w:p>
      <w:pPr>
        <w:spacing w:line="360" w:lineRule="auto"/>
        <w:ind w:firstLine="480" w:firstLineChars="200"/>
        <w:rPr>
          <w:rFonts w:ascii="Times New Roman" w:hAnsi="Times New Roman" w:cs="Times New Roman"/>
          <w:sz w:val="24"/>
          <w:lang w:val="zh-CN"/>
        </w:rPr>
      </w:pPr>
      <w:r>
        <w:rPr>
          <w:rFonts w:hint="eastAsia" w:ascii="Times New Roman" w:hAnsi="Times New Roman" w:cs="Times New Roman"/>
          <w:sz w:val="24"/>
          <w:lang w:val="zh-CN"/>
        </w:rPr>
        <w:t>本工程的节点工期，另行确定后，作为合同的考核工期。因投标方原因，节点工期每延误1天，投标方向招标方支付违约金壹仟圆整（￥：1000元整）；竣工工期每延误1天，投标方向招标方支付违约金贰仟圆整（￥：2</w:t>
      </w:r>
      <w:r>
        <w:rPr>
          <w:rFonts w:hint="eastAsia" w:ascii="Times New Roman" w:hAnsi="Times New Roman" w:cs="Times New Roman"/>
          <w:sz w:val="24"/>
        </w:rPr>
        <w:t>0</w:t>
      </w:r>
      <w:r>
        <w:rPr>
          <w:rFonts w:hint="eastAsia" w:ascii="Times New Roman" w:hAnsi="Times New Roman" w:cs="Times New Roman"/>
          <w:sz w:val="24"/>
          <w:lang w:val="zh-CN"/>
        </w:rPr>
        <w:t xml:space="preserve">00元整）。因投标方原因，工期延误7天以上或施工质量达不到要求，招标方有权终止合同，另行选择施工队伍。    </w:t>
      </w:r>
    </w:p>
    <w:p>
      <w:pPr>
        <w:spacing w:line="360" w:lineRule="auto"/>
        <w:ind w:firstLine="480" w:firstLineChars="200"/>
        <w:rPr>
          <w:rFonts w:ascii="宋体" w:hAnsi="宋体"/>
          <w:bCs/>
          <w:sz w:val="28"/>
          <w:szCs w:val="28"/>
          <w:lang w:val="zh-CN" w:bidi="en-US"/>
        </w:rPr>
      </w:pPr>
      <w:r>
        <w:rPr>
          <w:rFonts w:hint="eastAsia" w:ascii="Times New Roman" w:hAnsi="Times New Roman" w:cs="Times New Roman"/>
          <w:sz w:val="24"/>
          <w:lang w:val="zh-CN"/>
        </w:rPr>
        <w:t>若投标方达不到合同中规定的合格标准，按不合格工程量造价的1.2倍向招标方支付违约金，同时投标方必须无条件返工直至合格。</w:t>
      </w:r>
    </w:p>
    <w:p>
      <w:pPr>
        <w:pStyle w:val="4"/>
        <w:keepNext/>
        <w:keepLines/>
        <w:pageBreakBefore w:val="0"/>
        <w:widowControl w:val="0"/>
        <w:kinsoku/>
        <w:wordWrap/>
        <w:overflowPunct/>
        <w:topLinePunct w:val="0"/>
        <w:autoSpaceDE/>
        <w:autoSpaceDN/>
        <w:bidi w:val="0"/>
        <w:adjustRightInd/>
        <w:snapToGrid/>
        <w:textAlignment w:val="auto"/>
        <w:rPr>
          <w:szCs w:val="24"/>
        </w:rPr>
      </w:pPr>
      <w:r>
        <w:rPr>
          <w:rFonts w:hint="eastAsia"/>
          <w:szCs w:val="24"/>
        </w:rPr>
        <w:t>8.6其他要求</w:t>
      </w:r>
    </w:p>
    <w:p>
      <w:pPr>
        <w:spacing w:line="500" w:lineRule="exact"/>
        <w:rPr>
          <w:rFonts w:ascii="Times New Roman" w:hAnsi="Times New Roman" w:cs="Times New Roman"/>
          <w:sz w:val="24"/>
          <w:lang w:val="zh-CN"/>
        </w:rPr>
      </w:pPr>
      <w:r>
        <w:rPr>
          <w:rFonts w:hint="eastAsia" w:ascii="Times New Roman" w:hAnsi="Times New Roman" w:cs="Times New Roman"/>
          <w:sz w:val="24"/>
        </w:rPr>
        <w:t>（1）</w:t>
      </w:r>
      <w:r>
        <w:rPr>
          <w:rFonts w:hint="eastAsia" w:ascii="Times New Roman" w:hAnsi="Times New Roman" w:cs="Times New Roman"/>
          <w:sz w:val="24"/>
          <w:lang w:val="zh-CN"/>
        </w:rPr>
        <w:t>本项目建安工程合同最终结算发票是9%增值税专用发票。</w:t>
      </w:r>
    </w:p>
    <w:p>
      <w:pPr>
        <w:spacing w:line="500" w:lineRule="exact"/>
        <w:rPr>
          <w:rFonts w:ascii="Times New Roman" w:hAnsi="Times New Roman" w:cs="Times New Roman"/>
          <w:sz w:val="24"/>
          <w:lang w:val="zh-CN"/>
        </w:rPr>
      </w:pPr>
      <w:r>
        <w:rPr>
          <w:rFonts w:hint="eastAsia" w:ascii="Times New Roman" w:hAnsi="Times New Roman" w:cs="Times New Roman"/>
          <w:sz w:val="24"/>
        </w:rPr>
        <w:t>（2）</w:t>
      </w:r>
      <w:r>
        <w:rPr>
          <w:rFonts w:hint="eastAsia" w:ascii="Times New Roman" w:hAnsi="Times New Roman" w:cs="Times New Roman"/>
          <w:sz w:val="24"/>
          <w:lang w:val="zh-CN"/>
        </w:rPr>
        <w:t>施工期间投标方的项目经理在现场时间无特殊情况原则上不少于5个工作日/星期，工作期间离开现场须经招标方代表书面同意。如发现缺岗1天，投标方支付违约金500元。</w:t>
      </w:r>
    </w:p>
    <w:p>
      <w:pPr>
        <w:spacing w:line="500" w:lineRule="exact"/>
        <w:rPr>
          <w:rFonts w:ascii="Times New Roman" w:hAnsi="Times New Roman" w:cs="Times New Roman"/>
          <w:sz w:val="24"/>
          <w:lang w:val="zh-CN"/>
        </w:rPr>
      </w:pPr>
      <w:r>
        <w:rPr>
          <w:rFonts w:hint="eastAsia" w:ascii="Times New Roman" w:hAnsi="Times New Roman" w:cs="Times New Roman"/>
          <w:sz w:val="24"/>
        </w:rPr>
        <w:t>（3）</w:t>
      </w:r>
      <w:r>
        <w:rPr>
          <w:rFonts w:hint="eastAsia" w:ascii="Times New Roman" w:hAnsi="Times New Roman" w:cs="Times New Roman"/>
          <w:sz w:val="24"/>
          <w:lang w:val="zh-CN"/>
        </w:rPr>
        <w:t>招标方在指定位置提供施工电源及水源，之外部分投标方自行承担，现场施工水电费结算时按建安合同总价的７‰扣除。</w:t>
      </w:r>
    </w:p>
    <w:p>
      <w:pPr>
        <w:spacing w:line="500" w:lineRule="exact"/>
        <w:rPr>
          <w:rFonts w:ascii="Times New Roman" w:hAnsi="Times New Roman" w:cs="Times New Roman"/>
          <w:sz w:val="24"/>
        </w:rPr>
      </w:pPr>
      <w:r>
        <w:rPr>
          <w:rFonts w:hint="eastAsia" w:ascii="Times New Roman" w:hAnsi="Times New Roman" w:cs="Times New Roman"/>
          <w:sz w:val="24"/>
        </w:rPr>
        <w:t>（4）</w:t>
      </w:r>
      <w:r>
        <w:rPr>
          <w:rFonts w:hint="eastAsia" w:ascii="Times New Roman" w:hAnsi="Times New Roman" w:cs="Times New Roman"/>
          <w:sz w:val="24"/>
          <w:lang w:val="zh-CN"/>
        </w:rPr>
        <w:t>投标人中标后需缴纳安全保证金及固定综合履约保证金共</w:t>
      </w:r>
      <w:r>
        <w:rPr>
          <w:rFonts w:hint="eastAsia" w:ascii="Times New Roman" w:hAnsi="Times New Roman" w:cs="Times New Roman"/>
          <w:sz w:val="24"/>
          <w:lang w:val="en-US" w:eastAsia="zh-CN"/>
        </w:rPr>
        <w:t>60万</w:t>
      </w:r>
      <w:r>
        <w:rPr>
          <w:rFonts w:hint="eastAsia" w:ascii="Times New Roman" w:hAnsi="Times New Roman" w:cs="Times New Roman"/>
          <w:sz w:val="24"/>
          <w:lang w:val="zh-CN"/>
        </w:rPr>
        <w:t>（含投标保证金），如之前工程已缴纳则不需重复缴纳。如中标人之前未缴纳则需在招标方发送中标通知书3日内缴纳剩余的安全保证金及固定综合履约保证金，否则招标方有权废除中标人中标资格。</w:t>
      </w:r>
    </w:p>
    <w:p>
      <w:pPr>
        <w:spacing w:line="360" w:lineRule="auto"/>
        <w:rPr>
          <w:rFonts w:ascii="Times New Roman" w:hAnsi="Times New Roman" w:cs="Times New Roman"/>
          <w:b/>
          <w:bCs/>
          <w:sz w:val="24"/>
        </w:rPr>
      </w:pPr>
      <w:r>
        <w:rPr>
          <w:rFonts w:hint="eastAsia" w:ascii="Times New Roman" w:hAnsi="Times New Roman" w:cs="Times New Roman"/>
          <w:b/>
          <w:bCs/>
          <w:sz w:val="24"/>
        </w:rPr>
        <w:t xml:space="preserve">9 </w:t>
      </w:r>
      <w:r>
        <w:rPr>
          <w:rFonts w:ascii="Times New Roman" w:hAnsi="Times New Roman" w:cs="Times New Roman"/>
          <w:b/>
          <w:bCs/>
          <w:sz w:val="24"/>
        </w:rPr>
        <w:t>售后服务承诺</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所有设备质量保修期内出现问题免费更换维修。在质保期内由于产品或系统本身质量原因，</w:t>
      </w:r>
      <w:r>
        <w:rPr>
          <w:rFonts w:hint="eastAsia" w:ascii="Times New Roman" w:hAnsi="Times New Roman" w:cs="Times New Roman"/>
          <w:sz w:val="24"/>
        </w:rPr>
        <w:t>投标</w:t>
      </w:r>
      <w:r>
        <w:rPr>
          <w:rFonts w:ascii="Times New Roman" w:hAnsi="Times New Roman" w:cs="Times New Roman"/>
          <w:sz w:val="24"/>
        </w:rPr>
        <w:t>方负责免费维修及更换。质保期满，</w:t>
      </w:r>
      <w:r>
        <w:rPr>
          <w:rFonts w:hint="eastAsia" w:ascii="Times New Roman" w:hAnsi="Times New Roman" w:cs="Times New Roman"/>
          <w:sz w:val="24"/>
        </w:rPr>
        <w:t>招标</w:t>
      </w:r>
      <w:r>
        <w:rPr>
          <w:rFonts w:ascii="Times New Roman" w:hAnsi="Times New Roman" w:cs="Times New Roman"/>
          <w:sz w:val="24"/>
        </w:rPr>
        <w:t>方负责终身维护，提供优质配件，只收取成本费。</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设备在运行过程中出现故障，</w:t>
      </w:r>
      <w:r>
        <w:rPr>
          <w:rFonts w:hint="eastAsia" w:ascii="Times New Roman" w:hAnsi="Times New Roman" w:cs="Times New Roman"/>
          <w:sz w:val="24"/>
        </w:rPr>
        <w:t>投标</w:t>
      </w:r>
      <w:r>
        <w:rPr>
          <w:rFonts w:ascii="Times New Roman" w:hAnsi="Times New Roman" w:cs="Times New Roman"/>
          <w:sz w:val="24"/>
        </w:rPr>
        <w:t>方接到用户通知后若远程诊断2小时内不能消除故障，则一般情况下在24小时内赶到现场。</w:t>
      </w:r>
    </w:p>
    <w:bookmarkEnd w:id="1"/>
    <w:bookmarkEnd w:id="2"/>
    <w:p>
      <w:pPr>
        <w:shd w:val="clear" w:color="auto" w:fill="FFFFFF" w:themeFill="background1"/>
        <w:tabs>
          <w:tab w:val="left" w:pos="840"/>
        </w:tabs>
        <w:adjustRightInd w:val="0"/>
        <w:snapToGrid w:val="0"/>
        <w:spacing w:line="360" w:lineRule="auto"/>
        <w:rPr>
          <w:rFonts w:ascii="Times New Roman" w:hAnsi="Times New Roman" w:cs="Times New Roman"/>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altName w:val="Shruti"/>
    <w:panose1 w:val="02040503050406030204"/>
    <w:charset w:val="00"/>
    <w:family w:val="roman"/>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7"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pPr>
                            <w:pStyle w:val="9"/>
                            <w:jc w:val="center"/>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2L5dJbgBAABUAwAADgAAAGRycy9lMm9Eb2MueG1srVPBjhMxDL0j&#10;8Q9R7nTaqqXsqNMVaLUICQHSwgekmaQTKYmjONuZ/gD8AScu3PmufgdOOu2yyw1x8Ti258Xv2Vlf&#10;D86yvYpowDd8NplypryE1vhdw798vn3xijNMwrfCglcNPyjk15vnz9Z9qNUcOrCtioxAPNZ9aHiX&#10;UqirCmWnnMAJBOUpqSE6kegYd1UbRU/ozlbz6fRl1UNsQwSpECl6c0ryTcHXWsn0UWtUidmGU2+p&#10;2FjsNttqsxb1LorQGTm2If6hCyeMp0svUDciCXYfzV9QzsgICDpNJLgKtDZSFQ7EZjZ9wuauE0EV&#10;LiQOhotM+P9g5Yf9p8hM2/AVZ144GtHx+7fjj1/Hn1/ZIsvTB6yp6i5QXRrewEBjPseRgpn1oKPL&#10;X+LDKE9CHy7iqiExScGr1WI1X3ImKTVbrK6Wy4xSPfwcIqa3ChzLTsMjza5IKvbvMZ1KzyX5Lg+3&#10;xtoyP+tZTxcsCf5RhsCtzxFVNmGEyYROjWcvDdthZLmF9kAke9qGhntaV87sO09i58U5O/HsbEcn&#10;42N4fZ+on9JmRj1BEb18oNEVouOa5d3481yqHh7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9uWx0gAAAAQBAAAPAAAAAAAAAAEAIAAAACIAAABkcnMvZG93bnJldi54bWxQSwECFAAUAAAACACH&#10;TuJA2L5dJbgBAABUAwAADgAAAAAAAAABACAAAAAhAQAAZHJzL2Uyb0RvYy54bWxQSwUGAAAAAAYA&#10;BgBZAQAASwUAAAAA&#10;">
              <v:fill on="f" focussize="0,0"/>
              <v:stroke on="f"/>
              <v:imagedata o:title=""/>
              <o:lock v:ext="edit" aspectratio="f"/>
              <v:textbox inset="0mm,0mm,0mm,0mm" style="mso-fit-shape-to-text:t;">
                <w:txbxContent>
                  <w:p>
                    <w:pPr>
                      <w:pStyle w:val="9"/>
                      <w:jc w:val="center"/>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2C1"/>
    <w:rsid w:val="00021013"/>
    <w:rsid w:val="00030FAF"/>
    <w:rsid w:val="000400A7"/>
    <w:rsid w:val="0004086D"/>
    <w:rsid w:val="00054583"/>
    <w:rsid w:val="0009096F"/>
    <w:rsid w:val="000911F6"/>
    <w:rsid w:val="000A7B0C"/>
    <w:rsid w:val="000C71B6"/>
    <w:rsid w:val="000F0C54"/>
    <w:rsid w:val="001169E7"/>
    <w:rsid w:val="00135A1C"/>
    <w:rsid w:val="00152C10"/>
    <w:rsid w:val="00161363"/>
    <w:rsid w:val="00171188"/>
    <w:rsid w:val="00172A27"/>
    <w:rsid w:val="001C1D01"/>
    <w:rsid w:val="001E5E8B"/>
    <w:rsid w:val="001F4638"/>
    <w:rsid w:val="0022440A"/>
    <w:rsid w:val="00241DEE"/>
    <w:rsid w:val="00293989"/>
    <w:rsid w:val="002E763F"/>
    <w:rsid w:val="002F3B66"/>
    <w:rsid w:val="002F59B5"/>
    <w:rsid w:val="002F7546"/>
    <w:rsid w:val="0030095A"/>
    <w:rsid w:val="00342F61"/>
    <w:rsid w:val="003565CF"/>
    <w:rsid w:val="00360A6B"/>
    <w:rsid w:val="0039788B"/>
    <w:rsid w:val="003A01C3"/>
    <w:rsid w:val="003B504F"/>
    <w:rsid w:val="003D222E"/>
    <w:rsid w:val="003F5AC7"/>
    <w:rsid w:val="00437D2E"/>
    <w:rsid w:val="004658EC"/>
    <w:rsid w:val="00496805"/>
    <w:rsid w:val="004C0893"/>
    <w:rsid w:val="004C5FCB"/>
    <w:rsid w:val="004E6579"/>
    <w:rsid w:val="00502608"/>
    <w:rsid w:val="005036DA"/>
    <w:rsid w:val="00536B8A"/>
    <w:rsid w:val="005502D5"/>
    <w:rsid w:val="005E61D4"/>
    <w:rsid w:val="005F224F"/>
    <w:rsid w:val="00693534"/>
    <w:rsid w:val="006C4427"/>
    <w:rsid w:val="006C66D2"/>
    <w:rsid w:val="006D1256"/>
    <w:rsid w:val="006F2CA1"/>
    <w:rsid w:val="007070C4"/>
    <w:rsid w:val="007335D9"/>
    <w:rsid w:val="007932A7"/>
    <w:rsid w:val="007B0BA7"/>
    <w:rsid w:val="00806F80"/>
    <w:rsid w:val="00847A6B"/>
    <w:rsid w:val="00887D16"/>
    <w:rsid w:val="00896F01"/>
    <w:rsid w:val="008A0C7B"/>
    <w:rsid w:val="0090555D"/>
    <w:rsid w:val="00934826"/>
    <w:rsid w:val="009449C5"/>
    <w:rsid w:val="009757CA"/>
    <w:rsid w:val="009906A9"/>
    <w:rsid w:val="009C0C69"/>
    <w:rsid w:val="009F0336"/>
    <w:rsid w:val="00A10817"/>
    <w:rsid w:val="00A134FA"/>
    <w:rsid w:val="00A30D25"/>
    <w:rsid w:val="00A629D2"/>
    <w:rsid w:val="00A93288"/>
    <w:rsid w:val="00A97FF6"/>
    <w:rsid w:val="00AA6766"/>
    <w:rsid w:val="00AC3485"/>
    <w:rsid w:val="00AE3CD8"/>
    <w:rsid w:val="00B343D9"/>
    <w:rsid w:val="00B37998"/>
    <w:rsid w:val="00B4130D"/>
    <w:rsid w:val="00B665D0"/>
    <w:rsid w:val="00B91860"/>
    <w:rsid w:val="00BA0F1E"/>
    <w:rsid w:val="00BA5DF5"/>
    <w:rsid w:val="00BB353A"/>
    <w:rsid w:val="00BB4BDC"/>
    <w:rsid w:val="00BD7341"/>
    <w:rsid w:val="00C2149E"/>
    <w:rsid w:val="00C35061"/>
    <w:rsid w:val="00C445D9"/>
    <w:rsid w:val="00C517F4"/>
    <w:rsid w:val="00C552A2"/>
    <w:rsid w:val="00C62A46"/>
    <w:rsid w:val="00C65296"/>
    <w:rsid w:val="00C72C3C"/>
    <w:rsid w:val="00C76448"/>
    <w:rsid w:val="00C8432C"/>
    <w:rsid w:val="00C85510"/>
    <w:rsid w:val="00C91968"/>
    <w:rsid w:val="00CA2475"/>
    <w:rsid w:val="00CA282C"/>
    <w:rsid w:val="00CA2B38"/>
    <w:rsid w:val="00CB1601"/>
    <w:rsid w:val="00CE7791"/>
    <w:rsid w:val="00D02B1F"/>
    <w:rsid w:val="00D21267"/>
    <w:rsid w:val="00D3064C"/>
    <w:rsid w:val="00D37E27"/>
    <w:rsid w:val="00D464A8"/>
    <w:rsid w:val="00D73C03"/>
    <w:rsid w:val="00D76743"/>
    <w:rsid w:val="00DB7547"/>
    <w:rsid w:val="00DE4CB8"/>
    <w:rsid w:val="00E14652"/>
    <w:rsid w:val="00E166E2"/>
    <w:rsid w:val="00E555DB"/>
    <w:rsid w:val="00E73A03"/>
    <w:rsid w:val="00EC1341"/>
    <w:rsid w:val="00EC5623"/>
    <w:rsid w:val="00F33080"/>
    <w:rsid w:val="00F55205"/>
    <w:rsid w:val="00F5656C"/>
    <w:rsid w:val="00F945DC"/>
    <w:rsid w:val="01102C0E"/>
    <w:rsid w:val="011A3824"/>
    <w:rsid w:val="02304C1E"/>
    <w:rsid w:val="028B0F59"/>
    <w:rsid w:val="02DD26E3"/>
    <w:rsid w:val="02DD2FBE"/>
    <w:rsid w:val="033A72A6"/>
    <w:rsid w:val="037176C5"/>
    <w:rsid w:val="037C525F"/>
    <w:rsid w:val="0500094B"/>
    <w:rsid w:val="050C1ED9"/>
    <w:rsid w:val="05B36DB2"/>
    <w:rsid w:val="06BD7302"/>
    <w:rsid w:val="08BB0840"/>
    <w:rsid w:val="09A1370A"/>
    <w:rsid w:val="0B944B47"/>
    <w:rsid w:val="0BFB7931"/>
    <w:rsid w:val="0C593D29"/>
    <w:rsid w:val="0D9643E2"/>
    <w:rsid w:val="0E417C0E"/>
    <w:rsid w:val="0E5B62B4"/>
    <w:rsid w:val="0E5E095D"/>
    <w:rsid w:val="0EC5697A"/>
    <w:rsid w:val="0EED7A61"/>
    <w:rsid w:val="0F1E7544"/>
    <w:rsid w:val="0FE908DB"/>
    <w:rsid w:val="10055116"/>
    <w:rsid w:val="10796FDE"/>
    <w:rsid w:val="10E031FB"/>
    <w:rsid w:val="10F13232"/>
    <w:rsid w:val="11025693"/>
    <w:rsid w:val="110823E5"/>
    <w:rsid w:val="11F65518"/>
    <w:rsid w:val="12605215"/>
    <w:rsid w:val="12C76575"/>
    <w:rsid w:val="141E52F0"/>
    <w:rsid w:val="14AE4C51"/>
    <w:rsid w:val="14DD7AD0"/>
    <w:rsid w:val="14FA0805"/>
    <w:rsid w:val="15107EAA"/>
    <w:rsid w:val="15C664B9"/>
    <w:rsid w:val="16A01C95"/>
    <w:rsid w:val="16F222A3"/>
    <w:rsid w:val="17F01ED9"/>
    <w:rsid w:val="182517DE"/>
    <w:rsid w:val="182C17A9"/>
    <w:rsid w:val="19A02BDF"/>
    <w:rsid w:val="19B3729C"/>
    <w:rsid w:val="1A311256"/>
    <w:rsid w:val="1B840E79"/>
    <w:rsid w:val="1BB14739"/>
    <w:rsid w:val="1BF14AE2"/>
    <w:rsid w:val="1C336CF4"/>
    <w:rsid w:val="1E430D77"/>
    <w:rsid w:val="1FB84F71"/>
    <w:rsid w:val="203523E3"/>
    <w:rsid w:val="20664070"/>
    <w:rsid w:val="20C447E8"/>
    <w:rsid w:val="212E65DA"/>
    <w:rsid w:val="21E151FC"/>
    <w:rsid w:val="21ED6154"/>
    <w:rsid w:val="228A70D0"/>
    <w:rsid w:val="22BC5330"/>
    <w:rsid w:val="23F81BF8"/>
    <w:rsid w:val="24DB0F77"/>
    <w:rsid w:val="24EC4AF3"/>
    <w:rsid w:val="255670F9"/>
    <w:rsid w:val="2617065E"/>
    <w:rsid w:val="26D01826"/>
    <w:rsid w:val="27F756C2"/>
    <w:rsid w:val="28490AC5"/>
    <w:rsid w:val="2A235934"/>
    <w:rsid w:val="2A650E38"/>
    <w:rsid w:val="2AA13F0E"/>
    <w:rsid w:val="2AD64646"/>
    <w:rsid w:val="2B31629B"/>
    <w:rsid w:val="2B6D4422"/>
    <w:rsid w:val="2B9C021B"/>
    <w:rsid w:val="2D2B3EF4"/>
    <w:rsid w:val="2D6854D4"/>
    <w:rsid w:val="2F7E4B70"/>
    <w:rsid w:val="305D005B"/>
    <w:rsid w:val="31915719"/>
    <w:rsid w:val="31A513ED"/>
    <w:rsid w:val="3210314E"/>
    <w:rsid w:val="326B191D"/>
    <w:rsid w:val="33130007"/>
    <w:rsid w:val="33131E8B"/>
    <w:rsid w:val="334B2D69"/>
    <w:rsid w:val="33964895"/>
    <w:rsid w:val="34220773"/>
    <w:rsid w:val="34583F07"/>
    <w:rsid w:val="34BA2498"/>
    <w:rsid w:val="34DA6DB3"/>
    <w:rsid w:val="358E6AC2"/>
    <w:rsid w:val="35F41131"/>
    <w:rsid w:val="364D1AB2"/>
    <w:rsid w:val="36AB745A"/>
    <w:rsid w:val="37941A01"/>
    <w:rsid w:val="37BC1E6F"/>
    <w:rsid w:val="390B1D84"/>
    <w:rsid w:val="3A3F1216"/>
    <w:rsid w:val="3AA33DD0"/>
    <w:rsid w:val="3AE07279"/>
    <w:rsid w:val="3B0C0981"/>
    <w:rsid w:val="3C022DA4"/>
    <w:rsid w:val="3CD479C5"/>
    <w:rsid w:val="3D9E5D78"/>
    <w:rsid w:val="3E8B292B"/>
    <w:rsid w:val="3EC24CAD"/>
    <w:rsid w:val="3F38542B"/>
    <w:rsid w:val="40064A00"/>
    <w:rsid w:val="40CB0281"/>
    <w:rsid w:val="41F65FA1"/>
    <w:rsid w:val="43733E9E"/>
    <w:rsid w:val="43B577A2"/>
    <w:rsid w:val="43DE63C2"/>
    <w:rsid w:val="44C820C9"/>
    <w:rsid w:val="44C8571B"/>
    <w:rsid w:val="45B45B68"/>
    <w:rsid w:val="466239A7"/>
    <w:rsid w:val="46844B32"/>
    <w:rsid w:val="46E046E0"/>
    <w:rsid w:val="470518CE"/>
    <w:rsid w:val="48437CA2"/>
    <w:rsid w:val="49056B24"/>
    <w:rsid w:val="494D0AD5"/>
    <w:rsid w:val="4996550B"/>
    <w:rsid w:val="49A20C06"/>
    <w:rsid w:val="49B00776"/>
    <w:rsid w:val="4B0E2342"/>
    <w:rsid w:val="4B405462"/>
    <w:rsid w:val="4BE75CC2"/>
    <w:rsid w:val="4C1C1521"/>
    <w:rsid w:val="4C1F0D79"/>
    <w:rsid w:val="4C9929BA"/>
    <w:rsid w:val="4E701051"/>
    <w:rsid w:val="4EA75356"/>
    <w:rsid w:val="4F217900"/>
    <w:rsid w:val="4F8D3500"/>
    <w:rsid w:val="50EE03A4"/>
    <w:rsid w:val="517C0A41"/>
    <w:rsid w:val="52A22684"/>
    <w:rsid w:val="52D32F81"/>
    <w:rsid w:val="53716AF0"/>
    <w:rsid w:val="543E5274"/>
    <w:rsid w:val="56EA6BDE"/>
    <w:rsid w:val="56F66874"/>
    <w:rsid w:val="575E02A1"/>
    <w:rsid w:val="58532C56"/>
    <w:rsid w:val="5931573D"/>
    <w:rsid w:val="598B474F"/>
    <w:rsid w:val="59C8403E"/>
    <w:rsid w:val="59E2049D"/>
    <w:rsid w:val="59FD4209"/>
    <w:rsid w:val="5A487437"/>
    <w:rsid w:val="5B2A4CEC"/>
    <w:rsid w:val="5B4F2FF0"/>
    <w:rsid w:val="5BC70A2F"/>
    <w:rsid w:val="5C210223"/>
    <w:rsid w:val="5C2A6EB6"/>
    <w:rsid w:val="5C6B4808"/>
    <w:rsid w:val="5D125434"/>
    <w:rsid w:val="5DAD0AC4"/>
    <w:rsid w:val="5F28261E"/>
    <w:rsid w:val="5F7E58AB"/>
    <w:rsid w:val="5FDD6470"/>
    <w:rsid w:val="60967DA8"/>
    <w:rsid w:val="60CA46DB"/>
    <w:rsid w:val="614028AD"/>
    <w:rsid w:val="622F6B07"/>
    <w:rsid w:val="62832366"/>
    <w:rsid w:val="62852998"/>
    <w:rsid w:val="62BB5F6E"/>
    <w:rsid w:val="63405731"/>
    <w:rsid w:val="63CB62EC"/>
    <w:rsid w:val="64A1558B"/>
    <w:rsid w:val="65433EC8"/>
    <w:rsid w:val="656B6ED8"/>
    <w:rsid w:val="658D3F2D"/>
    <w:rsid w:val="65C272DC"/>
    <w:rsid w:val="65E41E24"/>
    <w:rsid w:val="65F2283E"/>
    <w:rsid w:val="660B13B1"/>
    <w:rsid w:val="663D5516"/>
    <w:rsid w:val="6719013C"/>
    <w:rsid w:val="67436D8A"/>
    <w:rsid w:val="67EF36C5"/>
    <w:rsid w:val="68027D8C"/>
    <w:rsid w:val="688B301A"/>
    <w:rsid w:val="68A10546"/>
    <w:rsid w:val="6AAB7D5C"/>
    <w:rsid w:val="6C1705E3"/>
    <w:rsid w:val="6DB4653E"/>
    <w:rsid w:val="6EE6387E"/>
    <w:rsid w:val="6FCC4EC8"/>
    <w:rsid w:val="7004059F"/>
    <w:rsid w:val="705C65C7"/>
    <w:rsid w:val="740F18F8"/>
    <w:rsid w:val="746F6ED1"/>
    <w:rsid w:val="747D3A01"/>
    <w:rsid w:val="74F21446"/>
    <w:rsid w:val="75863413"/>
    <w:rsid w:val="767D6A17"/>
    <w:rsid w:val="76F352E4"/>
    <w:rsid w:val="774E274E"/>
    <w:rsid w:val="77E37D01"/>
    <w:rsid w:val="785E3E56"/>
    <w:rsid w:val="79A41A9E"/>
    <w:rsid w:val="7A2E2F23"/>
    <w:rsid w:val="7AF44C3C"/>
    <w:rsid w:val="7DCF7F26"/>
    <w:rsid w:val="7DFB1065"/>
    <w:rsid w:val="7E1D53A8"/>
    <w:rsid w:val="7E9E654D"/>
    <w:rsid w:val="7EA605BD"/>
    <w:rsid w:val="7EB50940"/>
    <w:rsid w:val="7F0F6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unhideWhenUsed/>
    <w:qFormat/>
    <w:uiPriority w:val="99"/>
    <w:pPr>
      <w:spacing w:line="360" w:lineRule="auto"/>
      <w:ind w:firstLine="480" w:firstLineChars="200"/>
    </w:pPr>
    <w:rPr>
      <w:rFonts w:ascii="宋体" w:hAnsi="宋体"/>
      <w:sz w:val="24"/>
    </w:rPr>
  </w:style>
  <w:style w:type="paragraph" w:styleId="7">
    <w:name w:val="Plain Text"/>
    <w:basedOn w:val="1"/>
    <w:qFormat/>
    <w:uiPriority w:val="0"/>
    <w:rPr>
      <w:rFonts w:ascii="宋体" w:hAnsi="Courier New"/>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customStyle="1" w:styleId="15">
    <w:name w:val="正文文本缩进 21"/>
    <w:basedOn w:val="1"/>
    <w:qFormat/>
    <w:uiPriority w:val="0"/>
    <w:pPr>
      <w:ind w:firstLine="560" w:firstLineChars="200"/>
    </w:pPr>
    <w:rPr>
      <w:kern w:val="0"/>
      <w:sz w:val="28"/>
    </w:rPr>
  </w:style>
  <w:style w:type="paragraph" w:customStyle="1" w:styleId="16">
    <w:name w:val="正文文本缩进1"/>
    <w:basedOn w:val="1"/>
    <w:qFormat/>
    <w:uiPriority w:val="0"/>
    <w:pPr>
      <w:ind w:firstLine="528"/>
    </w:pPr>
    <w:rPr>
      <w:kern w:val="0"/>
      <w:sz w:val="28"/>
    </w:rPr>
  </w:style>
  <w:style w:type="character" w:customStyle="1" w:styleId="17">
    <w:name w:val="font11"/>
    <w:qFormat/>
    <w:uiPriority w:val="0"/>
    <w:rPr>
      <w:rFonts w:hint="eastAsia" w:ascii="宋体" w:hAnsi="宋体" w:eastAsia="宋体" w:cs="宋体"/>
      <w:color w:val="000000"/>
      <w:sz w:val="24"/>
      <w:szCs w:val="24"/>
      <w:u w:val="none"/>
      <w:vertAlign w:val="superscript"/>
    </w:rPr>
  </w:style>
  <w:style w:type="paragraph" w:customStyle="1" w:styleId="18">
    <w:name w:val="列出段落1"/>
    <w:basedOn w:val="1"/>
    <w:unhideWhenUsed/>
    <w:qFormat/>
    <w:uiPriority w:val="99"/>
    <w:pPr>
      <w:ind w:firstLine="420" w:firstLineChars="200"/>
    </w:p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批注框文本 Char"/>
    <w:basedOn w:val="14"/>
    <w:link w:val="8"/>
    <w:qFormat/>
    <w:uiPriority w:val="0"/>
    <w:rPr>
      <w:kern w:val="2"/>
      <w:sz w:val="18"/>
      <w:szCs w:val="18"/>
    </w:rPr>
  </w:style>
  <w:style w:type="paragraph" w:styleId="21">
    <w:name w:val="List Paragraph"/>
    <w:basedOn w:val="1"/>
    <w:qFormat/>
    <w:uiPriority w:val="99"/>
    <w:pPr>
      <w:ind w:firstLine="420" w:firstLineChars="200"/>
    </w:pPr>
  </w:style>
  <w:style w:type="paragraph" w:customStyle="1" w:styleId="22">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856</Words>
  <Characters>4885</Characters>
  <Lines>40</Lines>
  <Paragraphs>11</Paragraphs>
  <TotalTime>1</TotalTime>
  <ScaleCrop>false</ScaleCrop>
  <LinksUpToDate>false</LinksUpToDate>
  <CharactersWithSpaces>5730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2019-07-31T08:12:00Z</dcterms:created>
  <dc:creator>叶子</dc:creator>
  <cp:lastModifiedBy>user</cp:lastModifiedBy>
  <cp:lastPrinted>2019-10-24T02:52:00Z</cp:lastPrinted>
  <dcterms:modified xsi:type="dcterms:W3CDTF">2019-10-25T05:12:40Z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