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修建部彩瓦更换及防腐保温工程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1020</w:t>
      </w:r>
      <w:r>
        <w:rPr>
          <w:rFonts w:hint="eastAsia" w:ascii="宋体" w:hAnsi="宋体" w:eastAsia="宋体" w:cs="宋体"/>
          <w:bCs/>
          <w:color w:val="2A2A2A"/>
          <w:kern w:val="0"/>
          <w:sz w:val="28"/>
          <w:szCs w:val="28"/>
          <w:lang w:val="en-US" w:eastAsia="zh-CN"/>
        </w:rPr>
        <w:t>11XJQB</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修建部彩瓦更换及防腐保温工程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auto"/>
          <w:sz w:val="24"/>
          <w:szCs w:val="24"/>
        </w:rPr>
        <w:t>国家建设部门颁发的</w:t>
      </w:r>
      <w:r>
        <w:rPr>
          <w:rFonts w:hint="eastAsia" w:ascii="宋体" w:hAnsi="宋体"/>
          <w:color w:val="FF0000"/>
          <w:sz w:val="24"/>
          <w:szCs w:val="24"/>
        </w:rPr>
        <w:t>钢结构专业承包叁级</w:t>
      </w:r>
      <w:r>
        <w:rPr>
          <w:rFonts w:hint="eastAsia"/>
          <w:color w:val="FF0000"/>
          <w:sz w:val="24"/>
          <w:szCs w:val="24"/>
        </w:rPr>
        <w:t>及以上资质证书（含叁级）</w:t>
      </w:r>
      <w:r>
        <w:rPr>
          <w:rFonts w:hint="eastAsia"/>
          <w:color w:val="auto"/>
          <w:sz w:val="24"/>
          <w:szCs w:val="24"/>
        </w:rPr>
        <w:t>和</w:t>
      </w:r>
      <w:r>
        <w:rPr>
          <w:rFonts w:hint="eastAsia"/>
          <w:color w:val="FF0000"/>
          <w:sz w:val="24"/>
          <w:szCs w:val="24"/>
        </w:rPr>
        <w:t>防水防腐保温工程专业承包贰级以上资质（含贰级），</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rPr>
        <w:t>4</w:t>
      </w:r>
      <w:r>
        <w:rPr>
          <w:rFonts w:hint="eastAsia" w:ascii="宋体" w:hAnsi="宋体"/>
          <w:bCs/>
          <w:sz w:val="24"/>
          <w:szCs w:val="24"/>
        </w:rPr>
        <w:t>月</w:t>
      </w:r>
      <w:r>
        <w:rPr>
          <w:rFonts w:hint="eastAsia" w:ascii="宋体" w:hAnsi="宋体"/>
          <w:bCs/>
          <w:color w:val="FF0000"/>
          <w:sz w:val="24"/>
          <w:szCs w:val="24"/>
          <w:lang w:val="en-US" w:eastAsia="zh-CN"/>
        </w:rPr>
        <w:t>20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rPr>
        <w:t>2</w:t>
      </w:r>
      <w:r>
        <w:rPr>
          <w:rFonts w:hint="eastAsia" w:ascii="宋体" w:hAnsi="宋体" w:eastAsia="宋体" w:cs="宋体"/>
          <w:bCs/>
          <w:color w:val="FF0000"/>
          <w:kern w:val="0"/>
          <w:sz w:val="24"/>
          <w:szCs w:val="24"/>
          <w:lang w:val="en-US" w:eastAsia="zh-CN"/>
        </w:rPr>
        <w:t>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rPr>
        <w:t>2</w:t>
      </w:r>
      <w:r>
        <w:rPr>
          <w:rFonts w:hint="eastAsia" w:ascii="宋体" w:hAnsi="宋体" w:eastAsia="宋体" w:cs="宋体"/>
          <w:bCs/>
          <w:color w:val="FF0000"/>
          <w:kern w:val="0"/>
          <w:sz w:val="24"/>
          <w:szCs w:val="24"/>
          <w:lang w:val="en-US" w:eastAsia="zh-CN"/>
        </w:rPr>
        <w:t>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修建部彩瓦更换及防腐保温工程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龙立新</w:t>
      </w:r>
      <w:r>
        <w:rPr>
          <w:rFonts w:hint="eastAsia" w:ascii="宋体" w:hAnsi="宋体" w:eastAsia="宋体" w:cs="宋体"/>
          <w:color w:val="2A2A2A"/>
          <w:kern w:val="0"/>
          <w:sz w:val="24"/>
          <w:szCs w:val="24"/>
        </w:rPr>
        <w:t xml:space="preserve">        </w:t>
      </w:r>
      <w:r>
        <w:rPr>
          <w:rFonts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3855378614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修建部彩瓦更换及防腐保温工程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修建部彩瓦更换及防腐保温工程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rPr>
        <w:t>4</w:t>
      </w:r>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r>
        <w:rPr>
          <w:rFonts w:hint="eastAsia"/>
          <w:szCs w:val="21"/>
          <w:lang w:val="en-US" w:eastAsia="zh-CN"/>
        </w:rPr>
        <w:t>和</w:t>
      </w:r>
      <w:r>
        <w:rPr>
          <w:rFonts w:hint="eastAsia"/>
          <w:szCs w:val="21"/>
        </w:rPr>
        <w:t>投标方现场踏勘</w:t>
      </w:r>
      <w:r>
        <w:rPr>
          <w:rFonts w:hint="eastAsia"/>
          <w:szCs w:val="21"/>
        </w:rPr>
        <w:t>。</w:t>
      </w:r>
    </w:p>
    <w:p>
      <w:pPr>
        <w:spacing w:line="360" w:lineRule="auto"/>
        <w:rPr>
          <w:rFonts w:hint="eastAsia"/>
          <w:szCs w:val="21"/>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w:t>
      </w:r>
      <w:r>
        <w:rPr>
          <w:rFonts w:hint="eastAsia"/>
          <w:szCs w:val="21"/>
        </w:rPr>
        <w:t>公司各事业部彩瓦更换、管道设备保温及钢结构防腐的清包施工，即包工不包料。现场施工环境复杂，特种操作人员必须持证上岗。</w:t>
      </w:r>
    </w:p>
    <w:p>
      <w:pPr>
        <w:spacing w:line="360" w:lineRule="exact"/>
        <w:rPr>
          <w:rFonts w:ascii="宋体" w:hAnsi="宋体"/>
        </w:rPr>
      </w:pPr>
      <w:r>
        <w:rPr>
          <w:rFonts w:hint="eastAsia" w:ascii="宋体" w:hAnsi="宋体"/>
        </w:rPr>
        <w:t>3.  投标有效期:90天。</w:t>
      </w:r>
    </w:p>
    <w:p>
      <w:pPr>
        <w:spacing w:line="360" w:lineRule="exact"/>
        <w:rPr>
          <w:rFonts w:ascii="宋体" w:hAnsi="宋体"/>
        </w:rPr>
      </w:pPr>
      <w:r>
        <w:rPr>
          <w:rFonts w:hint="eastAsia" w:ascii="宋体" w:hAnsi="宋体"/>
        </w:rPr>
        <w:t>4.  本次统一招标，按项目分别签订合同。</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ascii="宋体" w:hAnsi="宋体"/>
        </w:rPr>
        <w:t>0</w:t>
      </w:r>
      <w:r>
        <w:rPr>
          <w:rFonts w:hint="eastAsia" w:ascii="宋体" w:hAnsi="宋体"/>
        </w:rPr>
        <w:t>4月</w:t>
      </w:r>
      <w:r>
        <w:rPr>
          <w:rFonts w:hint="eastAsia" w:ascii="宋体" w:hAnsi="宋体"/>
          <w:lang w:val="en-US" w:eastAsia="zh-CN"/>
        </w:rPr>
        <w:t>25</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hint="eastAsia" w:ascii="宋体" w:hAnsi="宋体"/>
          <w:lang w:val="en-US" w:eastAsia="zh-CN"/>
        </w:rPr>
        <w:t>12</w:t>
      </w:r>
      <w:r>
        <w:rPr>
          <w:rFonts w:hint="eastAsia" w:ascii="宋体" w:hAnsi="宋体"/>
        </w:rPr>
        <w:t>月</w:t>
      </w:r>
      <w:r>
        <w:rPr>
          <w:rFonts w:hint="eastAsia" w:ascii="宋体" w:hAnsi="宋体"/>
          <w:lang w:val="en-US" w:eastAsia="zh-CN"/>
        </w:rPr>
        <w:t>31</w:t>
      </w:r>
      <w:r>
        <w:rPr>
          <w:rFonts w:hint="eastAsia" w:ascii="宋体" w:hAnsi="宋体"/>
        </w:rPr>
        <w:t>日（暂定）</w:t>
      </w:r>
      <w:bookmarkStart w:id="3" w:name="_GoBack"/>
      <w:bookmarkEnd w:id="3"/>
      <w:r>
        <w:rPr>
          <w:rFonts w:hint="eastAsia" w:ascii="宋体" w:hAnsi="宋体"/>
        </w:rPr>
        <w:t>，合同工期总日历天数</w:t>
      </w:r>
      <w:r>
        <w:rPr>
          <w:rFonts w:hint="eastAsia" w:ascii="宋体" w:hAnsi="宋体"/>
          <w:lang w:val="en-US" w:eastAsia="zh-CN"/>
        </w:rPr>
        <w:t>251</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本工程预结算执行《建设工程预结算管理规定》。</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1、按照2018版安徽省建设工程取费标准，总价优惠百分数的方式报价（材料不参与优惠）；拦标价为1%。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不计取：特殊工程技术培训费、远地施工增加费、定额测定编制管理费和上级管理费、施工队伍调迁费）。定额所含8项措施费（包括：夜间施工增加费、二次搬运费、冬雨季施工增加费、已完工程及设备保护费、工程定位复测费、非夜间施工照明费、临时保护设施费、赶工措施费）不予计取。按照图纸施工必须采取的施工方案，如脚手架搭设等，可在施工方案上报发包方相关领导审批认可后，按实际发生的工作量向发包人代表提出工程签证申请。安全与生产同时进行增加费和有害人身健康环境时施工增加费的计取，参照第四册设备安装工程的计取方法，定额总人工增加10%（需据实办理）。</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2、零星用工按综合单价**元/工日（含税）的方式单独报价。（适用于突发性的临时检修抢修等或单项费用不大于3万元的施工任务）。</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3、废旧彩瓦分解按综合单价**元/㎡（含税）的方式单独报价。（包含所有废旧彩瓦的分解、装卸车、打捆、倒运等全部工序涉及的人工费、水平机械费、辅材费、措施费、不可竞争费、税金、水电费等全部费用。）</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4、该工程主材由发包方提供，如钢板、型钢、彩瓦、油漆、斜铁、螺栓、螺母等。所有辅材、工器具由承包人自行提供，如氧气、金火焰、二氧化碳气体、焊条、磨光片、钢丝球、焊把、面罩、铆钉、自攻钉、电焊机、切割机、手拉葫芦、钢丝绳、铁丝、吊带、磨光机等。施工水平运输机械由承包人自行提供，垂直机械原则上由发包人提供。</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5、发包人供应材料设备的结算方法：工程结束后根据图纸及工程相关资料依照合同约定的定额据实结算，超出的材料款从本工程款中扣除，材料单价按照施工期间芜湖市信息价计算。</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6、建筑用钢材和砼承包人须优先采购发包人产品；平台、梯子用钢格板优先使用新兴际华集团产品；由承包人提供使用计划，发包人收到计划经审核同意后15天内提供材料，提料、卸车、保管由承包人负责。</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7、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8、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9、因现场施工需要或为满足本项目正常投用的需要增加图纸之外的工作量以签证形式计取，按实确认，执行厂内定价，签证单办理相关签字手续后作为结算的依据。</w:t>
      </w:r>
    </w:p>
    <w:p>
      <w:p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10、工程内容按合同约定执行，开具增值税发票执行3%税率。</w:t>
      </w:r>
    </w:p>
    <w:p>
      <w:pPr>
        <w:spacing w:beforeLines="50" w:afterLines="50" w:line="360" w:lineRule="exact"/>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11、发包人在指定位置提供施工电源及水源，之外部分承包人自行承担，现场施工水电费结算时按合同总价的７‰扣除或装表据实扣除。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2</w:t>
      </w:r>
      <w:r>
        <w:rPr>
          <w:rFonts w:hint="eastAsia"/>
          <w:bCs/>
          <w:kern w:val="36"/>
          <w:szCs w:val="21"/>
        </w:rPr>
        <w:t>.  本次招标采取综合评分的方式进行评标，评分标准按以下表格计分，投标单位需对表内要求内容在投标书中如实反馈：</w:t>
      </w:r>
    </w:p>
    <w:tbl>
      <w:tblPr>
        <w:tblStyle w:val="10"/>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9" w:hRule="atLeast"/>
        </w:trPr>
        <w:tc>
          <w:tcPr>
            <w:tcW w:w="710"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评分 标准</w:t>
            </w:r>
          </w:p>
        </w:tc>
        <w:tc>
          <w:tcPr>
            <w:tcW w:w="99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标价（50分）</w:t>
            </w:r>
          </w:p>
        </w:tc>
        <w:tc>
          <w:tcPr>
            <w:tcW w:w="8080" w:type="dxa"/>
            <w:gridSpan w:val="3"/>
            <w:noWrap w:val="0"/>
            <w:vAlign w:val="center"/>
          </w:tcPr>
          <w:p>
            <w:pPr>
              <w:widowControl/>
              <w:spacing w:line="360" w:lineRule="auto"/>
              <w:jc w:val="left"/>
              <w:textAlignment w:val="center"/>
              <w:rPr>
                <w:rFonts w:hint="eastAsia" w:ascii="宋体" w:hAnsi="宋体" w:cs="宋体"/>
                <w:color w:val="000000"/>
              </w:rPr>
            </w:pPr>
            <w:r>
              <w:rPr>
                <w:rFonts w:hint="eastAsia" w:ascii="宋体" w:hAnsi="宋体" w:cs="宋体"/>
                <w:color w:val="000000"/>
                <w:kern w:val="0"/>
                <w:szCs w:val="21"/>
              </w:rPr>
              <w:t>满足招标文件要求的前提下，优惠率取所有投标方有效报价的最高优惠率作为评标基准价，废旧彩瓦分解单价及人工单价取所有投标方有效报价的最低价作为评标基准价，(其中定额优惠率占报价分的40%，废旧彩瓦分解单价及人工单价分别占报价分的30%）其他投标方得分为：价格分：50*40</w:t>
            </w:r>
            <w:r>
              <w:rPr>
                <w:rFonts w:ascii="宋体" w:hAnsi="宋体" w:cs="宋体"/>
                <w:color w:val="000000"/>
                <w:kern w:val="0"/>
                <w:szCs w:val="21"/>
              </w:rPr>
              <w:t>%</w:t>
            </w:r>
            <w:r>
              <w:rPr>
                <w:rFonts w:hint="eastAsia" w:ascii="宋体" w:hAnsi="宋体" w:cs="宋体"/>
                <w:color w:val="000000"/>
                <w:kern w:val="0"/>
                <w:szCs w:val="21"/>
              </w:rPr>
              <w:t>[（1-优惠率基准价）/（1-优惠率有效价）]</w:t>
            </w:r>
            <w:r>
              <w:rPr>
                <w:rFonts w:ascii="宋体" w:hAnsi="宋体" w:cs="宋体"/>
                <w:color w:val="000000"/>
                <w:kern w:val="0"/>
                <w:szCs w:val="21"/>
              </w:rPr>
              <w:t>+</w:t>
            </w:r>
            <w:r>
              <w:rPr>
                <w:rFonts w:hint="eastAsia" w:ascii="宋体" w:hAnsi="宋体" w:cs="宋体"/>
                <w:color w:val="000000"/>
                <w:kern w:val="0"/>
                <w:szCs w:val="21"/>
              </w:rPr>
              <w:t>5</w:t>
            </w:r>
            <w:r>
              <w:rPr>
                <w:rFonts w:ascii="宋体" w:hAnsi="宋体" w:cs="宋体"/>
                <w:color w:val="000000"/>
                <w:kern w:val="0"/>
                <w:szCs w:val="21"/>
              </w:rPr>
              <w:t>0*30%（</w:t>
            </w:r>
            <w:r>
              <w:rPr>
                <w:rFonts w:hint="eastAsia" w:ascii="宋体" w:hAnsi="宋体" w:cs="宋体"/>
                <w:color w:val="000000"/>
                <w:kern w:val="0"/>
                <w:szCs w:val="21"/>
              </w:rPr>
              <w:t>人工基准价/人工有效价</w:t>
            </w:r>
            <w:r>
              <w:rPr>
                <w:rFonts w:ascii="宋体" w:hAnsi="宋体" w:cs="宋体"/>
                <w:color w:val="000000"/>
                <w:kern w:val="0"/>
                <w:szCs w:val="21"/>
              </w:rPr>
              <w:t>）+</w:t>
            </w:r>
            <w:r>
              <w:rPr>
                <w:rFonts w:hint="eastAsia" w:ascii="宋体" w:hAnsi="宋体" w:cs="宋体"/>
                <w:color w:val="000000"/>
                <w:kern w:val="0"/>
                <w:szCs w:val="21"/>
              </w:rPr>
              <w:t>5</w:t>
            </w:r>
            <w:r>
              <w:rPr>
                <w:rFonts w:ascii="宋体" w:hAnsi="宋体" w:cs="宋体"/>
                <w:color w:val="000000"/>
                <w:kern w:val="0"/>
                <w:szCs w:val="21"/>
              </w:rPr>
              <w:t>0*30%（</w:t>
            </w:r>
            <w:r>
              <w:rPr>
                <w:rFonts w:hint="eastAsia" w:ascii="宋体" w:hAnsi="宋体" w:cs="宋体"/>
                <w:color w:val="000000"/>
                <w:kern w:val="0"/>
                <w:szCs w:val="21"/>
              </w:rPr>
              <w:t>废旧彩瓦拆解基准价/人工有效价</w:t>
            </w:r>
            <w:r>
              <w:rPr>
                <w:rFonts w:ascii="宋体" w:hAnsi="宋体" w:cs="宋体"/>
                <w:color w:val="000000"/>
                <w:kern w:val="0"/>
                <w:szCs w:val="21"/>
              </w:rPr>
              <w:t>）</w:t>
            </w:r>
            <w:r>
              <w:rPr>
                <w:rFonts w:hint="eastAsia" w:ascii="宋体" w:hAnsi="宋体" w:cs="宋体"/>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3"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企业信誉  （20分）</w:t>
            </w: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项目经理资质及业绩共3分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二级建造师证书1分；对应业绩每项1分，最高得2分。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1"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企业类似项目业绩共3分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每项1分，最高得3分。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rPr>
          <w:rFonts w:ascii="宋体" w:hAnsi="宋体" w:cs="宋体"/>
          <w:color w:val="000000"/>
        </w:rPr>
      </w:pPr>
      <w:r>
        <w:t>2</w:t>
      </w:r>
      <w:r>
        <w:rPr>
          <w:rFonts w:hint="eastAsia"/>
        </w:rPr>
        <w:t>．</w:t>
      </w:r>
      <w:r>
        <w:rPr>
          <w:rFonts w:hint="eastAsia" w:ascii="宋体" w:hAnsi="宋体" w:cs="宋体"/>
          <w:color w:val="000000"/>
        </w:rPr>
        <w:t>双方约定的工程款（进度款）支付的方式：以上工程无预付款、无进度款；</w:t>
      </w:r>
      <w:r>
        <w:rPr>
          <w:rFonts w:ascii="宋体" w:hAnsi="宋体" w:cs="宋体"/>
          <w:color w:val="000000"/>
        </w:rPr>
        <w:t>工程竣工验收合格、结算审核后付至审核价的9</w:t>
      </w:r>
      <w:r>
        <w:rPr>
          <w:rFonts w:hint="eastAsia" w:ascii="宋体" w:hAnsi="宋体" w:cs="宋体"/>
          <w:color w:val="000000"/>
        </w:rPr>
        <w:t>7</w:t>
      </w:r>
      <w:r>
        <w:rPr>
          <w:rFonts w:ascii="宋体" w:hAnsi="宋体" w:cs="宋体"/>
          <w:color w:val="000000"/>
        </w:rPr>
        <w:t>%，留</w:t>
      </w:r>
      <w:r>
        <w:rPr>
          <w:rFonts w:hint="eastAsia" w:ascii="宋体" w:hAnsi="宋体" w:cs="宋体"/>
          <w:color w:val="000000"/>
        </w:rPr>
        <w:t>3</w:t>
      </w:r>
      <w:r>
        <w:rPr>
          <w:rFonts w:ascii="宋体" w:hAnsi="宋体" w:cs="宋体"/>
          <w:color w:val="000000"/>
        </w:rPr>
        <w:t>%为质保金，质保金返还按保修规定。承包人应于发包人支付全部或部分工程款项前向发包人开具增值税专用发票，工程款以6个月承兑汇票支付</w:t>
      </w:r>
      <w:r>
        <w:rPr>
          <w:rFonts w:hint="eastAsia" w:ascii="宋体" w:hAnsi="宋体" w:cs="宋体"/>
          <w:color w:val="000000"/>
        </w:rPr>
        <w:t>。</w:t>
      </w:r>
    </w:p>
    <w:p>
      <w:pPr>
        <w:spacing w:line="360" w:lineRule="exact"/>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详见报价单，超过人工单价、废旧彩瓦分解单价及低于优惠率拦标价报价的做废标处理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b/>
          <w:bCs/>
          <w:color w:val="FF0000"/>
          <w:sz w:val="36"/>
          <w:szCs w:val="36"/>
        </w:rPr>
        <w:t>修建部彩瓦更换及防腐保温工程</w:t>
      </w:r>
      <w:r>
        <w:rPr>
          <w:rFonts w:hint="eastAsia" w:ascii="宋体" w:hAnsi="宋体"/>
          <w:b/>
          <w:bCs/>
          <w:sz w:val="36"/>
          <w:szCs w:val="36"/>
        </w:rPr>
        <w:t>报价单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2887"/>
        <w:gridCol w:w="2600"/>
        <w:gridCol w:w="1575"/>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noWrap w:val="0"/>
            <w:vAlign w:val="center"/>
          </w:tcPr>
          <w:p>
            <w:pPr>
              <w:spacing w:line="300" w:lineRule="auto"/>
              <w:jc w:val="center"/>
              <w:rPr>
                <w:rFonts w:hint="eastAsia" w:ascii="宋体" w:hAnsi="宋体"/>
                <w:sz w:val="24"/>
                <w:szCs w:val="24"/>
              </w:rPr>
            </w:pPr>
            <w:r>
              <w:rPr>
                <w:rFonts w:hint="eastAsia" w:ascii="宋体" w:hAnsi="宋体"/>
                <w:sz w:val="24"/>
                <w:szCs w:val="24"/>
              </w:rPr>
              <w:t>类别</w:t>
            </w:r>
          </w:p>
        </w:tc>
        <w:tc>
          <w:tcPr>
            <w:tcW w:w="2887" w:type="dxa"/>
            <w:noWrap w:val="0"/>
            <w:vAlign w:val="center"/>
          </w:tcPr>
          <w:p>
            <w:pPr>
              <w:spacing w:line="300" w:lineRule="auto"/>
              <w:jc w:val="center"/>
              <w:rPr>
                <w:rFonts w:hint="eastAsia" w:ascii="宋体" w:hAnsi="宋体"/>
                <w:sz w:val="24"/>
                <w:szCs w:val="24"/>
              </w:rPr>
            </w:pPr>
            <w:r>
              <w:rPr>
                <w:rFonts w:hint="eastAsia" w:ascii="宋体" w:hAnsi="宋体"/>
                <w:sz w:val="24"/>
                <w:szCs w:val="24"/>
              </w:rPr>
              <w:t>拦标价</w:t>
            </w:r>
          </w:p>
        </w:tc>
        <w:tc>
          <w:tcPr>
            <w:tcW w:w="2600" w:type="dxa"/>
            <w:noWrap w:val="0"/>
            <w:vAlign w:val="center"/>
          </w:tcPr>
          <w:p>
            <w:pPr>
              <w:spacing w:line="300" w:lineRule="auto"/>
              <w:jc w:val="center"/>
              <w:rPr>
                <w:rFonts w:hint="eastAsia" w:ascii="宋体" w:hAnsi="宋体"/>
                <w:sz w:val="24"/>
                <w:szCs w:val="24"/>
              </w:rPr>
            </w:pPr>
            <w:r>
              <w:rPr>
                <w:rFonts w:hint="eastAsia" w:ascii="宋体" w:hAnsi="宋体"/>
                <w:sz w:val="24"/>
                <w:szCs w:val="24"/>
              </w:rPr>
              <w:t>报价</w:t>
            </w:r>
          </w:p>
        </w:tc>
        <w:tc>
          <w:tcPr>
            <w:tcW w:w="1575" w:type="dxa"/>
            <w:noWrap w:val="0"/>
            <w:vAlign w:val="center"/>
          </w:tcPr>
          <w:p>
            <w:pPr>
              <w:spacing w:line="300" w:lineRule="auto"/>
              <w:jc w:val="center"/>
              <w:rPr>
                <w:rFonts w:hint="eastAsia" w:ascii="宋体" w:hAnsi="宋体"/>
                <w:sz w:val="24"/>
                <w:szCs w:val="24"/>
              </w:rPr>
            </w:pPr>
            <w:r>
              <w:rPr>
                <w:rFonts w:hint="eastAsia" w:ascii="宋体" w:hAnsi="宋体"/>
                <w:sz w:val="24"/>
                <w:szCs w:val="24"/>
              </w:rPr>
              <w:t>权重</w:t>
            </w:r>
          </w:p>
        </w:tc>
        <w:tc>
          <w:tcPr>
            <w:tcW w:w="4056" w:type="dxa"/>
            <w:noWrap w:val="0"/>
            <w:vAlign w:val="center"/>
          </w:tcPr>
          <w:p>
            <w:pPr>
              <w:spacing w:line="300" w:lineRule="auto"/>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noWrap w:val="0"/>
            <w:vAlign w:val="center"/>
          </w:tcPr>
          <w:p>
            <w:pPr>
              <w:spacing w:line="300" w:lineRule="auto"/>
              <w:jc w:val="center"/>
              <w:rPr>
                <w:rFonts w:hint="eastAsia" w:ascii="宋体" w:hAnsi="宋体"/>
                <w:sz w:val="24"/>
                <w:szCs w:val="24"/>
              </w:rPr>
            </w:pPr>
            <w:r>
              <w:rPr>
                <w:rFonts w:hint="eastAsia" w:ascii="宋体" w:hAnsi="宋体"/>
                <w:sz w:val="24"/>
                <w:szCs w:val="24"/>
              </w:rPr>
              <w:t>废旧彩瓦分解报价（含税）</w:t>
            </w:r>
          </w:p>
        </w:tc>
        <w:tc>
          <w:tcPr>
            <w:tcW w:w="2887" w:type="dxa"/>
            <w:noWrap w:val="0"/>
            <w:vAlign w:val="center"/>
          </w:tcPr>
          <w:p>
            <w:pPr>
              <w:spacing w:line="300" w:lineRule="auto"/>
              <w:jc w:val="center"/>
              <w:rPr>
                <w:rFonts w:hint="eastAsia" w:ascii="宋体" w:hAnsi="宋体"/>
                <w:sz w:val="24"/>
                <w:szCs w:val="24"/>
              </w:rPr>
            </w:pPr>
            <w:r>
              <w:rPr>
                <w:rFonts w:hint="eastAsia" w:ascii="宋体" w:hAnsi="宋体" w:cs="宋体"/>
                <w:color w:val="FF0000"/>
                <w:kern w:val="0"/>
                <w:sz w:val="24"/>
                <w:szCs w:val="24"/>
                <w:lang w:bidi="ar"/>
              </w:rPr>
              <w:t xml:space="preserve">  </w:t>
            </w:r>
            <w:r>
              <w:rPr>
                <w:rFonts w:hint="eastAsia" w:ascii="宋体" w:hAnsi="宋体" w:cs="宋体"/>
                <w:color w:val="FF0000"/>
                <w:kern w:val="0"/>
                <w:sz w:val="24"/>
                <w:szCs w:val="24"/>
                <w:u w:val="single"/>
                <w:lang w:bidi="ar"/>
              </w:rPr>
              <w:t xml:space="preserve"> 3 </w:t>
            </w:r>
            <w:r>
              <w:rPr>
                <w:rFonts w:hint="eastAsia" w:ascii="宋体" w:hAnsi="宋体" w:cs="宋体"/>
                <w:color w:val="FF0000"/>
                <w:kern w:val="0"/>
                <w:sz w:val="24"/>
                <w:szCs w:val="24"/>
                <w:lang w:bidi="ar"/>
              </w:rPr>
              <w:t>元/</w:t>
            </w:r>
            <w:r>
              <w:rPr>
                <w:rFonts w:hint="eastAsia" w:ascii="宋体" w:hAnsi="宋体" w:cs="宋体"/>
                <w:color w:val="FF0000"/>
                <w:kern w:val="0"/>
                <w:sz w:val="28"/>
                <w:szCs w:val="28"/>
                <w:lang w:bidi="ar"/>
              </w:rPr>
              <w:t>㎡</w:t>
            </w:r>
          </w:p>
        </w:tc>
        <w:tc>
          <w:tcPr>
            <w:tcW w:w="2600" w:type="dxa"/>
            <w:noWrap w:val="0"/>
            <w:vAlign w:val="center"/>
          </w:tcPr>
          <w:p>
            <w:pPr>
              <w:spacing w:line="300" w:lineRule="auto"/>
              <w:jc w:val="center"/>
              <w:rPr>
                <w:rFonts w:hint="eastAsia" w:ascii="宋体" w:hAnsi="宋体"/>
                <w:sz w:val="24"/>
                <w:szCs w:val="24"/>
              </w:rPr>
            </w:pPr>
            <w:r>
              <w:rPr>
                <w:rFonts w:hint="eastAsia" w:ascii="宋体" w:hAnsi="宋体" w:cs="宋体"/>
                <w:color w:val="FF0000"/>
                <w:kern w:val="0"/>
                <w:sz w:val="24"/>
                <w:szCs w:val="24"/>
                <w:u w:val="single"/>
                <w:lang w:bidi="ar"/>
              </w:rPr>
              <w:t xml:space="preserve">     </w:t>
            </w:r>
            <w:r>
              <w:rPr>
                <w:rFonts w:hint="eastAsia" w:ascii="宋体" w:hAnsi="宋体" w:cs="宋体"/>
                <w:color w:val="FF0000"/>
                <w:kern w:val="0"/>
                <w:sz w:val="24"/>
                <w:szCs w:val="24"/>
                <w:lang w:bidi="ar"/>
              </w:rPr>
              <w:t>元/</w:t>
            </w:r>
            <w:r>
              <w:rPr>
                <w:rFonts w:hint="eastAsia" w:ascii="宋体" w:hAnsi="宋体" w:cs="宋体"/>
                <w:color w:val="FF0000"/>
                <w:kern w:val="0"/>
                <w:sz w:val="28"/>
                <w:szCs w:val="28"/>
                <w:lang w:bidi="ar"/>
              </w:rPr>
              <w:t>㎡</w:t>
            </w:r>
          </w:p>
        </w:tc>
        <w:tc>
          <w:tcPr>
            <w:tcW w:w="1575" w:type="dxa"/>
            <w:noWrap w:val="0"/>
            <w:vAlign w:val="center"/>
          </w:tcPr>
          <w:p>
            <w:pPr>
              <w:spacing w:line="300" w:lineRule="auto"/>
              <w:jc w:val="center"/>
              <w:rPr>
                <w:rFonts w:ascii="宋体" w:hAnsi="宋体"/>
                <w:sz w:val="24"/>
                <w:szCs w:val="24"/>
              </w:rPr>
            </w:pPr>
            <w:r>
              <w:rPr>
                <w:rFonts w:hint="eastAsia" w:ascii="宋体" w:hAnsi="宋体"/>
                <w:sz w:val="24"/>
                <w:szCs w:val="24"/>
              </w:rPr>
              <w:t>30%</w:t>
            </w:r>
          </w:p>
        </w:tc>
        <w:tc>
          <w:tcPr>
            <w:tcW w:w="4056" w:type="dxa"/>
            <w:noWrap w:val="0"/>
            <w:vAlign w:val="center"/>
          </w:tcPr>
          <w:p>
            <w:pPr>
              <w:spacing w:line="300" w:lineRule="auto"/>
              <w:jc w:val="center"/>
              <w:rPr>
                <w:rFonts w:hint="eastAsia" w:ascii="宋体" w:hAnsi="宋体"/>
                <w:sz w:val="24"/>
                <w:szCs w:val="24"/>
              </w:rPr>
            </w:pPr>
            <w:r>
              <w:rPr>
                <w:rFonts w:hint="eastAsia" w:ascii="宋体" w:hAnsi="宋体"/>
                <w:sz w:val="24"/>
                <w:szCs w:val="24"/>
              </w:rPr>
              <w:t>包含所有废旧彩瓦的分解（边长不得超过1米）、装卸车、打捆、倒运等全部工序涉及的人工费、水平机械费、辅材费、措施费、不可竞争费、税金、水电费等全部费用。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noWrap w:val="0"/>
            <w:vAlign w:val="center"/>
          </w:tcPr>
          <w:p>
            <w:pPr>
              <w:spacing w:line="300" w:lineRule="auto"/>
              <w:jc w:val="center"/>
              <w:rPr>
                <w:rFonts w:hint="eastAsia" w:ascii="宋体" w:hAnsi="宋体"/>
                <w:sz w:val="24"/>
                <w:szCs w:val="24"/>
              </w:rPr>
            </w:pPr>
            <w:r>
              <w:rPr>
                <w:rFonts w:hint="eastAsia" w:ascii="宋体" w:hAnsi="宋体" w:cs="宋体"/>
                <w:kern w:val="0"/>
                <w:lang w:bidi="ar"/>
              </w:rPr>
              <w:t>人工单价(含税)</w:t>
            </w:r>
          </w:p>
        </w:tc>
        <w:tc>
          <w:tcPr>
            <w:tcW w:w="2887" w:type="dxa"/>
            <w:noWrap w:val="0"/>
            <w:vAlign w:val="center"/>
          </w:tcPr>
          <w:p>
            <w:pPr>
              <w:spacing w:line="300" w:lineRule="auto"/>
              <w:jc w:val="center"/>
              <w:rPr>
                <w:rFonts w:hint="eastAsia" w:ascii="宋体" w:hAnsi="宋体"/>
                <w:sz w:val="24"/>
                <w:szCs w:val="24"/>
              </w:rPr>
            </w:pPr>
            <w:r>
              <w:rPr>
                <w:rFonts w:hint="eastAsia" w:ascii="宋体" w:hAnsi="宋体" w:cs="宋体"/>
                <w:color w:val="FF0000"/>
                <w:kern w:val="0"/>
                <w:sz w:val="24"/>
                <w:szCs w:val="24"/>
                <w:u w:val="single"/>
                <w:lang w:bidi="ar"/>
              </w:rPr>
              <w:t xml:space="preserve"> 280 </w:t>
            </w:r>
            <w:r>
              <w:rPr>
                <w:rFonts w:hint="eastAsia" w:ascii="宋体" w:hAnsi="宋体" w:cs="宋体"/>
                <w:color w:val="FF0000"/>
                <w:kern w:val="0"/>
                <w:sz w:val="24"/>
                <w:szCs w:val="24"/>
                <w:lang w:bidi="ar"/>
              </w:rPr>
              <w:t>元/</w:t>
            </w:r>
            <w:r>
              <w:rPr>
                <w:rFonts w:hint="eastAsia" w:ascii="宋体" w:hAnsi="宋体" w:cs="宋体"/>
                <w:color w:val="FF0000"/>
                <w:kern w:val="0"/>
                <w:sz w:val="28"/>
                <w:szCs w:val="28"/>
                <w:lang w:bidi="ar"/>
              </w:rPr>
              <w:t>工日</w:t>
            </w:r>
          </w:p>
        </w:tc>
        <w:tc>
          <w:tcPr>
            <w:tcW w:w="2600" w:type="dxa"/>
            <w:noWrap w:val="0"/>
            <w:vAlign w:val="center"/>
          </w:tcPr>
          <w:p>
            <w:pPr>
              <w:spacing w:line="300" w:lineRule="auto"/>
              <w:jc w:val="center"/>
              <w:rPr>
                <w:rFonts w:hint="eastAsia" w:ascii="宋体" w:hAnsi="宋体"/>
                <w:sz w:val="24"/>
                <w:szCs w:val="24"/>
              </w:rPr>
            </w:pPr>
            <w:r>
              <w:rPr>
                <w:rFonts w:hint="eastAsia" w:ascii="宋体" w:hAnsi="宋体" w:cs="宋体"/>
                <w:color w:val="FF0000"/>
                <w:kern w:val="0"/>
                <w:sz w:val="24"/>
                <w:szCs w:val="24"/>
                <w:u w:val="single"/>
                <w:lang w:bidi="ar"/>
              </w:rPr>
              <w:t xml:space="preserve">     </w:t>
            </w:r>
            <w:r>
              <w:rPr>
                <w:rFonts w:hint="eastAsia" w:ascii="宋体" w:hAnsi="宋体" w:cs="宋体"/>
                <w:color w:val="FF0000"/>
                <w:kern w:val="0"/>
                <w:sz w:val="24"/>
                <w:szCs w:val="24"/>
                <w:lang w:bidi="ar"/>
              </w:rPr>
              <w:t>元/</w:t>
            </w:r>
            <w:r>
              <w:rPr>
                <w:rFonts w:hint="eastAsia" w:ascii="宋体" w:hAnsi="宋体" w:cs="宋体"/>
                <w:color w:val="FF0000"/>
                <w:kern w:val="0"/>
                <w:sz w:val="28"/>
                <w:szCs w:val="28"/>
                <w:lang w:bidi="ar"/>
              </w:rPr>
              <w:t>工日</w:t>
            </w:r>
          </w:p>
        </w:tc>
        <w:tc>
          <w:tcPr>
            <w:tcW w:w="1575" w:type="dxa"/>
            <w:noWrap w:val="0"/>
            <w:vAlign w:val="center"/>
          </w:tcPr>
          <w:p>
            <w:pPr>
              <w:spacing w:line="300" w:lineRule="auto"/>
              <w:jc w:val="center"/>
              <w:rPr>
                <w:rFonts w:hint="eastAsia" w:ascii="宋体" w:hAnsi="宋体"/>
                <w:sz w:val="24"/>
                <w:szCs w:val="24"/>
              </w:rPr>
            </w:pPr>
            <w:r>
              <w:rPr>
                <w:rFonts w:hint="eastAsia" w:ascii="宋体" w:hAnsi="宋体"/>
                <w:sz w:val="24"/>
                <w:szCs w:val="24"/>
              </w:rPr>
              <w:t>30%</w:t>
            </w:r>
          </w:p>
        </w:tc>
        <w:tc>
          <w:tcPr>
            <w:tcW w:w="4056" w:type="dxa"/>
            <w:noWrap w:val="0"/>
            <w:vAlign w:val="center"/>
          </w:tcPr>
          <w:p>
            <w:pPr>
              <w:spacing w:line="30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noWrap w:val="0"/>
            <w:vAlign w:val="center"/>
          </w:tcPr>
          <w:p>
            <w:pPr>
              <w:spacing w:line="300" w:lineRule="auto"/>
              <w:jc w:val="center"/>
              <w:rPr>
                <w:rFonts w:hint="eastAsia" w:ascii="宋体" w:hAnsi="宋体"/>
                <w:sz w:val="24"/>
                <w:szCs w:val="24"/>
              </w:rPr>
            </w:pPr>
            <w:r>
              <w:rPr>
                <w:rFonts w:hint="eastAsia" w:ascii="宋体" w:hAnsi="宋体" w:cs="宋体"/>
                <w:kern w:val="0"/>
                <w:lang w:bidi="ar"/>
              </w:rPr>
              <w:t>总价优惠（含税）</w:t>
            </w:r>
          </w:p>
        </w:tc>
        <w:tc>
          <w:tcPr>
            <w:tcW w:w="2887" w:type="dxa"/>
            <w:noWrap w:val="0"/>
            <w:vAlign w:val="center"/>
          </w:tcPr>
          <w:p>
            <w:pPr>
              <w:spacing w:line="300" w:lineRule="auto"/>
              <w:jc w:val="center"/>
              <w:rPr>
                <w:rFonts w:hint="eastAsia" w:ascii="宋体" w:hAnsi="宋体"/>
                <w:sz w:val="24"/>
                <w:szCs w:val="24"/>
              </w:rPr>
            </w:pPr>
            <w:r>
              <w:rPr>
                <w:rFonts w:hint="eastAsia" w:ascii="宋体" w:hAnsi="宋体" w:cs="宋体"/>
                <w:color w:val="000000"/>
                <w:kern w:val="0"/>
                <w:sz w:val="24"/>
                <w:szCs w:val="24"/>
                <w:lang w:bidi="ar"/>
              </w:rPr>
              <w:t>1%</w:t>
            </w:r>
          </w:p>
        </w:tc>
        <w:tc>
          <w:tcPr>
            <w:tcW w:w="2600" w:type="dxa"/>
            <w:noWrap w:val="0"/>
            <w:vAlign w:val="center"/>
          </w:tcPr>
          <w:p>
            <w:pPr>
              <w:spacing w:line="300" w:lineRule="auto"/>
              <w:jc w:val="center"/>
              <w:rPr>
                <w:rFonts w:hint="eastAsia" w:ascii="宋体" w:hAnsi="宋体"/>
                <w:sz w:val="24"/>
                <w:szCs w:val="24"/>
              </w:rPr>
            </w:pPr>
            <w:r>
              <w:rPr>
                <w:rFonts w:hint="eastAsia" w:ascii="宋体" w:hAnsi="宋体" w:cs="宋体"/>
                <w:sz w:val="24"/>
                <w:szCs w:val="24"/>
              </w:rPr>
              <w:t>优惠</w:t>
            </w:r>
            <w:r>
              <w:rPr>
                <w:rFonts w:hint="eastAsia" w:ascii="宋体" w:hAnsi="宋体" w:cs="宋体"/>
                <w:sz w:val="24"/>
                <w:szCs w:val="24"/>
                <w:u w:val="single"/>
              </w:rPr>
              <w:t xml:space="preserve">     </w:t>
            </w:r>
            <w:r>
              <w:rPr>
                <w:rFonts w:hint="eastAsia" w:ascii="宋体" w:hAnsi="宋体" w:cs="宋体"/>
                <w:sz w:val="24"/>
                <w:szCs w:val="24"/>
              </w:rPr>
              <w:t>%</w:t>
            </w:r>
          </w:p>
        </w:tc>
        <w:tc>
          <w:tcPr>
            <w:tcW w:w="1575" w:type="dxa"/>
            <w:noWrap w:val="0"/>
            <w:vAlign w:val="center"/>
          </w:tcPr>
          <w:p>
            <w:pPr>
              <w:spacing w:line="300" w:lineRule="auto"/>
              <w:jc w:val="center"/>
              <w:rPr>
                <w:rFonts w:hint="eastAsia" w:ascii="宋体" w:hAnsi="宋体"/>
                <w:sz w:val="24"/>
                <w:szCs w:val="24"/>
              </w:rPr>
            </w:pPr>
            <w:r>
              <w:rPr>
                <w:rFonts w:hint="eastAsia" w:ascii="宋体" w:hAnsi="宋体"/>
                <w:sz w:val="24"/>
                <w:szCs w:val="24"/>
              </w:rPr>
              <w:t>40%</w:t>
            </w:r>
          </w:p>
        </w:tc>
        <w:tc>
          <w:tcPr>
            <w:tcW w:w="4056" w:type="dxa"/>
            <w:noWrap w:val="0"/>
            <w:vAlign w:val="center"/>
          </w:tcPr>
          <w:p>
            <w:pPr>
              <w:spacing w:line="300" w:lineRule="auto"/>
              <w:jc w:val="center"/>
              <w:rPr>
                <w:rFonts w:hint="eastAsia" w:ascii="宋体" w:hAnsi="宋体"/>
                <w:sz w:val="24"/>
                <w:szCs w:val="24"/>
              </w:rPr>
            </w:pPr>
            <w:r>
              <w:rPr>
                <w:rFonts w:hint="eastAsia" w:ascii="宋体" w:hAnsi="宋体" w:cs="宋体"/>
                <w:szCs w:val="21"/>
              </w:rPr>
              <w:t>执行2018版安徽省建设工程计价定额及配套费用定额，材料费不参与总价优惠。定额所含8项措施费（包括：夜间施工增加费、二次搬运费、冬雨季施工增加费、已完工程及设备保护费、工程定位复测费、非夜间施工照明费、临时保护设施费、赶工措施费）不予计取。</w:t>
            </w:r>
          </w:p>
        </w:tc>
      </w:tr>
    </w:tbl>
    <w:p>
      <w:pPr>
        <w:spacing w:line="300" w:lineRule="auto"/>
        <w:ind w:firstLine="480" w:firstLineChars="200"/>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0">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0">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rFonts w:hint="eastAsia"/>
          <w:b/>
          <w:sz w:val="18"/>
          <w:szCs w:val="18"/>
        </w:rPr>
      </w:pPr>
      <w:r>
        <w:rPr>
          <w:b/>
          <w:sz w:val="18"/>
          <w:szCs w:val="18"/>
        </w:rPr>
        <w:t>电子备案，上传以下资料至网站：</w:t>
      </w:r>
    </w:p>
    <w:p>
      <w:pPr>
        <w:numPr>
          <w:ilvl w:val="1"/>
          <w:numId w:val="10"/>
        </w:numPr>
        <w:rPr>
          <w:rFonts w:hint="eastAsia"/>
          <w:sz w:val="18"/>
          <w:szCs w:val="18"/>
        </w:rPr>
      </w:pPr>
      <w:r>
        <w:rPr>
          <w:sz w:val="18"/>
          <w:szCs w:val="18"/>
        </w:rPr>
        <w:t>企业营业执照     （需加盖公司章）</w:t>
      </w:r>
    </w:p>
    <w:p>
      <w:pPr>
        <w:numPr>
          <w:ilvl w:val="1"/>
          <w:numId w:val="10"/>
        </w:numPr>
        <w:rPr>
          <w:rFonts w:hint="eastAsia"/>
          <w:sz w:val="18"/>
          <w:szCs w:val="18"/>
        </w:rPr>
      </w:pPr>
      <w:r>
        <w:rPr>
          <w:sz w:val="18"/>
          <w:szCs w:val="18"/>
        </w:rPr>
        <w:t>安全生产许可证   （需加盖公司章）</w:t>
      </w:r>
    </w:p>
    <w:p>
      <w:pPr>
        <w:numPr>
          <w:ilvl w:val="1"/>
          <w:numId w:val="10"/>
        </w:numPr>
        <w:rPr>
          <w:rFonts w:hint="eastAsia"/>
          <w:sz w:val="18"/>
          <w:szCs w:val="18"/>
        </w:rPr>
      </w:pPr>
      <w:r>
        <w:rPr>
          <w:sz w:val="18"/>
          <w:szCs w:val="18"/>
        </w:rPr>
        <w:t>特种设备安装维修许可证书    （若不涉及可不用上传，需加盖公司章）</w:t>
      </w:r>
    </w:p>
    <w:p>
      <w:pPr>
        <w:numPr>
          <w:ilvl w:val="1"/>
          <w:numId w:val="10"/>
        </w:numPr>
        <w:rPr>
          <w:rFonts w:hint="eastAsia"/>
          <w:sz w:val="18"/>
          <w:szCs w:val="18"/>
        </w:rPr>
      </w:pPr>
      <w:r>
        <w:rPr>
          <w:sz w:val="18"/>
          <w:szCs w:val="18"/>
        </w:rPr>
        <w:t>建筑企业资质证书  （需加盖公司章）</w:t>
      </w:r>
    </w:p>
    <w:p>
      <w:pPr>
        <w:numPr>
          <w:ilvl w:val="1"/>
          <w:numId w:val="10"/>
        </w:numPr>
        <w:rPr>
          <w:rFonts w:hint="eastAsia"/>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rFonts w:hint="eastAsia"/>
          <w:sz w:val="18"/>
          <w:szCs w:val="18"/>
        </w:rPr>
      </w:pPr>
      <w:r>
        <w:rPr>
          <w:sz w:val="18"/>
          <w:szCs w:val="18"/>
        </w:rPr>
        <w:t>项目安全保障金缴纳记录（不少于60万，财务签字）</w:t>
      </w:r>
    </w:p>
    <w:p>
      <w:pPr>
        <w:numPr>
          <w:ilvl w:val="1"/>
          <w:numId w:val="10"/>
        </w:numPr>
        <w:rPr>
          <w:rFonts w:hint="eastAsia"/>
          <w:sz w:val="18"/>
          <w:szCs w:val="18"/>
        </w:rPr>
      </w:pPr>
      <w:r>
        <w:rPr>
          <w:sz w:val="18"/>
          <w:szCs w:val="18"/>
        </w:rPr>
        <w:t>二级建造师/一级建造师证件  （需加盖建造师章）</w:t>
      </w:r>
    </w:p>
    <w:p>
      <w:pPr>
        <w:numPr>
          <w:ilvl w:val="1"/>
          <w:numId w:val="10"/>
        </w:numPr>
        <w:rPr>
          <w:rFonts w:hint="eastAsia"/>
          <w:sz w:val="18"/>
          <w:szCs w:val="18"/>
        </w:rPr>
      </w:pPr>
      <w:r>
        <w:rPr>
          <w:sz w:val="18"/>
          <w:szCs w:val="18"/>
        </w:rPr>
        <w:t>专职安全管理人员B/C证</w:t>
      </w:r>
    </w:p>
    <w:p>
      <w:pPr>
        <w:numPr>
          <w:ilvl w:val="1"/>
          <w:numId w:val="10"/>
        </w:numPr>
        <w:rPr>
          <w:rFonts w:hint="eastAsia"/>
          <w:sz w:val="18"/>
          <w:szCs w:val="18"/>
        </w:rPr>
      </w:pPr>
      <w:r>
        <w:rPr>
          <w:sz w:val="18"/>
          <w:szCs w:val="18"/>
        </w:rPr>
        <w:t>安全管理机构设置文件  （需加盖公司章）</w:t>
      </w:r>
    </w:p>
    <w:p>
      <w:pPr>
        <w:numPr>
          <w:ilvl w:val="1"/>
          <w:numId w:val="10"/>
        </w:numPr>
        <w:rPr>
          <w:rFonts w:hint="eastAsia"/>
          <w:sz w:val="18"/>
          <w:szCs w:val="18"/>
        </w:rPr>
      </w:pPr>
      <w:r>
        <w:rPr>
          <w:sz w:val="18"/>
          <w:szCs w:val="18"/>
        </w:rPr>
        <w:t>安全生产管理制度   （需加盖公司章，法人签字）</w:t>
      </w:r>
    </w:p>
    <w:p>
      <w:pPr>
        <w:ind w:left="720"/>
        <w:rPr>
          <w:rFonts w:hint="eastAsia"/>
          <w:sz w:val="18"/>
          <w:szCs w:val="18"/>
        </w:rPr>
      </w:pPr>
      <w:r>
        <w:rPr>
          <w:sz w:val="18"/>
          <w:szCs w:val="18"/>
        </w:rPr>
        <w:t>1-10-1.安全生产责任制</w:t>
      </w:r>
    </w:p>
    <w:p>
      <w:pPr>
        <w:ind w:left="720"/>
        <w:rPr>
          <w:rFonts w:hint="eastAsia"/>
          <w:sz w:val="18"/>
          <w:szCs w:val="18"/>
        </w:rPr>
      </w:pPr>
      <w:r>
        <w:rPr>
          <w:sz w:val="18"/>
          <w:szCs w:val="18"/>
        </w:rPr>
        <w:t>1-10-2.安全生产培训教育制度</w:t>
      </w:r>
    </w:p>
    <w:p>
      <w:pPr>
        <w:ind w:left="720"/>
        <w:rPr>
          <w:rFonts w:hint="eastAsia"/>
          <w:sz w:val="18"/>
          <w:szCs w:val="18"/>
        </w:rPr>
      </w:pPr>
      <w:r>
        <w:rPr>
          <w:sz w:val="18"/>
          <w:szCs w:val="18"/>
        </w:rPr>
        <w:t>1-10-3.安全检查制度</w:t>
      </w:r>
    </w:p>
    <w:p>
      <w:pPr>
        <w:ind w:left="720"/>
        <w:rPr>
          <w:rFonts w:hint="eastAsia"/>
          <w:sz w:val="18"/>
          <w:szCs w:val="18"/>
        </w:rPr>
      </w:pPr>
      <w:r>
        <w:rPr>
          <w:sz w:val="18"/>
          <w:szCs w:val="18"/>
        </w:rPr>
        <w:t>1-10-4.安全生产奖惩制度</w:t>
      </w:r>
    </w:p>
    <w:p>
      <w:pPr>
        <w:ind w:left="720"/>
        <w:rPr>
          <w:rFonts w:hint="eastAsia"/>
          <w:sz w:val="18"/>
          <w:szCs w:val="18"/>
        </w:rPr>
      </w:pPr>
      <w:r>
        <w:rPr>
          <w:sz w:val="18"/>
          <w:szCs w:val="18"/>
        </w:rPr>
        <w:t>1-10-5.事故隐患整改制度</w:t>
      </w:r>
    </w:p>
    <w:p>
      <w:pPr>
        <w:ind w:left="720"/>
        <w:rPr>
          <w:rFonts w:hint="eastAsia"/>
          <w:sz w:val="18"/>
          <w:szCs w:val="18"/>
        </w:rPr>
      </w:pPr>
      <w:r>
        <w:rPr>
          <w:sz w:val="18"/>
          <w:szCs w:val="18"/>
        </w:rPr>
        <w:t>1-10-6.事故管理制度</w:t>
      </w:r>
    </w:p>
    <w:p>
      <w:pPr>
        <w:ind w:left="720"/>
        <w:rPr>
          <w:rFonts w:hint="eastAsia"/>
          <w:sz w:val="18"/>
          <w:szCs w:val="18"/>
        </w:rPr>
      </w:pPr>
      <w:r>
        <w:rPr>
          <w:sz w:val="18"/>
          <w:szCs w:val="18"/>
        </w:rPr>
        <w:t>1-10-7.安全操作规程</w:t>
      </w:r>
    </w:p>
    <w:p>
      <w:pPr>
        <w:ind w:left="720"/>
        <w:rPr>
          <w:rFonts w:hint="eastAsia"/>
          <w:sz w:val="18"/>
          <w:szCs w:val="18"/>
        </w:rPr>
      </w:pPr>
      <w:r>
        <w:rPr>
          <w:sz w:val="18"/>
          <w:szCs w:val="18"/>
        </w:rPr>
        <w:t>1-10-8.安全生产事故应急预案</w:t>
      </w:r>
    </w:p>
    <w:p>
      <w:pPr>
        <w:numPr>
          <w:ilvl w:val="1"/>
          <w:numId w:val="10"/>
        </w:numPr>
        <w:rPr>
          <w:rFonts w:hint="eastAsia"/>
          <w:sz w:val="18"/>
          <w:szCs w:val="18"/>
        </w:rPr>
      </w:pPr>
      <w:r>
        <w:rPr>
          <w:sz w:val="18"/>
          <w:szCs w:val="18"/>
        </w:rPr>
        <w:t>从业人员安全三级教育记录   （需加盖公司章）</w:t>
      </w:r>
    </w:p>
    <w:p>
      <w:pPr>
        <w:numPr>
          <w:ilvl w:val="1"/>
          <w:numId w:val="10"/>
        </w:numPr>
        <w:rPr>
          <w:rFonts w:hint="eastAsia"/>
          <w:sz w:val="18"/>
          <w:szCs w:val="18"/>
        </w:rPr>
      </w:pPr>
      <w:r>
        <w:rPr>
          <w:sz w:val="18"/>
          <w:szCs w:val="18"/>
        </w:rPr>
        <w:t>从业人员意外伤害险/团体险/建筑工程一切险保单</w:t>
      </w:r>
    </w:p>
    <w:p>
      <w:pPr>
        <w:numPr>
          <w:ilvl w:val="1"/>
          <w:numId w:val="10"/>
        </w:numPr>
        <w:rPr>
          <w:rFonts w:hint="eastAsia"/>
          <w:sz w:val="18"/>
          <w:szCs w:val="18"/>
        </w:rPr>
      </w:pPr>
      <w:r>
        <w:rPr>
          <w:sz w:val="18"/>
          <w:szCs w:val="18"/>
        </w:rPr>
        <w:t>特种作业人员证件  （原件图片，若不涉及可不用上传，明细详见第二页）</w:t>
      </w:r>
    </w:p>
    <w:p>
      <w:pPr>
        <w:rPr>
          <w:rFonts w:hint="eastAsia"/>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rFonts w:hint="eastAsia"/>
          <w:sz w:val="18"/>
          <w:szCs w:val="18"/>
        </w:rPr>
      </w:pPr>
      <w:r>
        <w:rPr>
          <w:sz w:val="18"/>
          <w:szCs w:val="18"/>
        </w:rPr>
        <w:t>上传资料文件格式：PDF文档</w:t>
      </w:r>
    </w:p>
    <w:p>
      <w:pPr>
        <w:rPr>
          <w:rFonts w:hint="eastAsia"/>
          <w:sz w:val="11"/>
          <w:szCs w:val="11"/>
        </w:rPr>
      </w:pPr>
    </w:p>
    <w:p>
      <w:pPr>
        <w:numPr>
          <w:ilvl w:val="0"/>
          <w:numId w:val="9"/>
        </w:numPr>
        <w:rPr>
          <w:rFonts w:hint="eastAsia"/>
          <w:b/>
          <w:sz w:val="18"/>
          <w:szCs w:val="18"/>
        </w:rPr>
      </w:pPr>
      <w:r>
        <w:rPr>
          <w:b/>
          <w:sz w:val="18"/>
          <w:szCs w:val="18"/>
        </w:rPr>
        <w:t>纸质备案，上交以下资料至主管工程师：</w:t>
      </w:r>
    </w:p>
    <w:p>
      <w:pPr>
        <w:rPr>
          <w:rFonts w:hint="eastAsia"/>
          <w:sz w:val="18"/>
          <w:szCs w:val="18"/>
        </w:rPr>
      </w:pPr>
      <w:r>
        <w:rPr>
          <w:sz w:val="18"/>
          <w:szCs w:val="18"/>
        </w:rPr>
        <w:t>2-1.防疫承诺书（包含公司及个人承诺书）      （需加盖公司章，个人承诺书本人签字）</w:t>
      </w:r>
    </w:p>
    <w:p>
      <w:pPr>
        <w:rPr>
          <w:rFonts w:hint="eastAsia"/>
          <w:sz w:val="18"/>
          <w:szCs w:val="18"/>
        </w:rPr>
      </w:pPr>
      <w:r>
        <w:rPr>
          <w:sz w:val="18"/>
          <w:szCs w:val="18"/>
        </w:rPr>
        <w:t>2-2. 返岗人员名单      （需加盖公司章）</w:t>
      </w:r>
    </w:p>
    <w:p>
      <w:pPr>
        <w:rPr>
          <w:rFonts w:hint="eastAsia"/>
          <w:sz w:val="18"/>
          <w:szCs w:val="18"/>
        </w:rPr>
      </w:pPr>
      <w:r>
        <w:rPr>
          <w:sz w:val="18"/>
          <w:szCs w:val="18"/>
        </w:rPr>
        <w:t>2-3. 复工人员审查表    （包括途径地及安康码）</w:t>
      </w:r>
    </w:p>
    <w:p>
      <w:pPr>
        <w:rPr>
          <w:rFonts w:hint="eastAsia"/>
          <w:sz w:val="18"/>
          <w:szCs w:val="18"/>
        </w:rPr>
      </w:pPr>
      <w:r>
        <w:rPr>
          <w:sz w:val="18"/>
          <w:szCs w:val="18"/>
        </w:rPr>
        <w:t>2-4. 防疫物资配备审核表（需加盖公司章）</w:t>
      </w:r>
    </w:p>
    <w:p>
      <w:pPr>
        <w:tabs>
          <w:tab w:val="left" w:pos="509"/>
          <w:tab w:val="left" w:pos="5580"/>
        </w:tabs>
        <w:rPr>
          <w:rFonts w:hint="eastAsia"/>
          <w:sz w:val="18"/>
          <w:szCs w:val="18"/>
        </w:rPr>
      </w:pPr>
      <w:r>
        <w:rPr>
          <w:sz w:val="18"/>
          <w:szCs w:val="18"/>
        </w:rPr>
        <w:t>2-5. 复工人员现场及项目部住宿审核表（需加盖公司章）</w:t>
      </w:r>
    </w:p>
    <w:p>
      <w:pPr>
        <w:tabs>
          <w:tab w:val="left" w:pos="509"/>
          <w:tab w:val="left" w:pos="5580"/>
        </w:tabs>
        <w:rPr>
          <w:rFonts w:hint="eastAsia"/>
          <w:sz w:val="18"/>
          <w:szCs w:val="18"/>
        </w:rPr>
      </w:pPr>
      <w:r>
        <w:rPr>
          <w:sz w:val="18"/>
          <w:szCs w:val="18"/>
        </w:rPr>
        <w:t>2-6. 复工人员每天体温测量表（需加盖公司章）</w:t>
      </w:r>
    </w:p>
    <w:p>
      <w:pPr>
        <w:tabs>
          <w:tab w:val="left" w:pos="509"/>
          <w:tab w:val="left" w:pos="5580"/>
        </w:tabs>
        <w:rPr>
          <w:rFonts w:hint="eastAsia"/>
          <w:sz w:val="18"/>
          <w:szCs w:val="18"/>
        </w:rPr>
      </w:pPr>
      <w:r>
        <w:rPr>
          <w:sz w:val="18"/>
          <w:szCs w:val="18"/>
        </w:rPr>
        <w:t>2-7. 新型冠状病毒感染的肺炎疫情防控方案  （需加盖公司章）</w:t>
      </w:r>
    </w:p>
    <w:p>
      <w:pPr>
        <w:tabs>
          <w:tab w:val="left" w:pos="509"/>
          <w:tab w:val="left" w:pos="5580"/>
        </w:tabs>
        <w:rPr>
          <w:rFonts w:hint="eastAsia"/>
          <w:sz w:val="18"/>
          <w:szCs w:val="18"/>
        </w:rPr>
      </w:pPr>
      <w:r>
        <w:rPr>
          <w:sz w:val="18"/>
          <w:szCs w:val="18"/>
        </w:rPr>
        <w:t>2-8.</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rFonts w:hint="eastAsia"/>
          <w:sz w:val="18"/>
          <w:szCs w:val="18"/>
        </w:rPr>
      </w:pPr>
      <w:r>
        <w:rPr>
          <w:sz w:val="18"/>
          <w:szCs w:val="18"/>
        </w:rPr>
        <w:t>2-9. 在建工程项目复工申请（需加盖公司章）</w:t>
      </w:r>
    </w:p>
    <w:p>
      <w:pPr>
        <w:rPr>
          <w:rFonts w:hint="eastAsia"/>
          <w:sz w:val="18"/>
          <w:szCs w:val="18"/>
        </w:rPr>
      </w:pPr>
      <w:r>
        <w:rPr>
          <w:sz w:val="18"/>
          <w:szCs w:val="18"/>
        </w:rPr>
        <w:t>2-10.非芜湖本地人员，提供3天以内核酸检测报告</w:t>
      </w:r>
    </w:p>
    <w:p>
      <w:pPr>
        <w:rPr>
          <w:rFonts w:hint="eastAsia"/>
          <w:sz w:val="18"/>
          <w:szCs w:val="18"/>
        </w:rPr>
      </w:pPr>
    </w:p>
    <w:p>
      <w:pPr>
        <w:numPr>
          <w:ilvl w:val="0"/>
          <w:numId w:val="9"/>
        </w:numPr>
        <w:spacing w:after="160"/>
        <w:rPr>
          <w:rFonts w:hint="eastAsia"/>
          <w:b/>
          <w:sz w:val="18"/>
          <w:szCs w:val="18"/>
        </w:rPr>
      </w:pPr>
      <w:r>
        <w:rPr>
          <w:b/>
          <w:sz w:val="18"/>
          <w:szCs w:val="18"/>
        </w:rPr>
        <w:t>建筑行业特种作业人员持证类型</w:t>
      </w:r>
    </w:p>
    <w:p>
      <w:pPr>
        <w:spacing w:after="160"/>
        <w:ind w:left="720"/>
        <w:rPr>
          <w:rFonts w:hint="eastAsia"/>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序号</w:t>
            </w:r>
          </w:p>
        </w:tc>
        <w:tc>
          <w:tcPr>
            <w:tcW w:w="2394" w:type="dxa"/>
          </w:tcPr>
          <w:p>
            <w:pPr>
              <w:tabs>
                <w:tab w:val="left" w:pos="509"/>
                <w:tab w:val="left" w:pos="5580"/>
              </w:tabs>
              <w:ind w:firstLine="450" w:firstLineChars="250"/>
              <w:rPr>
                <w:rFonts w:hint="eastAsia"/>
                <w:sz w:val="18"/>
                <w:szCs w:val="18"/>
              </w:rPr>
            </w:pPr>
            <w:r>
              <w:rPr>
                <w:sz w:val="18"/>
                <w:szCs w:val="18"/>
              </w:rPr>
              <w:t>证件名称</w:t>
            </w:r>
          </w:p>
        </w:tc>
        <w:tc>
          <w:tcPr>
            <w:tcW w:w="2484" w:type="dxa"/>
          </w:tcPr>
          <w:p>
            <w:pPr>
              <w:tabs>
                <w:tab w:val="left" w:pos="509"/>
                <w:tab w:val="left" w:pos="5580"/>
              </w:tabs>
              <w:ind w:firstLine="450" w:firstLineChars="250"/>
              <w:rPr>
                <w:rFonts w:hint="eastAsia"/>
                <w:sz w:val="18"/>
                <w:szCs w:val="18"/>
              </w:rPr>
            </w:pPr>
            <w:r>
              <w:rPr>
                <w:sz w:val="18"/>
                <w:szCs w:val="18"/>
              </w:rPr>
              <w:t>岗位名称</w:t>
            </w:r>
          </w:p>
        </w:tc>
        <w:tc>
          <w:tcPr>
            <w:tcW w:w="2984" w:type="dxa"/>
          </w:tcPr>
          <w:p>
            <w:pPr>
              <w:tabs>
                <w:tab w:val="left" w:pos="509"/>
                <w:tab w:val="left" w:pos="5580"/>
              </w:tabs>
              <w:ind w:firstLine="810" w:firstLineChars="450"/>
              <w:rPr>
                <w:rFonts w:hint="eastAsia"/>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w:t>
            </w:r>
          </w:p>
        </w:tc>
        <w:tc>
          <w:tcPr>
            <w:tcW w:w="2394" w:type="dxa"/>
          </w:tcPr>
          <w:p>
            <w:pPr>
              <w:tabs>
                <w:tab w:val="left" w:pos="509"/>
                <w:tab w:val="left" w:pos="5580"/>
              </w:tabs>
              <w:rPr>
                <w:rFonts w:hint="eastAsia"/>
                <w:sz w:val="18"/>
                <w:szCs w:val="18"/>
              </w:rPr>
            </w:pPr>
            <w:r>
              <w:rPr>
                <w:sz w:val="18"/>
                <w:szCs w:val="18"/>
              </w:rPr>
              <w:t>起重机指挥证</w:t>
            </w:r>
          </w:p>
        </w:tc>
        <w:tc>
          <w:tcPr>
            <w:tcW w:w="2484" w:type="dxa"/>
          </w:tcPr>
          <w:p>
            <w:pPr>
              <w:tabs>
                <w:tab w:val="left" w:pos="509"/>
                <w:tab w:val="left" w:pos="5580"/>
              </w:tabs>
              <w:rPr>
                <w:rFonts w:hint="eastAsia"/>
                <w:sz w:val="18"/>
                <w:szCs w:val="18"/>
              </w:rPr>
            </w:pPr>
            <w:r>
              <w:rPr>
                <w:sz w:val="18"/>
                <w:szCs w:val="18"/>
              </w:rPr>
              <w:t>建筑起重信号司索工</w:t>
            </w:r>
          </w:p>
        </w:tc>
        <w:tc>
          <w:tcPr>
            <w:tcW w:w="2984" w:type="dxa"/>
          </w:tcPr>
          <w:p>
            <w:pPr>
              <w:tabs>
                <w:tab w:val="left" w:pos="509"/>
                <w:tab w:val="left" w:pos="5580"/>
              </w:tabs>
              <w:rPr>
                <w:rFonts w:hint="eastAsia"/>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2</w:t>
            </w:r>
          </w:p>
        </w:tc>
        <w:tc>
          <w:tcPr>
            <w:tcW w:w="2394" w:type="dxa"/>
          </w:tcPr>
          <w:p>
            <w:pPr>
              <w:tabs>
                <w:tab w:val="left" w:pos="509"/>
                <w:tab w:val="left" w:pos="5580"/>
              </w:tabs>
              <w:rPr>
                <w:rFonts w:hint="eastAsia"/>
                <w:sz w:val="18"/>
                <w:szCs w:val="18"/>
              </w:rPr>
            </w:pPr>
            <w:r>
              <w:rPr>
                <w:sz w:val="18"/>
                <w:szCs w:val="18"/>
              </w:rPr>
              <w:t>塔式起重机司机证/      流动式起重机司机证/    桥门式起重机司机</w:t>
            </w:r>
          </w:p>
        </w:tc>
        <w:tc>
          <w:tcPr>
            <w:tcW w:w="2484" w:type="dxa"/>
          </w:tcPr>
          <w:p>
            <w:pPr>
              <w:tabs>
                <w:tab w:val="left" w:pos="509"/>
                <w:tab w:val="left" w:pos="5580"/>
              </w:tabs>
              <w:rPr>
                <w:rFonts w:hint="eastAsia"/>
                <w:sz w:val="18"/>
                <w:szCs w:val="18"/>
              </w:rPr>
            </w:pPr>
            <w:r>
              <w:rPr>
                <w:sz w:val="18"/>
                <w:szCs w:val="18"/>
              </w:rPr>
              <w:t>建筑起重机械司机</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3</w:t>
            </w:r>
          </w:p>
        </w:tc>
        <w:tc>
          <w:tcPr>
            <w:tcW w:w="2394" w:type="dxa"/>
          </w:tcPr>
          <w:p>
            <w:pPr>
              <w:tabs>
                <w:tab w:val="left" w:pos="509"/>
                <w:tab w:val="left" w:pos="5580"/>
              </w:tabs>
              <w:rPr>
                <w:rFonts w:hint="eastAsia"/>
                <w:sz w:val="18"/>
                <w:szCs w:val="18"/>
              </w:rPr>
            </w:pPr>
            <w:r>
              <w:rPr>
                <w:sz w:val="18"/>
                <w:szCs w:val="18"/>
              </w:rPr>
              <w:t>塔式起重机安装，拆卸证</w:t>
            </w:r>
          </w:p>
        </w:tc>
        <w:tc>
          <w:tcPr>
            <w:tcW w:w="2484" w:type="dxa"/>
          </w:tcPr>
          <w:p>
            <w:pPr>
              <w:tabs>
                <w:tab w:val="left" w:pos="509"/>
                <w:tab w:val="left" w:pos="5580"/>
              </w:tabs>
              <w:rPr>
                <w:rFonts w:hint="eastAsia"/>
                <w:sz w:val="18"/>
                <w:szCs w:val="18"/>
              </w:rPr>
            </w:pPr>
            <w:r>
              <w:rPr>
                <w:sz w:val="18"/>
                <w:szCs w:val="18"/>
              </w:rPr>
              <w:t>建筑起重机械安装拆卸工</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4</w:t>
            </w:r>
          </w:p>
        </w:tc>
        <w:tc>
          <w:tcPr>
            <w:tcW w:w="2394" w:type="dxa"/>
          </w:tcPr>
          <w:p>
            <w:pPr>
              <w:tabs>
                <w:tab w:val="left" w:pos="509"/>
                <w:tab w:val="left" w:pos="5580"/>
              </w:tabs>
              <w:rPr>
                <w:rFonts w:hint="eastAsia"/>
                <w:sz w:val="18"/>
                <w:szCs w:val="18"/>
              </w:rPr>
            </w:pPr>
            <w:r>
              <w:rPr>
                <w:sz w:val="18"/>
                <w:szCs w:val="18"/>
              </w:rPr>
              <w:t>高处作业证</w:t>
            </w:r>
          </w:p>
        </w:tc>
        <w:tc>
          <w:tcPr>
            <w:tcW w:w="2484" w:type="dxa"/>
          </w:tcPr>
          <w:p>
            <w:pPr>
              <w:tabs>
                <w:tab w:val="left" w:pos="509"/>
                <w:tab w:val="left" w:pos="5580"/>
              </w:tabs>
              <w:rPr>
                <w:rFonts w:hint="eastAsia"/>
                <w:sz w:val="18"/>
                <w:szCs w:val="18"/>
              </w:rPr>
            </w:pPr>
            <w:r>
              <w:rPr>
                <w:sz w:val="18"/>
                <w:szCs w:val="18"/>
              </w:rPr>
              <w:t>高处作业吊篮安装拆卸工</w:t>
            </w:r>
          </w:p>
        </w:tc>
        <w:tc>
          <w:tcPr>
            <w:tcW w:w="2984" w:type="dxa"/>
          </w:tcPr>
          <w:p>
            <w:pPr>
              <w:tabs>
                <w:tab w:val="left" w:pos="509"/>
                <w:tab w:val="left" w:pos="5580"/>
              </w:tabs>
              <w:rPr>
                <w:rFonts w:hint="eastAsia"/>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5</w:t>
            </w:r>
          </w:p>
        </w:tc>
        <w:tc>
          <w:tcPr>
            <w:tcW w:w="2394" w:type="dxa"/>
          </w:tcPr>
          <w:p>
            <w:pPr>
              <w:tabs>
                <w:tab w:val="left" w:pos="509"/>
                <w:tab w:val="left" w:pos="5580"/>
              </w:tabs>
              <w:rPr>
                <w:rFonts w:hint="eastAsia"/>
                <w:sz w:val="18"/>
                <w:szCs w:val="18"/>
              </w:rPr>
            </w:pPr>
            <w:r>
              <w:rPr>
                <w:sz w:val="18"/>
                <w:szCs w:val="18"/>
              </w:rPr>
              <w:t>架子工证</w:t>
            </w:r>
          </w:p>
        </w:tc>
        <w:tc>
          <w:tcPr>
            <w:tcW w:w="2484" w:type="dxa"/>
          </w:tcPr>
          <w:p>
            <w:pPr>
              <w:tabs>
                <w:tab w:val="left" w:pos="509"/>
                <w:tab w:val="left" w:pos="5580"/>
              </w:tabs>
              <w:rPr>
                <w:rFonts w:hint="eastAsia"/>
                <w:sz w:val="18"/>
                <w:szCs w:val="18"/>
              </w:rPr>
            </w:pPr>
            <w:r>
              <w:rPr>
                <w:sz w:val="18"/>
                <w:szCs w:val="18"/>
              </w:rPr>
              <w:t>建筑架子工（普通脚手架、附着升降脚手架）</w:t>
            </w:r>
          </w:p>
        </w:tc>
        <w:tc>
          <w:tcPr>
            <w:tcW w:w="2984" w:type="dxa"/>
          </w:tcPr>
          <w:p>
            <w:pPr>
              <w:tabs>
                <w:tab w:val="left" w:pos="509"/>
                <w:tab w:val="left" w:pos="5580"/>
              </w:tabs>
              <w:rPr>
                <w:rFonts w:hint="eastAsia"/>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6</w:t>
            </w:r>
          </w:p>
        </w:tc>
        <w:tc>
          <w:tcPr>
            <w:tcW w:w="2394" w:type="dxa"/>
          </w:tcPr>
          <w:p>
            <w:pPr>
              <w:tabs>
                <w:tab w:val="left" w:pos="509"/>
                <w:tab w:val="left" w:pos="5580"/>
              </w:tabs>
              <w:rPr>
                <w:rFonts w:hint="eastAsia"/>
                <w:sz w:val="18"/>
                <w:szCs w:val="18"/>
              </w:rPr>
            </w:pPr>
            <w:r>
              <w:rPr>
                <w:sz w:val="18"/>
                <w:szCs w:val="18"/>
              </w:rPr>
              <w:t>焊接与热切割证</w:t>
            </w:r>
          </w:p>
        </w:tc>
        <w:tc>
          <w:tcPr>
            <w:tcW w:w="2484" w:type="dxa"/>
          </w:tcPr>
          <w:p>
            <w:pPr>
              <w:tabs>
                <w:tab w:val="left" w:pos="509"/>
                <w:tab w:val="left" w:pos="5580"/>
              </w:tabs>
              <w:rPr>
                <w:rFonts w:hint="eastAsia"/>
                <w:sz w:val="18"/>
                <w:szCs w:val="18"/>
              </w:rPr>
            </w:pPr>
            <w:r>
              <w:rPr>
                <w:sz w:val="18"/>
                <w:szCs w:val="18"/>
              </w:rPr>
              <w:t>建筑焊工（电焊、气焊、切割）：</w:t>
            </w:r>
          </w:p>
        </w:tc>
        <w:tc>
          <w:tcPr>
            <w:tcW w:w="2984" w:type="dxa"/>
          </w:tcPr>
          <w:p>
            <w:pPr>
              <w:tabs>
                <w:tab w:val="left" w:pos="509"/>
                <w:tab w:val="left" w:pos="5580"/>
              </w:tabs>
              <w:rPr>
                <w:rFonts w:hint="eastAsia"/>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7</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高压电工</w:t>
            </w:r>
          </w:p>
        </w:tc>
        <w:tc>
          <w:tcPr>
            <w:tcW w:w="2984" w:type="dxa"/>
          </w:tcPr>
          <w:p>
            <w:pPr>
              <w:tabs>
                <w:tab w:val="left" w:pos="509"/>
                <w:tab w:val="left" w:pos="5580"/>
              </w:tabs>
              <w:rPr>
                <w:rFonts w:hint="eastAsia"/>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8</w:t>
            </w:r>
          </w:p>
        </w:tc>
        <w:tc>
          <w:tcPr>
            <w:tcW w:w="2394" w:type="dxa"/>
          </w:tcPr>
          <w:p>
            <w:pPr>
              <w:tabs>
                <w:tab w:val="left" w:pos="509"/>
                <w:tab w:val="left" w:pos="5580"/>
              </w:tabs>
              <w:rPr>
                <w:rFonts w:hint="eastAsia"/>
                <w:sz w:val="18"/>
                <w:szCs w:val="18"/>
              </w:rPr>
            </w:pPr>
            <w:r>
              <w:rPr>
                <w:sz w:val="18"/>
                <w:szCs w:val="18"/>
              </w:rPr>
              <w:t>建筑工程车辆驾驶证</w:t>
            </w:r>
          </w:p>
        </w:tc>
        <w:tc>
          <w:tcPr>
            <w:tcW w:w="2484" w:type="dxa"/>
          </w:tcPr>
          <w:p>
            <w:pPr>
              <w:tabs>
                <w:tab w:val="left" w:pos="509"/>
                <w:tab w:val="left" w:pos="5580"/>
              </w:tabs>
              <w:rPr>
                <w:rFonts w:hint="eastAsia"/>
                <w:sz w:val="18"/>
                <w:szCs w:val="18"/>
              </w:rPr>
            </w:pPr>
            <w:r>
              <w:rPr>
                <w:sz w:val="18"/>
                <w:szCs w:val="18"/>
              </w:rPr>
              <w:t>建筑施工现场内机动车司机</w:t>
            </w:r>
          </w:p>
        </w:tc>
        <w:tc>
          <w:tcPr>
            <w:tcW w:w="2984" w:type="dxa"/>
          </w:tcPr>
          <w:p>
            <w:pPr>
              <w:tabs>
                <w:tab w:val="left" w:pos="509"/>
                <w:tab w:val="left" w:pos="5580"/>
              </w:tabs>
              <w:rPr>
                <w:rFonts w:hint="eastAsia"/>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9</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低压电工</w:t>
            </w:r>
          </w:p>
        </w:tc>
        <w:tc>
          <w:tcPr>
            <w:tcW w:w="2984" w:type="dxa"/>
          </w:tcPr>
          <w:p>
            <w:pPr>
              <w:tabs>
                <w:tab w:val="left" w:pos="509"/>
                <w:tab w:val="left" w:pos="5580"/>
              </w:tabs>
              <w:rPr>
                <w:rFonts w:hint="eastAsia"/>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10</w:t>
            </w:r>
          </w:p>
        </w:tc>
        <w:tc>
          <w:tcPr>
            <w:tcW w:w="2394" w:type="dxa"/>
          </w:tcPr>
          <w:p>
            <w:pPr>
              <w:tabs>
                <w:tab w:val="left" w:pos="509"/>
                <w:tab w:val="left" w:pos="5580"/>
              </w:tabs>
              <w:rPr>
                <w:rFonts w:hint="eastAsia"/>
                <w:sz w:val="18"/>
                <w:szCs w:val="18"/>
              </w:rPr>
            </w:pPr>
            <w:r>
              <w:rPr>
                <w:sz w:val="18"/>
                <w:szCs w:val="18"/>
              </w:rPr>
              <w:t>煤气作业证</w:t>
            </w:r>
          </w:p>
        </w:tc>
        <w:tc>
          <w:tcPr>
            <w:tcW w:w="2484" w:type="dxa"/>
          </w:tcPr>
          <w:p>
            <w:pPr>
              <w:tabs>
                <w:tab w:val="left" w:pos="509"/>
                <w:tab w:val="left" w:pos="5580"/>
              </w:tabs>
              <w:rPr>
                <w:rFonts w:hint="eastAsia"/>
                <w:sz w:val="18"/>
                <w:szCs w:val="18"/>
              </w:rPr>
            </w:pPr>
            <w:r>
              <w:rPr>
                <w:sz w:val="18"/>
                <w:szCs w:val="18"/>
              </w:rPr>
              <w:t>冶金（有色）生产安全作业</w:t>
            </w:r>
          </w:p>
        </w:tc>
        <w:tc>
          <w:tcPr>
            <w:tcW w:w="2984" w:type="dxa"/>
          </w:tcPr>
          <w:p>
            <w:pPr>
              <w:tabs>
                <w:tab w:val="left" w:pos="509"/>
                <w:tab w:val="left" w:pos="5580"/>
              </w:tabs>
              <w:rPr>
                <w:rFonts w:hint="eastAsia"/>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E0002EFF" w:usb1="C0007843" w:usb2="00000009" w:usb3="00000000" w:csb0="400001FF" w:csb1="FFFF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AB72E0"/>
    <w:rsid w:val="26C71A27"/>
    <w:rsid w:val="6DEF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uiPriority w:val="0"/>
    <w:rPr>
      <w:rFonts w:ascii="宋体" w:hAnsi="Courier New"/>
      <w:szCs w:val="20"/>
    </w:rPr>
  </w:style>
  <w:style w:type="paragraph" w:styleId="6">
    <w:name w:val="Balloon Text"/>
    <w:basedOn w:val="1"/>
    <w:link w:val="21"/>
    <w:semiHidden/>
    <w:unhideWhenUsed/>
    <w:uiPriority w:val="99"/>
    <w:rPr>
      <w:sz w:val="18"/>
      <w:szCs w:val="18"/>
    </w:rPr>
  </w:style>
  <w:style w:type="paragraph" w:styleId="7">
    <w:name w:val="footer"/>
    <w:basedOn w:val="1"/>
    <w:link w:val="14"/>
    <w:unhideWhenUsed/>
    <w:uiPriority w:val="0"/>
    <w:pPr>
      <w:tabs>
        <w:tab w:val="center" w:pos="4153"/>
        <w:tab w:val="right" w:pos="8306"/>
      </w:tabs>
      <w:snapToGrid w:val="0"/>
      <w:jc w:val="left"/>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uiPriority w:val="99"/>
    <w:rPr>
      <w:sz w:val="18"/>
      <w:szCs w:val="18"/>
    </w:rPr>
  </w:style>
  <w:style w:type="character" w:customStyle="1" w:styleId="14">
    <w:name w:val="页脚 Char"/>
    <w:basedOn w:val="11"/>
    <w:link w:val="7"/>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uiPriority w:val="0"/>
    <w:rPr>
      <w:rFonts w:ascii="宋体" w:hAnsi="Courier New"/>
      <w:szCs w:val="20"/>
    </w:rPr>
  </w:style>
  <w:style w:type="character" w:customStyle="1" w:styleId="17">
    <w:name w:val="纯文本 Char1"/>
    <w:basedOn w:val="11"/>
    <w:semiHidden/>
    <w:uiPriority w:val="99"/>
    <w:rPr>
      <w:rFonts w:ascii="宋体" w:hAnsi="Courier New" w:eastAsia="宋体" w:cs="Courier New"/>
      <w:szCs w:val="21"/>
    </w:rPr>
  </w:style>
  <w:style w:type="paragraph" w:customStyle="1" w:styleId="18">
    <w:name w:val="正文文本缩进1"/>
    <w:basedOn w:val="1"/>
    <w:uiPriority w:val="0"/>
    <w:pPr>
      <w:ind w:left="480" w:hanging="480" w:hangingChars="200"/>
    </w:pPr>
    <w:rPr>
      <w:rFonts w:ascii="Calibri" w:hAnsi="Calibri" w:eastAsia="宋体" w:cs="黑体"/>
      <w:sz w:val="24"/>
      <w:szCs w:val="24"/>
    </w:rPr>
  </w:style>
  <w:style w:type="character" w:customStyle="1" w:styleId="19">
    <w:name w:val="标题 2 Char"/>
    <w:basedOn w:val="11"/>
    <w:link w:val="3"/>
    <w:uiPriority w:val="0"/>
    <w:rPr>
      <w:rFonts w:ascii="宋体" w:hAnsi="宋体" w:eastAsia="宋体" w:cs="Times New Roman"/>
      <w:b/>
      <w:kern w:val="0"/>
      <w:sz w:val="36"/>
      <w:szCs w:val="36"/>
    </w:rPr>
  </w:style>
  <w:style w:type="character" w:customStyle="1" w:styleId="20">
    <w:name w:val="正文文本 Char"/>
    <w:basedOn w:val="11"/>
    <w:link w:val="4"/>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0</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2021-04-02T08:53:16Z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