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喻村-铸钢变110KV线路改造工程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4</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09</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ascii="宋体" w:hAnsi="宋体" w:eastAsia="宋体" w:cs="宋体"/>
          <w:bCs/>
          <w:color w:val="2A2A2A"/>
          <w:kern w:val="0"/>
          <w:sz w:val="28"/>
          <w:szCs w:val="28"/>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4</w:t>
      </w:r>
      <w:r>
        <w:rPr>
          <w:rFonts w:ascii="宋体" w:hAnsi="宋体" w:eastAsia="宋体" w:cs="宋体"/>
          <w:bCs/>
          <w:color w:val="2A2A2A"/>
          <w:kern w:val="0"/>
          <w:sz w:val="28"/>
          <w:szCs w:val="28"/>
        </w:rPr>
        <w:t>00</w:t>
      </w:r>
      <w:r>
        <w:rPr>
          <w:rFonts w:hint="eastAsia" w:ascii="宋体" w:hAnsi="宋体" w:eastAsia="宋体" w:cs="宋体"/>
          <w:bCs/>
          <w:color w:val="2A2A2A"/>
          <w:kern w:val="0"/>
          <w:sz w:val="28"/>
          <w:szCs w:val="28"/>
          <w:lang w:val="en-US" w:eastAsia="zh-CN"/>
        </w:rPr>
        <w:t>9ZG110GZ</w:t>
      </w:r>
      <w:r>
        <w:rPr>
          <w:rFonts w:hint="eastAsia" w:ascii="宋体" w:hAnsi="宋体" w:eastAsia="宋体" w:cs="宋体"/>
          <w:bCs/>
          <w:color w:val="2A2A2A"/>
          <w:kern w:val="0"/>
          <w:sz w:val="28"/>
          <w:szCs w:val="28"/>
        </w:rPr>
        <w:t>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安徽省芜湖市三山区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Theme="minorEastAsia" w:hAnsiTheme="minorEastAsia"/>
          <w:color w:val="FF0000"/>
          <w:sz w:val="24"/>
          <w:szCs w:val="24"/>
        </w:rPr>
        <w:t>喻村-铸钢变110KV线路改造工程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投标人须具有国家建设部门颁发的</w:t>
      </w:r>
      <w:r>
        <w:rPr>
          <w:rFonts w:hint="eastAsia" w:ascii="宋体" w:hAnsi="宋体"/>
          <w:bCs/>
          <w:color w:val="FF0000"/>
          <w:sz w:val="24"/>
          <w:szCs w:val="24"/>
          <w:u w:val="none"/>
        </w:rPr>
        <w:t>电力工程施工总承包</w:t>
      </w:r>
      <w:r>
        <w:rPr>
          <w:rFonts w:hint="eastAsia" w:ascii="宋体" w:hAnsi="宋体"/>
          <w:bCs/>
          <w:color w:val="FF0000"/>
          <w:sz w:val="24"/>
          <w:szCs w:val="24"/>
          <w:u w:val="none"/>
          <w:lang w:eastAsia="zh-CN"/>
        </w:rPr>
        <w:t>叁</w:t>
      </w:r>
      <w:r>
        <w:rPr>
          <w:rFonts w:hint="eastAsia" w:ascii="宋体" w:hAnsi="宋体"/>
          <w:bCs/>
          <w:color w:val="FF0000"/>
          <w:sz w:val="24"/>
          <w:szCs w:val="24"/>
          <w:u w:val="none"/>
        </w:rPr>
        <w:t>级</w:t>
      </w:r>
      <w:r>
        <w:rPr>
          <w:rFonts w:hint="eastAsia" w:ascii="宋体" w:hAnsi="宋体"/>
          <w:bCs/>
          <w:color w:val="FF0000"/>
          <w:sz w:val="24"/>
          <w:szCs w:val="24"/>
          <w:u w:val="none"/>
          <w:lang w:eastAsia="zh-CN"/>
        </w:rPr>
        <w:t>或</w:t>
      </w:r>
      <w:r>
        <w:rPr>
          <w:rFonts w:hint="eastAsia" w:ascii="宋体" w:hAnsi="宋体"/>
          <w:bCs/>
          <w:color w:val="FF0000"/>
          <w:sz w:val="24"/>
          <w:szCs w:val="24"/>
          <w:u w:val="none"/>
        </w:rPr>
        <w:t>输变电工程专业承包</w:t>
      </w:r>
      <w:r>
        <w:rPr>
          <w:rFonts w:hint="eastAsia" w:ascii="宋体" w:hAnsi="宋体"/>
          <w:bCs/>
          <w:color w:val="FF0000"/>
          <w:sz w:val="24"/>
          <w:szCs w:val="24"/>
          <w:u w:val="none"/>
          <w:lang w:eastAsia="zh-CN"/>
        </w:rPr>
        <w:t>叁</w:t>
      </w:r>
      <w:r>
        <w:rPr>
          <w:rFonts w:hint="eastAsia" w:ascii="宋体" w:hAnsi="宋体"/>
          <w:bCs/>
          <w:color w:val="FF0000"/>
          <w:sz w:val="24"/>
          <w:szCs w:val="24"/>
          <w:u w:val="none"/>
        </w:rPr>
        <w:t>级及以上资质</w:t>
      </w:r>
      <w:r>
        <w:rPr>
          <w:rFonts w:hint="eastAsia" w:ascii="宋体" w:hAnsi="宋体"/>
          <w:bCs/>
          <w:color w:val="FF0000"/>
          <w:sz w:val="24"/>
          <w:szCs w:val="24"/>
          <w:u w:val="none"/>
          <w:lang w:eastAsia="zh-CN"/>
        </w:rPr>
        <w:t>，</w:t>
      </w:r>
      <w:r>
        <w:rPr>
          <w:rFonts w:hint="eastAsia" w:ascii="宋体" w:hAnsi="宋体"/>
          <w:bCs/>
          <w:color w:val="auto"/>
          <w:sz w:val="24"/>
          <w:szCs w:val="24"/>
          <w:u w:val="none"/>
        </w:rPr>
        <w:t>同时具有</w:t>
      </w:r>
      <w:r>
        <w:rPr>
          <w:rFonts w:hint="eastAsia" w:ascii="宋体" w:hAnsi="宋体"/>
          <w:bCs/>
          <w:color w:val="FF0000"/>
          <w:sz w:val="24"/>
          <w:szCs w:val="24"/>
          <w:u w:val="none"/>
        </w:rPr>
        <w:t>承装</w:t>
      </w:r>
      <w:r>
        <w:rPr>
          <w:rFonts w:hint="eastAsia" w:ascii="宋体" w:hAnsi="宋体"/>
          <w:bCs/>
          <w:color w:val="FF0000"/>
          <w:sz w:val="24"/>
          <w:szCs w:val="24"/>
          <w:u w:val="none"/>
          <w:lang w:eastAsia="zh-CN"/>
        </w:rPr>
        <w:t>、</w:t>
      </w:r>
      <w:r>
        <w:rPr>
          <w:rFonts w:hint="eastAsia" w:ascii="宋体" w:hAnsi="宋体"/>
          <w:bCs/>
          <w:color w:val="FF0000"/>
          <w:sz w:val="24"/>
          <w:szCs w:val="24"/>
          <w:u w:val="none"/>
        </w:rPr>
        <w:t>承修</w:t>
      </w:r>
      <w:r>
        <w:rPr>
          <w:rFonts w:hint="eastAsia" w:ascii="宋体" w:hAnsi="宋体"/>
          <w:bCs/>
          <w:color w:val="FF0000"/>
          <w:sz w:val="24"/>
          <w:szCs w:val="24"/>
          <w:u w:val="none"/>
          <w:lang w:eastAsia="zh-CN"/>
        </w:rPr>
        <w:t>、</w:t>
      </w:r>
      <w:r>
        <w:rPr>
          <w:rFonts w:hint="eastAsia" w:ascii="宋体" w:hAnsi="宋体"/>
          <w:bCs/>
          <w:color w:val="FF0000"/>
          <w:sz w:val="24"/>
          <w:szCs w:val="24"/>
          <w:u w:val="none"/>
        </w:rPr>
        <w:t>承试（</w:t>
      </w:r>
      <w:r>
        <w:rPr>
          <w:rFonts w:hint="eastAsia" w:ascii="宋体" w:hAnsi="宋体"/>
          <w:bCs/>
          <w:color w:val="FF0000"/>
          <w:sz w:val="24"/>
          <w:szCs w:val="24"/>
          <w:u w:val="none"/>
          <w:lang w:eastAsia="zh-CN"/>
        </w:rPr>
        <w:t>叁</w:t>
      </w:r>
      <w:r>
        <w:rPr>
          <w:rFonts w:hint="eastAsia" w:ascii="宋体" w:hAnsi="宋体"/>
          <w:bCs/>
          <w:color w:val="FF0000"/>
          <w:sz w:val="24"/>
          <w:szCs w:val="24"/>
          <w:u w:val="none"/>
        </w:rPr>
        <w:t>级或以上）资质</w:t>
      </w:r>
      <w:r>
        <w:rPr>
          <w:rFonts w:hint="eastAsia" w:ascii="宋体" w:hAnsi="宋体"/>
          <w:bCs/>
          <w:color w:val="FF0000"/>
          <w:sz w:val="24"/>
          <w:szCs w:val="24"/>
          <w:u w:val="none"/>
          <w:lang w:eastAsia="zh-CN"/>
        </w:rPr>
        <w:t>。</w:t>
      </w:r>
      <w:r>
        <w:rPr>
          <w:rFonts w:hint="eastAsia" w:hAnsi="宋体"/>
          <w:sz w:val="24"/>
          <w:szCs w:val="24"/>
        </w:rPr>
        <w:t>项目经理至少具有相应的国家</w:t>
      </w:r>
      <w:r>
        <w:rPr>
          <w:rFonts w:hint="eastAsia" w:hAnsi="宋体"/>
          <w:color w:val="FF0000"/>
          <w:sz w:val="24"/>
          <w:szCs w:val="24"/>
        </w:rPr>
        <w:t>二级建造师</w:t>
      </w:r>
      <w:r>
        <w:rPr>
          <w:rFonts w:hint="eastAsia" w:hAnsi="宋体"/>
          <w:sz w:val="24"/>
          <w:szCs w:val="24"/>
        </w:rPr>
        <w:t>注册人员。</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04</w:t>
      </w:r>
      <w:r>
        <w:rPr>
          <w:rFonts w:hint="eastAsia" w:ascii="宋体" w:hAnsi="宋体"/>
          <w:bCs/>
          <w:sz w:val="24"/>
          <w:szCs w:val="24"/>
        </w:rPr>
        <w:t>月</w:t>
      </w:r>
      <w:r>
        <w:rPr>
          <w:rFonts w:hint="eastAsia" w:ascii="宋体" w:hAnsi="宋体"/>
          <w:bCs/>
          <w:color w:val="FF0000"/>
          <w:sz w:val="24"/>
          <w:szCs w:val="24"/>
        </w:rPr>
        <w:t>1</w:t>
      </w:r>
      <w:r>
        <w:rPr>
          <w:rFonts w:hint="eastAsia" w:ascii="宋体" w:hAnsi="宋体"/>
          <w:bCs/>
          <w:color w:val="FF0000"/>
          <w:sz w:val="24"/>
          <w:szCs w:val="24"/>
          <w:lang w:val="en-US" w:eastAsia="zh-CN"/>
        </w:rPr>
        <w:t>0</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4</w:t>
      </w:r>
      <w:r>
        <w:rPr>
          <w:rFonts w:hint="eastAsia" w:ascii="宋体" w:hAnsi="宋体"/>
          <w:bCs/>
          <w:sz w:val="24"/>
          <w:szCs w:val="24"/>
        </w:rPr>
        <w:t>月</w:t>
      </w:r>
      <w:r>
        <w:rPr>
          <w:rFonts w:hint="eastAsia" w:ascii="宋体" w:hAnsi="宋体"/>
          <w:bCs/>
          <w:color w:val="FF0000"/>
          <w:sz w:val="24"/>
          <w:szCs w:val="24"/>
          <w:lang w:val="en-US" w:eastAsia="zh-CN"/>
        </w:rPr>
        <w:t>1</w:t>
      </w:r>
      <w:r>
        <w:rPr>
          <w:rFonts w:hint="eastAsia" w:ascii="宋体" w:hAnsi="宋体"/>
          <w:bCs/>
          <w:color w:val="FF0000"/>
          <w:sz w:val="24"/>
          <w:szCs w:val="24"/>
        </w:rPr>
        <w:t>5</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w:t>
      </w:r>
      <w:r>
        <w:rPr>
          <w:rFonts w:hint="eastAsia" w:ascii="宋体" w:hAnsi="宋体" w:eastAsia="宋体" w:cs="宋体"/>
          <w:bCs/>
          <w:color w:val="FF0000"/>
          <w:kern w:val="0"/>
          <w:sz w:val="24"/>
          <w:szCs w:val="24"/>
        </w:rPr>
        <w:t>6</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13</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w:t>
      </w:r>
      <w:r>
        <w:rPr>
          <w:rFonts w:hint="eastAsia" w:ascii="宋体" w:hAnsi="宋体" w:eastAsia="宋体" w:cs="宋体"/>
          <w:bCs/>
          <w:color w:val="FF0000"/>
          <w:kern w:val="0"/>
          <w:sz w:val="24"/>
          <w:szCs w:val="24"/>
        </w:rPr>
        <w:t>6</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13</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Theme="minorEastAsia" w:hAnsiTheme="minorEastAsia"/>
          <w:color w:val="FF0000"/>
          <w:sz w:val="24"/>
          <w:szCs w:val="24"/>
        </w:rPr>
        <w:t>喻村-铸钢变110KV线路改造工程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周  伟</w:t>
      </w:r>
      <w:r>
        <w:rPr>
          <w:rFonts w:hint="eastAsia" w:ascii="宋体" w:hAnsi="宋体" w:eastAsia="宋体" w:cs="宋体"/>
          <w:color w:val="2A2A2A"/>
          <w:kern w:val="0"/>
          <w:sz w:val="24"/>
          <w:szCs w:val="24"/>
        </w:rPr>
        <w:t xml:space="preserve">        </w:t>
      </w:r>
      <w:r>
        <w:rPr>
          <w:rFonts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3095538240</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4</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w:t>
      </w:r>
      <w:r>
        <w:rPr>
          <w:rFonts w:hint="eastAsia" w:ascii="宋体" w:hAnsi="宋体" w:eastAsia="宋体" w:cs="宋体"/>
          <w:color w:val="FF0000"/>
          <w:kern w:val="0"/>
          <w:sz w:val="24"/>
          <w:szCs w:val="24"/>
          <w:u w:val="single"/>
        </w:rPr>
        <w:t>5</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asciiTheme="minorEastAsia" w:hAnsiTheme="minorEastAsia"/>
          <w:color w:val="FF0000"/>
          <w:sz w:val="24"/>
          <w:szCs w:val="24"/>
        </w:rPr>
        <w:t>喻村-铸钢变110KV线路改造工程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asciiTheme="minorEastAsia" w:hAnsiTheme="minorEastAsia"/>
          <w:color w:val="FF0000"/>
          <w:sz w:val="24"/>
          <w:szCs w:val="24"/>
        </w:rPr>
        <w:t>喻村-铸钢变110KV线路改造工程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壹万捌仟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04</w:t>
      </w:r>
      <w:r>
        <w:rPr>
          <w:rFonts w:hint="eastAsia" w:ascii="宋体" w:hAnsi="宋体" w:cs="宋体"/>
          <w:bCs/>
          <w:color w:val="FF0000"/>
          <w:kern w:val="36"/>
        </w:rPr>
        <w:t>月</w:t>
      </w:r>
      <w:r>
        <w:rPr>
          <w:rFonts w:hint="eastAsia" w:ascii="宋体" w:hAnsi="宋体" w:cs="宋体"/>
          <w:bCs/>
          <w:color w:val="FF0000"/>
          <w:kern w:val="36"/>
          <w:u w:val="single"/>
          <w:lang w:val="en-US" w:eastAsia="zh-CN"/>
        </w:rPr>
        <w:t>1</w:t>
      </w:r>
      <w:r>
        <w:rPr>
          <w:rFonts w:hint="eastAsia" w:ascii="宋体" w:hAnsi="宋体" w:cs="宋体"/>
          <w:bCs/>
          <w:color w:val="FF0000"/>
          <w:kern w:val="36"/>
          <w:u w:val="single"/>
        </w:rPr>
        <w:t>5</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单位地址：芜湖市三山区经济开发区春洲路2号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rPr>
      </w:pPr>
      <w:r>
        <w:rPr>
          <w:rFonts w:hint="eastAsia"/>
        </w:rPr>
        <w:t>施工具体内</w:t>
      </w:r>
      <w:r>
        <w:rPr>
          <w:rFonts w:hint="eastAsia"/>
          <w:szCs w:val="21"/>
        </w:rPr>
        <w:t>容详见发包人确认下发的图纸</w:t>
      </w:r>
      <w:r>
        <w:rPr>
          <w:rFonts w:hint="eastAsia"/>
          <w:szCs w:val="21"/>
          <w:lang w:val="en-US" w:eastAsia="zh-CN"/>
        </w:rPr>
        <w:t>和投标方现场踏勘</w:t>
      </w:r>
      <w:r>
        <w:rPr>
          <w:rFonts w:hint="eastAsia"/>
          <w:szCs w:val="21"/>
        </w:rPr>
        <w:t>。</w:t>
      </w:r>
    </w:p>
    <w:p>
      <w:pPr>
        <w:spacing w:line="360" w:lineRule="auto"/>
        <w:rPr>
          <w:rFonts w:hint="eastAsia" w:ascii="宋体" w:hAnsi="宋体"/>
          <w:lang w:val="en-US" w:eastAsia="zh-CN"/>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szCs w:val="21"/>
        </w:rPr>
        <w:t>：</w:t>
      </w:r>
      <w:r>
        <w:rPr>
          <w:rFonts w:hint="eastAsia" w:ascii="宋体" w:hAnsi="宋体"/>
          <w:lang w:val="en-US" w:eastAsia="zh-CN"/>
        </w:rPr>
        <w:t>喻村-铸钢变110KV线路改造工程</w:t>
      </w:r>
      <w:r>
        <w:rPr>
          <w:rFonts w:hint="eastAsia" w:ascii="宋体" w:hAnsi="宋体"/>
        </w:rPr>
        <w:t>，自 XN1#杆采用电缆随杆身引下，新建 2×5 孔</w:t>
      </w:r>
      <w:r>
        <w:rPr>
          <w:rFonts w:hint="eastAsia" w:ascii="宋体" w:hAnsi="宋体"/>
          <w:lang w:val="en-US" w:eastAsia="zh-CN"/>
        </w:rPr>
        <w:t>拉管</w:t>
      </w:r>
      <w:r>
        <w:rPr>
          <w:rFonts w:hint="eastAsia" w:ascii="宋体" w:hAnsi="宋体"/>
        </w:rPr>
        <w:t>向三华山路南向东北方向敷设，依次钻越 110kV 海螺水泥厂线路，海螺水泥厂传送带，至 N2+1#杆杆止， 路径长</w:t>
      </w:r>
      <w:r>
        <w:rPr>
          <w:rFonts w:hint="eastAsia" w:ascii="宋体" w:hAnsi="宋体"/>
          <w:lang w:val="en-US" w:eastAsia="zh-CN"/>
        </w:rPr>
        <w:t>约</w:t>
      </w:r>
      <w:r>
        <w:rPr>
          <w:rFonts w:hint="eastAsia" w:ascii="宋体" w:hAnsi="宋体"/>
        </w:rPr>
        <w:t xml:space="preserve"> 0.115km。</w:t>
      </w:r>
      <w:r>
        <w:rPr>
          <w:rFonts w:hint="eastAsia" w:ascii="宋体" w:hAnsi="宋体"/>
          <w:lang w:val="en-US" w:eastAsia="zh-CN"/>
        </w:rPr>
        <w:t>包含新建基础、电缆盘井、拉管，钢管杆组立，电缆及光缆敷设，架空线改接，试验等施工。</w:t>
      </w:r>
    </w:p>
    <w:p>
      <w:pPr>
        <w:spacing w:line="360" w:lineRule="auto"/>
        <w:rPr>
          <w:rFonts w:hint="eastAsia" w:ascii="宋体" w:hAnsi="宋体"/>
        </w:rPr>
      </w:pPr>
      <w:r>
        <w:rPr>
          <w:rFonts w:hint="eastAsia" w:ascii="宋体" w:hAnsi="宋体"/>
          <w:lang w:eastAsia="zh-CN"/>
        </w:rPr>
        <w:t>主要工作量：</w:t>
      </w:r>
      <w:r>
        <w:rPr>
          <w:rFonts w:hint="eastAsia" w:ascii="宋体" w:hAnsi="宋体"/>
          <w:lang w:val="en-US" w:eastAsia="zh-CN"/>
        </w:rPr>
        <w:t>110KV钢管杆2基，</w:t>
      </w:r>
      <w:r>
        <w:rPr>
          <w:rFonts w:hint="eastAsia" w:ascii="宋体" w:hAnsi="宋体"/>
        </w:rPr>
        <w:t>YJLW03-Z64/110kV 1×1000mm</w:t>
      </w:r>
      <w:r>
        <w:rPr>
          <w:rFonts w:hint="eastAsia" w:ascii="宋体" w:hAnsi="宋体"/>
          <w:lang w:val="en-US" w:eastAsia="zh-CN"/>
        </w:rPr>
        <w:t>2电缆约1300米，</w:t>
      </w:r>
      <w:r>
        <w:rPr>
          <w:rFonts w:hint="eastAsia" w:ascii="宋体" w:hAnsi="宋体"/>
        </w:rPr>
        <w:t>AC10kV YJV 1×240mm2 回流线</w:t>
      </w:r>
      <w:r>
        <w:rPr>
          <w:rFonts w:hint="eastAsia" w:ascii="宋体" w:hAnsi="宋体"/>
          <w:lang w:val="en-US" w:eastAsia="zh-CN"/>
        </w:rPr>
        <w:t>及接地</w:t>
      </w:r>
      <w:r>
        <w:rPr>
          <w:rFonts w:hint="eastAsia" w:ascii="宋体" w:hAnsi="宋体"/>
        </w:rPr>
        <w:t>电缆</w:t>
      </w:r>
      <w:r>
        <w:rPr>
          <w:rFonts w:hint="eastAsia" w:ascii="宋体" w:hAnsi="宋体"/>
          <w:lang w:val="en-US" w:eastAsia="zh-CN"/>
        </w:rPr>
        <w:t>共约540米，</w:t>
      </w:r>
      <w:r>
        <w:rPr>
          <w:rFonts w:hint="eastAsia" w:ascii="宋体" w:hAnsi="宋体"/>
        </w:rPr>
        <w:t>避雷器</w:t>
      </w:r>
      <w:r>
        <w:rPr>
          <w:rFonts w:hint="eastAsia" w:ascii="宋体" w:hAnsi="宋体"/>
          <w:lang w:val="en-US" w:eastAsia="zh-CN"/>
        </w:rPr>
        <w:t>12</w:t>
      </w:r>
      <w:r>
        <w:rPr>
          <w:rFonts w:hint="eastAsia" w:ascii="宋体" w:hAnsi="宋体"/>
        </w:rPr>
        <w:t>套</w:t>
      </w:r>
      <w:r>
        <w:rPr>
          <w:rFonts w:hint="eastAsia" w:ascii="宋体" w:hAnsi="宋体"/>
          <w:lang w:eastAsia="zh-CN"/>
        </w:rPr>
        <w:t>，</w:t>
      </w:r>
      <w:r>
        <w:rPr>
          <w:rFonts w:hint="eastAsia" w:ascii="宋体" w:hAnsi="宋体"/>
        </w:rPr>
        <w:t>直接接地箱</w:t>
      </w:r>
      <w:r>
        <w:rPr>
          <w:rFonts w:hint="eastAsia" w:ascii="宋体" w:hAnsi="宋体"/>
          <w:lang w:val="en-US" w:eastAsia="zh-CN"/>
        </w:rPr>
        <w:t>2套，</w:t>
      </w:r>
      <w:r>
        <w:rPr>
          <w:rFonts w:hint="eastAsia" w:ascii="宋体" w:hAnsi="宋体"/>
        </w:rPr>
        <w:t>保护接地箱</w:t>
      </w:r>
      <w:r>
        <w:rPr>
          <w:rFonts w:hint="eastAsia" w:ascii="宋体" w:hAnsi="宋体"/>
          <w:lang w:val="en-US" w:eastAsia="zh-CN"/>
        </w:rPr>
        <w:t>2</w:t>
      </w:r>
      <w:r>
        <w:rPr>
          <w:rFonts w:hint="eastAsia" w:ascii="宋体" w:hAnsi="宋体"/>
        </w:rPr>
        <w:t>套</w:t>
      </w:r>
      <w:r>
        <w:rPr>
          <w:rFonts w:hint="eastAsia" w:ascii="宋体" w:hAnsi="宋体"/>
          <w:lang w:eastAsia="zh-CN"/>
        </w:rPr>
        <w:t>，</w:t>
      </w:r>
      <w:r>
        <w:rPr>
          <w:rFonts w:hint="eastAsia" w:ascii="宋体" w:hAnsi="宋体"/>
        </w:rPr>
        <w:t xml:space="preserve"> 48 芯防火阻燃光缆</w:t>
      </w:r>
      <w:r>
        <w:rPr>
          <w:rFonts w:hint="eastAsia" w:ascii="宋体" w:hAnsi="宋体"/>
          <w:lang w:val="en-US" w:eastAsia="zh-CN"/>
        </w:rPr>
        <w:t>约410米</w:t>
      </w:r>
      <w:r>
        <w:rPr>
          <w:rFonts w:hint="eastAsia" w:ascii="宋体" w:hAnsi="宋体"/>
          <w:lang w:eastAsia="zh-CN"/>
        </w:rPr>
        <w:t>，</w:t>
      </w:r>
      <w:r>
        <w:rPr>
          <w:rFonts w:hint="eastAsia" w:ascii="宋体" w:hAnsi="宋体"/>
        </w:rPr>
        <w:t>新建 2×5 孔</w:t>
      </w:r>
      <w:r>
        <w:rPr>
          <w:rFonts w:hint="eastAsia" w:ascii="宋体" w:hAnsi="宋体"/>
          <w:lang w:val="en-US" w:eastAsia="zh-CN"/>
        </w:rPr>
        <w:t>拉</w:t>
      </w:r>
      <w:r>
        <w:rPr>
          <w:rFonts w:hint="eastAsia" w:ascii="宋体" w:hAnsi="宋体"/>
        </w:rPr>
        <w:t>管</w:t>
      </w:r>
      <w:r>
        <w:rPr>
          <w:rFonts w:hint="eastAsia" w:ascii="宋体" w:hAnsi="宋体"/>
          <w:lang w:val="en-US" w:eastAsia="zh-CN"/>
        </w:rPr>
        <w:t>约</w:t>
      </w:r>
      <w:r>
        <w:rPr>
          <w:rFonts w:hint="eastAsia" w:ascii="宋体" w:hAnsi="宋体"/>
        </w:rPr>
        <w:t>0.1</w:t>
      </w:r>
      <w:r>
        <w:rPr>
          <w:rFonts w:hint="eastAsia" w:ascii="宋体" w:hAnsi="宋体"/>
          <w:lang w:val="en-US" w:eastAsia="zh-CN"/>
        </w:rPr>
        <w:t>15</w:t>
      </w:r>
      <w:r>
        <w:rPr>
          <w:rFonts w:hint="eastAsia" w:ascii="宋体" w:hAnsi="宋体"/>
        </w:rPr>
        <w:t>km，</w:t>
      </w:r>
      <w:r>
        <w:rPr>
          <w:rFonts w:hint="eastAsia" w:ascii="宋体" w:hAnsi="宋体"/>
          <w:lang w:val="en-US" w:eastAsia="zh-CN"/>
        </w:rPr>
        <w:t>钢管杆基础2座，</w:t>
      </w:r>
      <w:r>
        <w:rPr>
          <w:rFonts w:hint="eastAsia" w:ascii="宋体" w:hAnsi="宋体"/>
        </w:rPr>
        <w:t>电缆盘井2座</w:t>
      </w:r>
      <w:r>
        <w:rPr>
          <w:rFonts w:hint="eastAsia" w:ascii="宋体" w:hAnsi="宋体"/>
          <w:lang w:val="en-US" w:eastAsia="zh-CN"/>
        </w:rPr>
        <w:t>等。</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ascii="宋体" w:hAnsi="宋体"/>
        </w:rPr>
      </w:pPr>
      <w:r>
        <w:rPr>
          <w:rFonts w:hint="eastAsia" w:ascii="宋体" w:hAnsi="宋体"/>
        </w:rPr>
        <w:t>开工日期：202</w:t>
      </w:r>
      <w:r>
        <w:rPr>
          <w:rFonts w:ascii="宋体" w:hAnsi="宋体"/>
        </w:rPr>
        <w:t>1</w:t>
      </w:r>
      <w:r>
        <w:rPr>
          <w:rFonts w:hint="eastAsia" w:ascii="宋体" w:hAnsi="宋体"/>
        </w:rPr>
        <w:t>年</w:t>
      </w:r>
      <w:r>
        <w:rPr>
          <w:rFonts w:ascii="宋体" w:hAnsi="宋体"/>
        </w:rPr>
        <w:t>0</w:t>
      </w:r>
      <w:r>
        <w:rPr>
          <w:rFonts w:hint="eastAsia" w:ascii="宋体" w:hAnsi="宋体"/>
          <w:lang w:val="en-US" w:eastAsia="zh-CN"/>
        </w:rPr>
        <w:t>4</w:t>
      </w:r>
      <w:r>
        <w:rPr>
          <w:rFonts w:hint="eastAsia" w:ascii="宋体" w:hAnsi="宋体"/>
        </w:rPr>
        <w:t>月</w:t>
      </w:r>
      <w:r>
        <w:rPr>
          <w:rFonts w:hint="eastAsia" w:ascii="宋体" w:hAnsi="宋体"/>
          <w:lang w:val="en-US" w:eastAsia="zh-CN"/>
        </w:rPr>
        <w:t>20</w:t>
      </w:r>
      <w:r>
        <w:rPr>
          <w:rFonts w:hint="eastAsia" w:ascii="宋体" w:hAnsi="宋体"/>
        </w:rPr>
        <w:t xml:space="preserve">日（暂定）                                          </w:t>
      </w:r>
    </w:p>
    <w:p>
      <w:pPr>
        <w:spacing w:line="360" w:lineRule="exact"/>
        <w:rPr>
          <w:rFonts w:ascii="宋体" w:hAnsi="宋体"/>
        </w:rPr>
      </w:pPr>
      <w:r>
        <w:rPr>
          <w:rFonts w:hint="eastAsia" w:ascii="宋体" w:hAnsi="宋体"/>
        </w:rPr>
        <w:t>竣工日期：202</w:t>
      </w:r>
      <w:r>
        <w:rPr>
          <w:rFonts w:ascii="宋体" w:hAnsi="宋体"/>
        </w:rPr>
        <w:t>1</w:t>
      </w:r>
      <w:r>
        <w:rPr>
          <w:rFonts w:hint="eastAsia" w:ascii="宋体" w:hAnsi="宋体"/>
        </w:rPr>
        <w:t>年</w:t>
      </w:r>
      <w:r>
        <w:rPr>
          <w:rFonts w:ascii="宋体" w:hAnsi="宋体"/>
        </w:rPr>
        <w:t>0</w:t>
      </w:r>
      <w:r>
        <w:rPr>
          <w:rFonts w:hint="eastAsia" w:ascii="宋体" w:hAnsi="宋体"/>
          <w:lang w:val="en-US" w:eastAsia="zh-CN"/>
        </w:rPr>
        <w:t>5</w:t>
      </w:r>
      <w:r>
        <w:rPr>
          <w:rFonts w:hint="eastAsia" w:ascii="宋体" w:hAnsi="宋体"/>
        </w:rPr>
        <w:t>月</w:t>
      </w:r>
      <w:r>
        <w:rPr>
          <w:rFonts w:hint="eastAsia" w:ascii="宋体" w:hAnsi="宋体"/>
          <w:lang w:val="en-US" w:eastAsia="zh-CN"/>
        </w:rPr>
        <w:t>30</w:t>
      </w:r>
      <w:r>
        <w:rPr>
          <w:rFonts w:hint="eastAsia" w:ascii="宋体" w:hAnsi="宋体"/>
        </w:rPr>
        <w:t>日，合同工期总日历天数</w:t>
      </w:r>
      <w:r>
        <w:rPr>
          <w:rFonts w:hint="eastAsia" w:ascii="宋体" w:hAnsi="宋体"/>
          <w:lang w:val="en-US" w:eastAsia="zh-CN"/>
        </w:rPr>
        <w:t>40</w:t>
      </w:r>
      <w:r>
        <w:rPr>
          <w:rFonts w:hint="eastAsia" w:ascii="宋体" w:hAnsi="宋体"/>
        </w:rPr>
        <w:t>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3"/>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本工程预结算执行《建设工程预结算管理暂行办法》。</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除单价包干外工作量（执行优惠率部分）最终结算价执行《电力建设工程预算定额》（2013版）及配套取费标准，对于以上定额没有包含的子目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该工程除钢管杆、110KV避雷器、110KV电缆终端头、接地箱、110KV绝缘子、金具、电缆、光缆由发包人提供，其他所有材料由承包人提供。</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的材料承包人领用并按供应价结算。承包人采购的材料，价格采用施工期间芜湖市信息价(加权平均价)。承包人采购的材料芜湖市信息价没有价格的进行市场询价。对于装饰部分主要材料价格采用发包人确认价格，采购前必须经发包人确认单价和品牌。发包人定价部分不参与取费优惠。</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keepNext w:val="0"/>
        <w:keepLines w:val="0"/>
        <w:pageBreakBefore w:val="0"/>
        <w:widowControl w:val="0"/>
        <w:numPr>
          <w:ilvl w:val="0"/>
          <w:numId w:val="3"/>
        </w:numPr>
        <w:kinsoku/>
        <w:wordWrap/>
        <w:overflowPunct/>
        <w:topLinePunct w:val="0"/>
        <w:autoSpaceDE/>
        <w:autoSpaceDN/>
        <w:bidi w:val="0"/>
        <w:adjustRightInd/>
        <w:snapToGrid w:val="0"/>
        <w:spacing w:beforeLines="50" w:afterLines="50" w:line="360" w:lineRule="exact"/>
        <w:ind w:left="420" w:leftChars="0" w:hanging="420" w:firstLineChars="0"/>
        <w:textAlignment w:val="auto"/>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 xml:space="preserve"> 本工程水电由承包人自理。</w:t>
      </w:r>
    </w:p>
    <w:p>
      <w:pPr>
        <w:keepNext w:val="0"/>
        <w:keepLines w:val="0"/>
        <w:pageBreakBefore w:val="0"/>
        <w:widowControl w:val="0"/>
        <w:kinsoku/>
        <w:wordWrap/>
        <w:overflowPunct/>
        <w:topLinePunct w:val="0"/>
        <w:autoSpaceDE/>
        <w:autoSpaceDN/>
        <w:bidi w:val="0"/>
        <w:adjustRightInd/>
        <w:snapToGrid w:val="0"/>
        <w:spacing w:beforeLines="50" w:afterLines="50" w:line="360" w:lineRule="exact"/>
        <w:textAlignment w:val="auto"/>
        <w:rPr>
          <w:rFonts w:hint="eastAsia"/>
          <w:bCs/>
          <w:kern w:val="36"/>
          <w:szCs w:val="21"/>
        </w:rPr>
      </w:pPr>
      <w:r>
        <w:rPr>
          <w:rFonts w:hint="eastAsia"/>
          <w:bCs/>
          <w:kern w:val="36"/>
          <w:szCs w:val="21"/>
        </w:rPr>
        <w:t>1</w:t>
      </w:r>
      <w:r>
        <w:rPr>
          <w:rFonts w:hint="eastAsia"/>
          <w:bCs/>
          <w:kern w:val="36"/>
          <w:szCs w:val="21"/>
          <w:lang w:val="en-US" w:eastAsia="zh-CN"/>
        </w:rPr>
        <w:t>1</w:t>
      </w:r>
      <w:r>
        <w:rPr>
          <w:rFonts w:hint="eastAsia"/>
          <w:bCs/>
          <w:kern w:val="36"/>
          <w:szCs w:val="21"/>
        </w:rPr>
        <w:t>.  本次招标采取综合评分的方式进行评标，评分标准按以下表格计分，投标单位需对表内要求内容在投标书中如实反馈：</w:t>
      </w:r>
    </w:p>
    <w:tbl>
      <w:tblPr>
        <w:tblStyle w:val="13"/>
        <w:tblW w:w="9782" w:type="dxa"/>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992"/>
        <w:gridCol w:w="1418"/>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7" w:hRule="atLeast"/>
        </w:trPr>
        <w:tc>
          <w:tcPr>
            <w:tcW w:w="710"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评分 标准</w:t>
            </w:r>
          </w:p>
        </w:tc>
        <w:tc>
          <w:tcPr>
            <w:tcW w:w="99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标价（40分）</w:t>
            </w:r>
          </w:p>
        </w:tc>
        <w:tc>
          <w:tcPr>
            <w:tcW w:w="8080" w:type="dxa"/>
            <w:gridSpan w:val="3"/>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  （30分）</w:t>
            </w: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施工现场概况：2分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施工方案及技术措施：共20分</w:t>
            </w: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施工存在难度（4分）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5"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采取的措施（4分）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人力投入计划（4分）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ind w:left="210" w:hanging="210" w:hangingChars="100"/>
              <w:jc w:val="left"/>
              <w:textAlignment w:val="center"/>
              <w:rPr>
                <w:rFonts w:ascii="宋体" w:hAnsi="宋体" w:cs="宋体"/>
                <w:color w:val="000000"/>
              </w:rPr>
            </w:pPr>
            <w:r>
              <w:rPr>
                <w:rFonts w:hint="eastAsia" w:ascii="宋体" w:hAnsi="宋体" w:cs="宋体"/>
                <w:color w:val="000000"/>
                <w:kern w:val="0"/>
              </w:rPr>
              <w:t>材料、机械投入计划（4分）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工期计划（4分）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现场安全隐患及防范措施，安全措施：5分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现场质量保证措施及文明施工措施： 3分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企业信誉  （30分）</w:t>
            </w: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企业资金状况及信用等级： 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项目经理资质及业绩共4分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Pr>
                <w:rFonts w:hint="eastAsia" w:ascii="宋体" w:hAnsi="宋体" w:cs="宋体"/>
                <w:color w:val="000000"/>
              </w:rPr>
              <w:t>一级建造师证书2分；对应业绩每项1分，最高得2分。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企业类似项目业绩共12分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每项3分，最高得12分。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履约能力综合评估（财务信誉、工程履约信誉、结算信誉）共计6分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体系认证共计4分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每项1分，最高得4分。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2</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ascii="宋体" w:hAnsi="宋体" w:cs="宋体"/>
        </w:rPr>
      </w:pPr>
      <w:r>
        <w:rPr>
          <w:rFonts w:hint="eastAsia" w:ascii="宋体" w:hAnsi="宋体" w:cs="宋体"/>
        </w:rPr>
        <w:t>5. 投标人不得在开标当日至投标有效期满前撤回投标文件，否则其投标保证金将不予退还。</w:t>
      </w:r>
    </w:p>
    <w:p>
      <w:pPr>
        <w:spacing w:line="360" w:lineRule="exact"/>
        <w:rPr>
          <w:rFonts w:ascii="宋体" w:hAnsi="宋体"/>
          <w:b/>
          <w:bCs/>
        </w:rPr>
      </w:pPr>
      <w:r>
        <w:rPr>
          <w:rFonts w:hint="eastAsia" w:ascii="宋体" w:hAnsi="宋体"/>
          <w:b/>
          <w:bCs/>
        </w:rPr>
        <w:t>九、约定和说明</w:t>
      </w:r>
    </w:p>
    <w:p>
      <w:pPr>
        <w:spacing w:line="360" w:lineRule="exact"/>
        <w:rPr>
          <w:rFonts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因承包人原因，节点工期每延误1天，承包人向发包人支付违约金壹仟圆整（¥：1000元整）。竣工工期每延误1天，承包人向发包人支付违约金贰仟圆整（¥：2000元整）。</w:t>
      </w:r>
      <w:r>
        <w:rPr>
          <w:rFonts w:ascii="宋体" w:hAnsi="宋体" w:cs="宋体"/>
          <w:color w:val="000000"/>
        </w:rPr>
        <w:t>因承包人原因，工期延误7天以上或施工质量达不到要求，发包人有权终止合同，另行选择施工队伍</w:t>
      </w:r>
      <w:r>
        <w:rPr>
          <w:rFonts w:hint="eastAsia" w:ascii="宋体" w:hAnsi="宋体" w:cs="宋体"/>
          <w:color w:val="000000"/>
        </w:rPr>
        <w:t>。</w:t>
      </w:r>
    </w:p>
    <w:p>
      <w:pPr>
        <w:spacing w:line="360" w:lineRule="exact"/>
        <w:ind w:firstLine="420" w:firstLineChars="200"/>
        <w:rPr>
          <w:rFonts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Lines="50" w:afterLines="50" w:line="360" w:lineRule="exact"/>
        <w:rPr>
          <w:rFonts w:hint="eastAsia" w:ascii="宋体" w:hAnsi="宋体" w:cs="宋体"/>
          <w:color w:val="000000"/>
        </w:rPr>
      </w:pPr>
      <w:r>
        <w:t>2</w:t>
      </w:r>
      <w:r>
        <w:rPr>
          <w:rFonts w:hint="eastAsia"/>
        </w:rPr>
        <w:t>．</w:t>
      </w:r>
      <w:r>
        <w:rPr>
          <w:rFonts w:hint="eastAsia" w:ascii="宋体" w:hAnsi="宋体" w:cs="宋体"/>
          <w:color w:val="000000"/>
        </w:rPr>
        <w:t>双方约定的工程款（进度款）支付的方式：本工程无预付款。发包人次月按审定的上月进度的70%支付承包人工程款，付款前提供等额增值税专用发票。</w:t>
      </w:r>
    </w:p>
    <w:p>
      <w:pPr>
        <w:widowControl/>
        <w:spacing w:beforeLines="50" w:afterLines="50" w:line="360" w:lineRule="exact"/>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Lines="50" w:afterLines="50" w:line="360" w:lineRule="exact"/>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rPr>
        <w:t>本项目拦标价详见报价单，超过综合单价拦标价及低于优惠率拦标价的作废标处理</w:t>
      </w:r>
      <w:r>
        <w:rPr>
          <w:rFonts w:ascii="宋体" w:hAnsi="宋体"/>
          <w:bCs/>
        </w:rPr>
        <w:t>。</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ascii="宋体" w:hAnsi="宋体"/>
          <w:b/>
          <w:bCs/>
          <w:sz w:val="36"/>
          <w:szCs w:val="36"/>
        </w:rPr>
      </w:pPr>
      <w:r>
        <w:rPr>
          <w:rFonts w:hint="eastAsia" w:ascii="宋体" w:hAnsi="宋体" w:cs="Times New Roman"/>
          <w:b/>
          <w:bCs/>
          <w:sz w:val="36"/>
          <w:szCs w:val="36"/>
          <w:lang w:val="en-US" w:eastAsia="zh-CN"/>
        </w:rPr>
        <w:t>喻村-铸钢变110KV线路改造工程</w:t>
      </w:r>
      <w:r>
        <w:rPr>
          <w:rFonts w:hint="eastAsia" w:ascii="宋体" w:hAnsi="宋体"/>
          <w:b/>
          <w:bCs/>
          <w:sz w:val="36"/>
          <w:szCs w:val="36"/>
        </w:rPr>
        <w:t>报价单</w:t>
      </w:r>
    </w:p>
    <w:tbl>
      <w:tblPr>
        <w:tblStyle w:val="13"/>
        <w:tblpPr w:leftFromText="180" w:rightFromText="180" w:vertAnchor="text" w:horzAnchor="page" w:tblpX="677" w:tblpY="345"/>
        <w:tblOverlap w:val="never"/>
        <w:tblW w:w="5103" w:type="pct"/>
        <w:tblInd w:w="0" w:type="dxa"/>
        <w:tblLayout w:type="fixed"/>
        <w:tblCellMar>
          <w:top w:w="0" w:type="dxa"/>
          <w:left w:w="108" w:type="dxa"/>
          <w:bottom w:w="0" w:type="dxa"/>
          <w:right w:w="108" w:type="dxa"/>
        </w:tblCellMar>
      </w:tblPr>
      <w:tblGrid>
        <w:gridCol w:w="865"/>
        <w:gridCol w:w="2012"/>
        <w:gridCol w:w="550"/>
        <w:gridCol w:w="1000"/>
        <w:gridCol w:w="1338"/>
        <w:gridCol w:w="1325"/>
        <w:gridCol w:w="8419"/>
      </w:tblGrid>
      <w:tr>
        <w:tblPrEx>
          <w:tblCellMar>
            <w:top w:w="0" w:type="dxa"/>
            <w:left w:w="108" w:type="dxa"/>
            <w:bottom w:w="0" w:type="dxa"/>
            <w:right w:w="108" w:type="dxa"/>
          </w:tblCellMar>
        </w:tblPrEx>
        <w:trPr>
          <w:trHeight w:val="416" w:hRule="atLeast"/>
        </w:trPr>
        <w:tc>
          <w:tcPr>
            <w:tcW w:w="27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64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分项名称</w:t>
            </w:r>
          </w:p>
        </w:tc>
        <w:tc>
          <w:tcPr>
            <w:tcW w:w="177"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32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工程量</w:t>
            </w:r>
          </w:p>
        </w:tc>
        <w:tc>
          <w:tcPr>
            <w:tcW w:w="43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拦标价</w:t>
            </w:r>
          </w:p>
        </w:tc>
        <w:tc>
          <w:tcPr>
            <w:tcW w:w="42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报价</w:t>
            </w:r>
          </w:p>
        </w:tc>
        <w:tc>
          <w:tcPr>
            <w:tcW w:w="271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工作内容</w:t>
            </w:r>
          </w:p>
        </w:tc>
      </w:tr>
      <w:tr>
        <w:tblPrEx>
          <w:tblCellMar>
            <w:top w:w="0" w:type="dxa"/>
            <w:left w:w="108" w:type="dxa"/>
            <w:bottom w:w="0" w:type="dxa"/>
            <w:right w:w="108" w:type="dxa"/>
          </w:tblCellMar>
        </w:tblPrEx>
        <w:trPr>
          <w:trHeight w:val="476"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color w:val="000000"/>
                <w:kern w:val="0"/>
                <w:sz w:val="24"/>
                <w:szCs w:val="24"/>
              </w:rPr>
            </w:pPr>
            <w:r>
              <w:rPr>
                <w:rFonts w:hint="eastAsia" w:ascii="宋体" w:hAnsi="宋体" w:cs="宋体"/>
                <w:color w:val="000000"/>
                <w:kern w:val="0"/>
                <w:sz w:val="24"/>
                <w:szCs w:val="24"/>
              </w:rPr>
              <w:t>一、单价</w:t>
            </w:r>
            <w:r>
              <w:rPr>
                <w:rFonts w:hint="eastAsia" w:ascii="宋体" w:hAnsi="宋体" w:cs="宋体"/>
                <w:color w:val="000000"/>
                <w:kern w:val="0"/>
                <w:sz w:val="24"/>
                <w:szCs w:val="24"/>
                <w:lang w:val="en-US" w:eastAsia="zh-CN"/>
              </w:rPr>
              <w:t>包干</w:t>
            </w:r>
            <w:r>
              <w:rPr>
                <w:rFonts w:hint="eastAsia" w:ascii="宋体" w:hAnsi="宋体" w:cs="宋体"/>
                <w:color w:val="000000"/>
                <w:kern w:val="0"/>
                <w:sz w:val="24"/>
                <w:szCs w:val="24"/>
              </w:rPr>
              <w:t>部分</w:t>
            </w:r>
          </w:p>
        </w:tc>
      </w:tr>
      <w:tr>
        <w:tblPrEx>
          <w:tblCellMar>
            <w:top w:w="0" w:type="dxa"/>
            <w:left w:w="108" w:type="dxa"/>
            <w:bottom w:w="0" w:type="dxa"/>
            <w:right w:w="108" w:type="dxa"/>
          </w:tblCellMar>
        </w:tblPrEx>
        <w:trPr>
          <w:trHeight w:val="473" w:hRule="atLeast"/>
        </w:trPr>
        <w:tc>
          <w:tcPr>
            <w:tcW w:w="278"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1"/>
                <w:szCs w:val="21"/>
              </w:rPr>
            </w:pPr>
            <w:r>
              <w:rPr>
                <w:rFonts w:hint="eastAsia"/>
                <w:color w:val="000000"/>
                <w:sz w:val="21"/>
                <w:szCs w:val="21"/>
              </w:rPr>
              <w:t>1</w:t>
            </w:r>
          </w:p>
        </w:tc>
        <w:tc>
          <w:tcPr>
            <w:tcW w:w="64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000000"/>
                <w:kern w:val="0"/>
                <w:sz w:val="21"/>
                <w:szCs w:val="21"/>
              </w:rPr>
            </w:pPr>
            <w:r>
              <w:rPr>
                <w:rFonts w:hint="eastAsia" w:ascii="宋体" w:hAnsi="宋体" w:eastAsia="宋体" w:cs="宋体"/>
                <w:i w:val="0"/>
                <w:iCs w:val="0"/>
                <w:color w:val="000000"/>
                <w:kern w:val="0"/>
                <w:sz w:val="21"/>
                <w:szCs w:val="21"/>
                <w:u w:val="none"/>
                <w:lang w:val="en-US" w:eastAsia="zh-CN" w:bidi="ar"/>
              </w:rPr>
              <w:t>钢管杆施工</w:t>
            </w:r>
          </w:p>
        </w:tc>
        <w:tc>
          <w:tcPr>
            <w:tcW w:w="17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吨</w:t>
            </w:r>
          </w:p>
        </w:tc>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62</w:t>
            </w:r>
          </w:p>
        </w:tc>
        <w:tc>
          <w:tcPr>
            <w:tcW w:w="43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kern w:val="0"/>
                <w:sz w:val="21"/>
                <w:szCs w:val="21"/>
                <w:lang w:val="en-US"/>
              </w:rPr>
            </w:pPr>
            <w:r>
              <w:rPr>
                <w:rFonts w:hint="eastAsia" w:ascii="宋体" w:hAnsi="宋体" w:eastAsia="宋体" w:cs="宋体"/>
                <w:i w:val="0"/>
                <w:iCs w:val="0"/>
                <w:color w:val="000000"/>
                <w:kern w:val="0"/>
                <w:sz w:val="21"/>
                <w:szCs w:val="21"/>
                <w:u w:val="none"/>
                <w:lang w:val="en-US" w:eastAsia="zh-CN" w:bidi="ar"/>
              </w:rPr>
              <w:t>2000</w:t>
            </w:r>
            <w:r>
              <w:rPr>
                <w:rFonts w:hint="eastAsia" w:ascii="宋体" w:hAnsi="宋体" w:cs="宋体"/>
                <w:i w:val="0"/>
                <w:color w:val="000000"/>
                <w:kern w:val="0"/>
                <w:sz w:val="21"/>
                <w:szCs w:val="21"/>
                <w:u w:val="none"/>
                <w:lang w:val="en-US" w:eastAsia="zh-CN" w:bidi="ar"/>
              </w:rPr>
              <w:t>元/吨</w:t>
            </w:r>
          </w:p>
        </w:tc>
        <w:tc>
          <w:tcPr>
            <w:tcW w:w="427" w:type="pct"/>
            <w:tcBorders>
              <w:top w:val="single" w:color="auto" w:sz="4" w:space="0"/>
              <w:left w:val="single" w:color="auto" w:sz="4" w:space="0"/>
              <w:bottom w:val="single" w:color="auto" w:sz="4" w:space="0"/>
              <w:right w:val="single" w:color="auto" w:sz="4" w:space="0"/>
            </w:tcBorders>
            <w:vAlign w:val="center"/>
          </w:tcPr>
          <w:p>
            <w:pPr>
              <w:jc w:val="right"/>
              <w:rPr>
                <w:color w:val="000000"/>
                <w:sz w:val="21"/>
                <w:szCs w:val="21"/>
              </w:rPr>
            </w:pPr>
            <w:r>
              <w:rPr>
                <w:rFonts w:hint="eastAsia" w:ascii="宋体" w:hAnsi="宋体" w:cs="宋体"/>
                <w:i w:val="0"/>
                <w:color w:val="000000"/>
                <w:kern w:val="0"/>
                <w:sz w:val="21"/>
                <w:szCs w:val="21"/>
                <w:u w:val="single"/>
                <w:lang w:val="en-US" w:eastAsia="zh-CN" w:bidi="ar"/>
              </w:rPr>
              <w:t xml:space="preserve">      </w:t>
            </w:r>
            <w:r>
              <w:rPr>
                <w:rFonts w:hint="eastAsia" w:ascii="宋体" w:hAnsi="宋体" w:cs="宋体"/>
                <w:i w:val="0"/>
                <w:color w:val="000000"/>
                <w:kern w:val="0"/>
                <w:sz w:val="21"/>
                <w:szCs w:val="21"/>
                <w:u w:val="none"/>
                <w:lang w:val="en-US" w:eastAsia="zh-CN" w:bidi="ar"/>
              </w:rPr>
              <w:t>元/吨</w:t>
            </w:r>
          </w:p>
        </w:tc>
        <w:tc>
          <w:tcPr>
            <w:tcW w:w="271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right="1890" w:rightChars="90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包括杆塔组立、标识牌等涉及的全部工序及人工费、机械费、材料费（不含钢管杆材料费）、措施费、税金等全部费用。</w:t>
            </w:r>
          </w:p>
        </w:tc>
      </w:tr>
      <w:tr>
        <w:tblPrEx>
          <w:tblCellMar>
            <w:top w:w="0" w:type="dxa"/>
            <w:left w:w="108" w:type="dxa"/>
            <w:bottom w:w="0" w:type="dxa"/>
            <w:right w:w="108" w:type="dxa"/>
          </w:tblCellMar>
        </w:tblPrEx>
        <w:trPr>
          <w:trHeight w:val="509" w:hRule="atLeast"/>
        </w:trPr>
        <w:tc>
          <w:tcPr>
            <w:tcW w:w="278"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21"/>
                <w:szCs w:val="21"/>
                <w:lang w:val="en-US" w:eastAsia="zh-CN"/>
              </w:rPr>
            </w:pPr>
            <w:r>
              <w:rPr>
                <w:rFonts w:hint="eastAsia"/>
                <w:color w:val="000000"/>
                <w:sz w:val="21"/>
                <w:szCs w:val="21"/>
                <w:lang w:val="en-US" w:eastAsia="zh-CN"/>
              </w:rPr>
              <w:t>2</w:t>
            </w:r>
          </w:p>
        </w:tc>
        <w:tc>
          <w:tcPr>
            <w:tcW w:w="64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olor w:val="000000"/>
                <w:sz w:val="21"/>
                <w:szCs w:val="21"/>
              </w:rPr>
            </w:pPr>
            <w:r>
              <w:rPr>
                <w:rFonts w:hint="eastAsia" w:ascii="宋体" w:hAnsi="宋体" w:eastAsia="宋体" w:cs="宋体"/>
                <w:i w:val="0"/>
                <w:iCs w:val="0"/>
                <w:color w:val="000000"/>
                <w:kern w:val="0"/>
                <w:sz w:val="21"/>
                <w:szCs w:val="21"/>
                <w:u w:val="none"/>
                <w:lang w:val="en-US" w:eastAsia="zh-CN" w:bidi="ar"/>
              </w:rPr>
              <w:t>混凝土电缆井（5000*5000*1900）</w:t>
            </w:r>
          </w:p>
        </w:tc>
        <w:tc>
          <w:tcPr>
            <w:tcW w:w="17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color w:val="000000"/>
                <w:sz w:val="21"/>
                <w:szCs w:val="21"/>
                <w:vertAlign w:val="superscript"/>
                <w:lang w:val="en-US" w:eastAsia="zh-CN"/>
              </w:rPr>
            </w:pPr>
            <w:r>
              <w:rPr>
                <w:rFonts w:hint="eastAsia" w:ascii="宋体" w:hAnsi="宋体" w:eastAsia="宋体" w:cs="宋体"/>
                <w:i w:val="0"/>
                <w:iCs w:val="0"/>
                <w:color w:val="000000"/>
                <w:kern w:val="0"/>
                <w:sz w:val="21"/>
                <w:szCs w:val="21"/>
                <w:u w:val="none"/>
                <w:lang w:val="en-US" w:eastAsia="zh-CN" w:bidi="ar"/>
              </w:rPr>
              <w:t>座</w:t>
            </w:r>
          </w:p>
        </w:tc>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43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40000</w:t>
            </w:r>
            <w:r>
              <w:rPr>
                <w:rFonts w:hint="eastAsia" w:ascii="宋体" w:hAnsi="宋体" w:cs="宋体"/>
                <w:i w:val="0"/>
                <w:color w:val="000000"/>
                <w:kern w:val="0"/>
                <w:sz w:val="21"/>
                <w:szCs w:val="21"/>
                <w:u w:val="none"/>
                <w:lang w:val="en-US" w:eastAsia="zh-CN" w:bidi="ar"/>
              </w:rPr>
              <w:t>元/座</w:t>
            </w:r>
          </w:p>
        </w:tc>
        <w:tc>
          <w:tcPr>
            <w:tcW w:w="427" w:type="pct"/>
            <w:tcBorders>
              <w:top w:val="single" w:color="auto" w:sz="4" w:space="0"/>
              <w:left w:val="single" w:color="auto" w:sz="4" w:space="0"/>
              <w:bottom w:val="single" w:color="auto" w:sz="4" w:space="0"/>
              <w:right w:val="single" w:color="auto" w:sz="4" w:space="0"/>
            </w:tcBorders>
            <w:vAlign w:val="center"/>
          </w:tcPr>
          <w:p>
            <w:pPr>
              <w:widowControl/>
              <w:jc w:val="right"/>
              <w:rPr>
                <w:rFonts w:hint="eastAsia"/>
                <w:kern w:val="0"/>
                <w:sz w:val="21"/>
                <w:szCs w:val="21"/>
              </w:rPr>
            </w:pPr>
            <w:r>
              <w:rPr>
                <w:rFonts w:hint="eastAsia" w:ascii="宋体" w:hAnsi="宋体" w:cs="宋体"/>
                <w:i w:val="0"/>
                <w:color w:val="000000"/>
                <w:kern w:val="0"/>
                <w:sz w:val="21"/>
                <w:szCs w:val="21"/>
                <w:u w:val="single"/>
                <w:lang w:val="en-US" w:eastAsia="zh-CN" w:bidi="ar"/>
              </w:rPr>
              <w:t xml:space="preserve">      </w:t>
            </w:r>
            <w:r>
              <w:rPr>
                <w:rFonts w:hint="eastAsia" w:ascii="宋体" w:hAnsi="宋体" w:cs="宋体"/>
                <w:i w:val="0"/>
                <w:color w:val="000000"/>
                <w:kern w:val="0"/>
                <w:sz w:val="21"/>
                <w:szCs w:val="21"/>
                <w:u w:val="none"/>
                <w:lang w:val="en-US" w:eastAsia="zh-CN" w:bidi="ar"/>
              </w:rPr>
              <w:t>元/座</w:t>
            </w:r>
          </w:p>
        </w:tc>
        <w:tc>
          <w:tcPr>
            <w:tcW w:w="271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包括电缆井（含井盖）、预埋件、标识牌、青苗等涉及的全部工序及人工费、机械费、材料费、措施费、税金等全部费用。做法详见图纸</w:t>
            </w:r>
            <w:r>
              <w:rPr>
                <w:rFonts w:hint="eastAsia" w:ascii="宋体" w:hAnsi="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307" w:hRule="atLeast"/>
        </w:trPr>
        <w:tc>
          <w:tcPr>
            <w:tcW w:w="278"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color w:val="000000"/>
                <w:sz w:val="21"/>
                <w:szCs w:val="21"/>
                <w:lang w:val="en-US" w:eastAsia="zh-CN"/>
              </w:rPr>
            </w:pPr>
            <w:r>
              <w:rPr>
                <w:rFonts w:hint="eastAsia"/>
                <w:color w:val="000000"/>
                <w:sz w:val="21"/>
                <w:szCs w:val="21"/>
                <w:lang w:val="en-US" w:eastAsia="zh-CN"/>
              </w:rPr>
              <w:t>3</w:t>
            </w:r>
          </w:p>
        </w:tc>
        <w:tc>
          <w:tcPr>
            <w:tcW w:w="64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杆塔基础施工</w:t>
            </w:r>
          </w:p>
        </w:tc>
        <w:tc>
          <w:tcPr>
            <w:tcW w:w="17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kern w:val="0"/>
                <w:sz w:val="21"/>
                <w:szCs w:val="21"/>
                <w:vertAlign w:val="superscript"/>
                <w:lang w:val="en-US" w:eastAsia="zh-CN"/>
              </w:rPr>
            </w:pPr>
            <w:r>
              <w:rPr>
                <w:rFonts w:hint="eastAsia" w:ascii="宋体" w:hAnsi="宋体" w:cs="宋体"/>
                <w:i w:val="0"/>
                <w:iCs w:val="0"/>
                <w:color w:val="000000"/>
                <w:kern w:val="0"/>
                <w:sz w:val="21"/>
                <w:szCs w:val="21"/>
                <w:u w:val="none"/>
                <w:lang w:val="en-US" w:eastAsia="zh-CN" w:bidi="ar"/>
              </w:rPr>
              <w:t>m</w:t>
            </w:r>
            <w:r>
              <w:rPr>
                <w:rFonts w:hint="eastAsia" w:ascii="宋体" w:hAnsi="宋体" w:cs="宋体"/>
                <w:i w:val="0"/>
                <w:iCs w:val="0"/>
                <w:color w:val="000000"/>
                <w:kern w:val="0"/>
                <w:sz w:val="21"/>
                <w:szCs w:val="21"/>
                <w:u w:val="none"/>
                <w:vertAlign w:val="superscript"/>
                <w:lang w:val="en-US" w:eastAsia="zh-CN" w:bidi="ar"/>
              </w:rPr>
              <w:t>3</w:t>
            </w:r>
          </w:p>
        </w:tc>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225</w:t>
            </w:r>
          </w:p>
        </w:tc>
        <w:tc>
          <w:tcPr>
            <w:tcW w:w="43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2500</w:t>
            </w:r>
            <w:r>
              <w:rPr>
                <w:rFonts w:hint="eastAsia" w:ascii="宋体" w:hAnsi="宋体" w:cs="宋体"/>
                <w:i w:val="0"/>
                <w:color w:val="000000"/>
                <w:kern w:val="0"/>
                <w:sz w:val="21"/>
                <w:szCs w:val="21"/>
                <w:u w:val="none"/>
                <w:lang w:val="en-US" w:eastAsia="zh-CN" w:bidi="ar"/>
              </w:rPr>
              <w:t>元/</w:t>
            </w:r>
            <w:r>
              <w:rPr>
                <w:rFonts w:hint="eastAsia" w:ascii="宋体" w:hAnsi="宋体" w:cs="宋体"/>
                <w:i w:val="0"/>
                <w:iCs w:val="0"/>
                <w:color w:val="000000"/>
                <w:kern w:val="0"/>
                <w:sz w:val="21"/>
                <w:szCs w:val="21"/>
                <w:u w:val="none"/>
                <w:lang w:val="en-US" w:eastAsia="zh-CN" w:bidi="ar"/>
              </w:rPr>
              <w:t>m</w:t>
            </w:r>
            <w:r>
              <w:rPr>
                <w:rFonts w:hint="eastAsia" w:ascii="宋体" w:hAnsi="宋体" w:cs="宋体"/>
                <w:i w:val="0"/>
                <w:iCs w:val="0"/>
                <w:color w:val="000000"/>
                <w:kern w:val="0"/>
                <w:sz w:val="21"/>
                <w:szCs w:val="21"/>
                <w:u w:val="none"/>
                <w:vertAlign w:val="superscript"/>
                <w:lang w:val="en-US" w:eastAsia="zh-CN" w:bidi="ar"/>
              </w:rPr>
              <w:t>3</w:t>
            </w:r>
          </w:p>
        </w:tc>
        <w:tc>
          <w:tcPr>
            <w:tcW w:w="427" w:type="pct"/>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i w:val="0"/>
                <w:color w:val="000000"/>
                <w:kern w:val="0"/>
                <w:sz w:val="21"/>
                <w:szCs w:val="21"/>
                <w:u w:val="single"/>
                <w:lang w:val="en-US" w:eastAsia="zh-CN" w:bidi="ar"/>
              </w:rPr>
            </w:pPr>
            <w:r>
              <w:rPr>
                <w:rFonts w:hint="eastAsia" w:ascii="宋体" w:hAnsi="宋体" w:cs="宋体"/>
                <w:i w:val="0"/>
                <w:color w:val="000000"/>
                <w:kern w:val="0"/>
                <w:sz w:val="21"/>
                <w:szCs w:val="21"/>
                <w:u w:val="single"/>
                <w:lang w:val="en-US" w:eastAsia="zh-CN" w:bidi="ar"/>
              </w:rPr>
              <w:t xml:space="preserve">      </w:t>
            </w:r>
            <w:r>
              <w:rPr>
                <w:rFonts w:hint="eastAsia" w:ascii="宋体" w:hAnsi="宋体" w:cs="宋体"/>
                <w:i w:val="0"/>
                <w:color w:val="000000"/>
                <w:kern w:val="0"/>
                <w:sz w:val="21"/>
                <w:szCs w:val="21"/>
                <w:u w:val="none"/>
                <w:lang w:val="en-US" w:eastAsia="zh-CN" w:bidi="ar"/>
              </w:rPr>
              <w:t>元/</w:t>
            </w:r>
            <w:r>
              <w:rPr>
                <w:rFonts w:hint="eastAsia" w:ascii="宋体" w:hAnsi="宋体" w:cs="宋体"/>
                <w:i w:val="0"/>
                <w:iCs w:val="0"/>
                <w:color w:val="000000"/>
                <w:kern w:val="0"/>
                <w:sz w:val="21"/>
                <w:szCs w:val="21"/>
                <w:u w:val="none"/>
                <w:lang w:val="en-US" w:eastAsia="zh-CN" w:bidi="ar"/>
              </w:rPr>
              <w:t>m</w:t>
            </w:r>
            <w:r>
              <w:rPr>
                <w:rFonts w:hint="eastAsia" w:ascii="宋体" w:hAnsi="宋体" w:cs="宋体"/>
                <w:i w:val="0"/>
                <w:iCs w:val="0"/>
                <w:color w:val="000000"/>
                <w:kern w:val="0"/>
                <w:sz w:val="21"/>
                <w:szCs w:val="21"/>
                <w:u w:val="none"/>
                <w:vertAlign w:val="superscript"/>
                <w:lang w:val="en-US" w:eastAsia="zh-CN" w:bidi="ar"/>
              </w:rPr>
              <w:t>3</w:t>
            </w:r>
          </w:p>
        </w:tc>
        <w:tc>
          <w:tcPr>
            <w:tcW w:w="271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包括灌注桩基础、预埋件、地脚螺栓、接地、青苗等涉及的全部工序及人工费、机械费、材料费、措施费、税金等全部费用。按钢筋砼的有效方量计算工程量。</w:t>
            </w:r>
          </w:p>
        </w:tc>
      </w:tr>
      <w:tr>
        <w:trPr>
          <w:trHeight w:val="307" w:hRule="atLeast"/>
        </w:trPr>
        <w:tc>
          <w:tcPr>
            <w:tcW w:w="278"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21"/>
                <w:szCs w:val="21"/>
                <w:lang w:val="en-US" w:eastAsia="zh-CN"/>
              </w:rPr>
            </w:pPr>
            <w:r>
              <w:rPr>
                <w:rFonts w:hint="eastAsia"/>
                <w:color w:val="000000"/>
                <w:sz w:val="21"/>
                <w:szCs w:val="21"/>
                <w:lang w:val="en-US" w:eastAsia="zh-CN"/>
              </w:rPr>
              <w:t>4</w:t>
            </w:r>
          </w:p>
        </w:tc>
        <w:tc>
          <w:tcPr>
            <w:tcW w:w="64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拉管施工</w:t>
            </w:r>
          </w:p>
        </w:tc>
        <w:tc>
          <w:tcPr>
            <w:tcW w:w="17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000000"/>
                <w:sz w:val="21"/>
                <w:szCs w:val="21"/>
              </w:rPr>
            </w:pPr>
            <w:r>
              <w:rPr>
                <w:rFonts w:hint="eastAsia" w:ascii="宋体" w:hAnsi="宋体" w:eastAsia="宋体" w:cs="宋体"/>
                <w:i w:val="0"/>
                <w:iCs w:val="0"/>
                <w:color w:val="000000"/>
                <w:kern w:val="0"/>
                <w:sz w:val="21"/>
                <w:szCs w:val="21"/>
                <w:u w:val="none"/>
                <w:lang w:val="en-US" w:eastAsia="zh-CN" w:bidi="ar"/>
              </w:rPr>
              <w:t>米</w:t>
            </w:r>
          </w:p>
        </w:tc>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1150</w:t>
            </w:r>
          </w:p>
        </w:tc>
        <w:tc>
          <w:tcPr>
            <w:tcW w:w="43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420</w:t>
            </w:r>
            <w:r>
              <w:rPr>
                <w:rFonts w:hint="eastAsia" w:ascii="宋体" w:hAnsi="宋体" w:cs="宋体"/>
                <w:i w:val="0"/>
                <w:color w:val="000000"/>
                <w:kern w:val="0"/>
                <w:sz w:val="21"/>
                <w:szCs w:val="21"/>
                <w:u w:val="none"/>
                <w:lang w:val="en-US" w:eastAsia="zh-CN" w:bidi="ar"/>
              </w:rPr>
              <w:t>元/米</w:t>
            </w:r>
          </w:p>
        </w:tc>
        <w:tc>
          <w:tcPr>
            <w:tcW w:w="427" w:type="pct"/>
            <w:tcBorders>
              <w:top w:val="single" w:color="auto" w:sz="4" w:space="0"/>
              <w:left w:val="single" w:color="auto" w:sz="4" w:space="0"/>
              <w:bottom w:val="single" w:color="auto" w:sz="4" w:space="0"/>
              <w:right w:val="single" w:color="auto" w:sz="4" w:space="0"/>
            </w:tcBorders>
            <w:vAlign w:val="center"/>
          </w:tcPr>
          <w:p>
            <w:pPr>
              <w:widowControl/>
              <w:jc w:val="right"/>
              <w:rPr>
                <w:rFonts w:hint="eastAsia"/>
                <w:kern w:val="0"/>
                <w:sz w:val="21"/>
                <w:szCs w:val="21"/>
              </w:rPr>
            </w:pPr>
            <w:r>
              <w:rPr>
                <w:rFonts w:hint="eastAsia" w:ascii="宋体" w:hAnsi="宋体" w:cs="宋体"/>
                <w:i w:val="0"/>
                <w:color w:val="000000"/>
                <w:kern w:val="0"/>
                <w:sz w:val="21"/>
                <w:szCs w:val="21"/>
                <w:u w:val="single"/>
                <w:lang w:val="en-US" w:eastAsia="zh-CN" w:bidi="ar"/>
              </w:rPr>
              <w:t xml:space="preserve">      </w:t>
            </w:r>
            <w:r>
              <w:rPr>
                <w:rFonts w:hint="eastAsia" w:ascii="宋体" w:hAnsi="宋体" w:cs="宋体"/>
                <w:i w:val="0"/>
                <w:color w:val="000000"/>
                <w:kern w:val="0"/>
                <w:sz w:val="21"/>
                <w:szCs w:val="21"/>
                <w:u w:val="none"/>
                <w:lang w:val="en-US" w:eastAsia="zh-CN" w:bidi="ar"/>
              </w:rPr>
              <w:t>元/米</w:t>
            </w:r>
          </w:p>
        </w:tc>
        <w:tc>
          <w:tcPr>
            <w:tcW w:w="271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包括拉管、青苗、临时用地等涉及的全部工序及人工费、机械费、材料费、措施费、税金等全部费用。mpp保护管DN200*14</w:t>
            </w:r>
            <w:r>
              <w:rPr>
                <w:rFonts w:hint="eastAsia" w:ascii="宋体" w:hAnsi="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432" w:hRule="atLeast"/>
        </w:trPr>
        <w:tc>
          <w:tcPr>
            <w:tcW w:w="278"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21"/>
                <w:szCs w:val="21"/>
                <w:lang w:val="en-US" w:eastAsia="zh-CN"/>
              </w:rPr>
            </w:pPr>
            <w:r>
              <w:rPr>
                <w:rFonts w:hint="eastAsia"/>
                <w:color w:val="000000"/>
                <w:sz w:val="21"/>
                <w:szCs w:val="21"/>
                <w:lang w:val="en-US" w:eastAsia="zh-CN"/>
              </w:rPr>
              <w:t>5</w:t>
            </w:r>
          </w:p>
        </w:tc>
        <w:tc>
          <w:tcPr>
            <w:tcW w:w="64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olor w:val="000000"/>
                <w:sz w:val="21"/>
                <w:szCs w:val="21"/>
              </w:rPr>
            </w:pPr>
            <w:r>
              <w:rPr>
                <w:rFonts w:hint="eastAsia" w:ascii="宋体" w:hAnsi="宋体" w:eastAsia="宋体" w:cs="宋体"/>
                <w:i w:val="0"/>
                <w:iCs w:val="0"/>
                <w:color w:val="000000"/>
                <w:kern w:val="0"/>
                <w:sz w:val="21"/>
                <w:szCs w:val="21"/>
                <w:u w:val="none"/>
                <w:lang w:val="en-US" w:eastAsia="zh-CN" w:bidi="ar"/>
              </w:rPr>
              <w:t>110kV 1×1000mm2电缆施工</w:t>
            </w:r>
          </w:p>
        </w:tc>
        <w:tc>
          <w:tcPr>
            <w:tcW w:w="17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米</w:t>
            </w:r>
          </w:p>
        </w:tc>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1300</w:t>
            </w:r>
          </w:p>
        </w:tc>
        <w:tc>
          <w:tcPr>
            <w:tcW w:w="43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75</w:t>
            </w:r>
            <w:r>
              <w:rPr>
                <w:rFonts w:hint="eastAsia" w:ascii="宋体" w:hAnsi="宋体" w:cs="宋体"/>
                <w:i w:val="0"/>
                <w:color w:val="000000"/>
                <w:kern w:val="0"/>
                <w:sz w:val="21"/>
                <w:szCs w:val="21"/>
                <w:u w:val="none"/>
                <w:lang w:val="en-US" w:eastAsia="zh-CN" w:bidi="ar"/>
              </w:rPr>
              <w:t>元/米</w:t>
            </w:r>
          </w:p>
        </w:tc>
        <w:tc>
          <w:tcPr>
            <w:tcW w:w="427" w:type="pct"/>
            <w:tcBorders>
              <w:top w:val="single" w:color="auto" w:sz="4" w:space="0"/>
              <w:left w:val="single" w:color="auto" w:sz="4" w:space="0"/>
              <w:bottom w:val="single" w:color="auto" w:sz="4" w:space="0"/>
              <w:right w:val="single" w:color="auto" w:sz="4" w:space="0"/>
            </w:tcBorders>
            <w:vAlign w:val="center"/>
          </w:tcPr>
          <w:p>
            <w:pPr>
              <w:widowControl/>
              <w:jc w:val="right"/>
              <w:rPr>
                <w:rFonts w:hint="eastAsia"/>
                <w:kern w:val="0"/>
                <w:sz w:val="21"/>
                <w:szCs w:val="21"/>
              </w:rPr>
            </w:pPr>
            <w:r>
              <w:rPr>
                <w:rFonts w:hint="eastAsia" w:ascii="宋体" w:hAnsi="宋体" w:cs="宋体"/>
                <w:i w:val="0"/>
                <w:color w:val="000000"/>
                <w:kern w:val="0"/>
                <w:sz w:val="21"/>
                <w:szCs w:val="21"/>
                <w:u w:val="single"/>
                <w:lang w:val="en-US" w:eastAsia="zh-CN" w:bidi="ar"/>
              </w:rPr>
              <w:t xml:space="preserve">      </w:t>
            </w:r>
            <w:r>
              <w:rPr>
                <w:rFonts w:hint="eastAsia" w:ascii="宋体" w:hAnsi="宋体" w:cs="宋体"/>
                <w:i w:val="0"/>
                <w:color w:val="000000"/>
                <w:kern w:val="0"/>
                <w:sz w:val="21"/>
                <w:szCs w:val="21"/>
                <w:u w:val="none"/>
                <w:lang w:val="en-US" w:eastAsia="zh-CN" w:bidi="ar"/>
              </w:rPr>
              <w:t>元/米</w:t>
            </w:r>
          </w:p>
        </w:tc>
        <w:tc>
          <w:tcPr>
            <w:tcW w:w="271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包括电缆敷设、终端头制安（配合厂家制作）、登高保护管、电缆抱箍、标识牌等涉及的全部工序及人工费、机械费、材料费（不含电缆、终端头材料费）、措施费、税金等全部费用。</w:t>
            </w:r>
          </w:p>
        </w:tc>
      </w:tr>
      <w:tr>
        <w:tblPrEx>
          <w:tblCellMar>
            <w:top w:w="0" w:type="dxa"/>
            <w:left w:w="108" w:type="dxa"/>
            <w:bottom w:w="0" w:type="dxa"/>
            <w:right w:w="108" w:type="dxa"/>
          </w:tblCellMar>
        </w:tblPrEx>
        <w:trPr>
          <w:trHeight w:val="495" w:hRule="atLeast"/>
        </w:trPr>
        <w:tc>
          <w:tcPr>
            <w:tcW w:w="278"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21"/>
                <w:szCs w:val="21"/>
                <w:lang w:val="en-US" w:eastAsia="zh-CN"/>
              </w:rPr>
            </w:pPr>
            <w:r>
              <w:rPr>
                <w:rFonts w:hint="eastAsia"/>
                <w:color w:val="000000"/>
                <w:sz w:val="21"/>
                <w:szCs w:val="21"/>
                <w:lang w:val="en-US" w:eastAsia="zh-CN"/>
              </w:rPr>
              <w:t>6</w:t>
            </w:r>
          </w:p>
        </w:tc>
        <w:tc>
          <w:tcPr>
            <w:tcW w:w="64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olor w:val="000000"/>
                <w:sz w:val="21"/>
                <w:szCs w:val="21"/>
              </w:rPr>
            </w:pPr>
            <w:r>
              <w:rPr>
                <w:rFonts w:hint="eastAsia" w:ascii="宋体" w:hAnsi="宋体" w:eastAsia="宋体" w:cs="宋体"/>
                <w:i w:val="0"/>
                <w:iCs w:val="0"/>
                <w:color w:val="000000"/>
                <w:kern w:val="0"/>
                <w:sz w:val="21"/>
                <w:szCs w:val="21"/>
                <w:u w:val="none"/>
                <w:lang w:val="en-US" w:eastAsia="zh-CN" w:bidi="ar"/>
              </w:rPr>
              <w:t>10KV 1×240mm2电缆施工</w:t>
            </w:r>
          </w:p>
        </w:tc>
        <w:tc>
          <w:tcPr>
            <w:tcW w:w="17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000000"/>
                <w:sz w:val="21"/>
                <w:szCs w:val="21"/>
              </w:rPr>
            </w:pPr>
            <w:r>
              <w:rPr>
                <w:rFonts w:hint="eastAsia" w:ascii="宋体" w:hAnsi="宋体" w:eastAsia="宋体" w:cs="宋体"/>
                <w:i w:val="0"/>
                <w:iCs w:val="0"/>
                <w:color w:val="000000"/>
                <w:kern w:val="0"/>
                <w:sz w:val="21"/>
                <w:szCs w:val="21"/>
                <w:u w:val="none"/>
                <w:lang w:val="en-US" w:eastAsia="zh-CN" w:bidi="ar"/>
              </w:rPr>
              <w:t>米</w:t>
            </w:r>
          </w:p>
        </w:tc>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540</w:t>
            </w:r>
          </w:p>
        </w:tc>
        <w:tc>
          <w:tcPr>
            <w:tcW w:w="43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50</w:t>
            </w:r>
            <w:r>
              <w:rPr>
                <w:rFonts w:hint="eastAsia" w:ascii="宋体" w:hAnsi="宋体" w:cs="宋体"/>
                <w:i w:val="0"/>
                <w:color w:val="000000"/>
                <w:kern w:val="0"/>
                <w:sz w:val="21"/>
                <w:szCs w:val="21"/>
                <w:u w:val="none"/>
                <w:lang w:val="en-US" w:eastAsia="zh-CN" w:bidi="ar"/>
              </w:rPr>
              <w:t>元/米</w:t>
            </w:r>
          </w:p>
        </w:tc>
        <w:tc>
          <w:tcPr>
            <w:tcW w:w="427" w:type="pct"/>
            <w:tcBorders>
              <w:top w:val="single" w:color="auto" w:sz="4" w:space="0"/>
              <w:left w:val="single" w:color="auto" w:sz="4" w:space="0"/>
              <w:bottom w:val="single" w:color="auto" w:sz="4" w:space="0"/>
              <w:right w:val="single" w:color="auto" w:sz="4" w:space="0"/>
            </w:tcBorders>
            <w:vAlign w:val="center"/>
          </w:tcPr>
          <w:p>
            <w:pPr>
              <w:widowControl/>
              <w:jc w:val="right"/>
              <w:rPr>
                <w:rFonts w:hint="eastAsia"/>
                <w:kern w:val="0"/>
                <w:sz w:val="21"/>
                <w:szCs w:val="21"/>
              </w:rPr>
            </w:pPr>
            <w:r>
              <w:rPr>
                <w:rFonts w:hint="eastAsia" w:ascii="宋体" w:hAnsi="宋体" w:cs="宋体"/>
                <w:i w:val="0"/>
                <w:color w:val="000000"/>
                <w:kern w:val="0"/>
                <w:sz w:val="21"/>
                <w:szCs w:val="21"/>
                <w:u w:val="single"/>
                <w:lang w:val="en-US" w:eastAsia="zh-CN" w:bidi="ar"/>
              </w:rPr>
              <w:t xml:space="preserve">      </w:t>
            </w:r>
            <w:r>
              <w:rPr>
                <w:rFonts w:hint="eastAsia" w:ascii="宋体" w:hAnsi="宋体" w:cs="宋体"/>
                <w:i w:val="0"/>
                <w:color w:val="000000"/>
                <w:kern w:val="0"/>
                <w:sz w:val="21"/>
                <w:szCs w:val="21"/>
                <w:u w:val="none"/>
                <w:lang w:val="en-US" w:eastAsia="zh-CN" w:bidi="ar"/>
              </w:rPr>
              <w:t>元/米</w:t>
            </w:r>
          </w:p>
        </w:tc>
        <w:tc>
          <w:tcPr>
            <w:tcW w:w="271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包括电缆敷设、终端头制安、直接接地箱、保护接地箱、登高保护管安装等涉及的全部工序及人工费、机械费、材料费（不含电缆、接地箱材料费）、措施费、税金等全部费用。</w:t>
            </w:r>
          </w:p>
        </w:tc>
      </w:tr>
      <w:tr>
        <w:trPr>
          <w:trHeight w:val="483" w:hRule="atLeast"/>
        </w:trPr>
        <w:tc>
          <w:tcPr>
            <w:tcW w:w="278"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21"/>
                <w:szCs w:val="21"/>
                <w:lang w:val="en-US" w:eastAsia="zh-CN"/>
              </w:rPr>
            </w:pPr>
            <w:r>
              <w:rPr>
                <w:rFonts w:hint="eastAsia"/>
                <w:color w:val="000000"/>
                <w:sz w:val="21"/>
                <w:szCs w:val="21"/>
                <w:lang w:val="en-US" w:eastAsia="zh-CN"/>
              </w:rPr>
              <w:t>7</w:t>
            </w:r>
          </w:p>
        </w:tc>
        <w:tc>
          <w:tcPr>
            <w:tcW w:w="64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olor w:val="000000"/>
                <w:sz w:val="21"/>
                <w:szCs w:val="21"/>
              </w:rPr>
            </w:pPr>
            <w:r>
              <w:rPr>
                <w:rFonts w:hint="eastAsia" w:ascii="宋体" w:hAnsi="宋体" w:eastAsia="宋体" w:cs="宋体"/>
                <w:i w:val="0"/>
                <w:iCs w:val="0"/>
                <w:color w:val="000000"/>
                <w:kern w:val="0"/>
                <w:sz w:val="21"/>
                <w:szCs w:val="21"/>
                <w:u w:val="none"/>
                <w:lang w:val="en-US" w:eastAsia="zh-CN" w:bidi="ar"/>
              </w:rPr>
              <w:t>48芯光缆施工</w:t>
            </w:r>
          </w:p>
        </w:tc>
        <w:tc>
          <w:tcPr>
            <w:tcW w:w="17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000000"/>
                <w:sz w:val="21"/>
                <w:szCs w:val="21"/>
              </w:rPr>
            </w:pPr>
            <w:r>
              <w:rPr>
                <w:rFonts w:hint="eastAsia" w:ascii="宋体" w:hAnsi="宋体" w:eastAsia="宋体" w:cs="宋体"/>
                <w:i w:val="0"/>
                <w:iCs w:val="0"/>
                <w:color w:val="000000"/>
                <w:kern w:val="0"/>
                <w:sz w:val="21"/>
                <w:szCs w:val="21"/>
                <w:u w:val="none"/>
                <w:lang w:val="en-US" w:eastAsia="zh-CN" w:bidi="ar"/>
              </w:rPr>
              <w:t>米</w:t>
            </w:r>
          </w:p>
        </w:tc>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410</w:t>
            </w:r>
          </w:p>
        </w:tc>
        <w:tc>
          <w:tcPr>
            <w:tcW w:w="43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6</w:t>
            </w:r>
            <w:r>
              <w:rPr>
                <w:rFonts w:hint="eastAsia" w:ascii="宋体" w:hAnsi="宋体" w:cs="宋体"/>
                <w:i w:val="0"/>
                <w:color w:val="000000"/>
                <w:kern w:val="0"/>
                <w:sz w:val="21"/>
                <w:szCs w:val="21"/>
                <w:u w:val="none"/>
                <w:lang w:val="en-US" w:eastAsia="zh-CN" w:bidi="ar"/>
              </w:rPr>
              <w:t>元/米</w:t>
            </w:r>
          </w:p>
        </w:tc>
        <w:tc>
          <w:tcPr>
            <w:tcW w:w="427" w:type="pct"/>
            <w:tcBorders>
              <w:top w:val="single" w:color="auto" w:sz="4" w:space="0"/>
              <w:left w:val="single" w:color="auto" w:sz="4" w:space="0"/>
              <w:bottom w:val="single" w:color="auto" w:sz="4" w:space="0"/>
              <w:right w:val="single" w:color="auto" w:sz="4" w:space="0"/>
            </w:tcBorders>
            <w:vAlign w:val="center"/>
          </w:tcPr>
          <w:p>
            <w:pPr>
              <w:widowControl/>
              <w:jc w:val="right"/>
              <w:rPr>
                <w:rFonts w:hint="eastAsia"/>
                <w:kern w:val="0"/>
                <w:sz w:val="21"/>
                <w:szCs w:val="21"/>
              </w:rPr>
            </w:pPr>
            <w:r>
              <w:rPr>
                <w:rFonts w:hint="eastAsia" w:ascii="宋体" w:hAnsi="宋体" w:cs="宋体"/>
                <w:i w:val="0"/>
                <w:color w:val="000000"/>
                <w:kern w:val="0"/>
                <w:sz w:val="21"/>
                <w:szCs w:val="21"/>
                <w:u w:val="single"/>
                <w:lang w:val="en-US" w:eastAsia="zh-CN" w:bidi="ar"/>
              </w:rPr>
              <w:t xml:space="preserve">      </w:t>
            </w:r>
            <w:r>
              <w:rPr>
                <w:rFonts w:hint="eastAsia" w:ascii="宋体" w:hAnsi="宋体" w:cs="宋体"/>
                <w:i w:val="0"/>
                <w:color w:val="000000"/>
                <w:kern w:val="0"/>
                <w:sz w:val="21"/>
                <w:szCs w:val="21"/>
                <w:u w:val="none"/>
                <w:lang w:val="en-US" w:eastAsia="zh-CN" w:bidi="ar"/>
              </w:rPr>
              <w:t>元/米</w:t>
            </w:r>
          </w:p>
        </w:tc>
        <w:tc>
          <w:tcPr>
            <w:tcW w:w="271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包括光缆敷设、熔接、光纤盒、登高保护管安装等涉及的全部工序及人工费、机械费、材料费（不含光缆材料费）、措施费、税金等全部费用。</w:t>
            </w:r>
          </w:p>
        </w:tc>
      </w:tr>
      <w:tr>
        <w:tblPrEx>
          <w:tblCellMar>
            <w:top w:w="0" w:type="dxa"/>
            <w:left w:w="108" w:type="dxa"/>
            <w:bottom w:w="0" w:type="dxa"/>
            <w:right w:w="108" w:type="dxa"/>
          </w:tblCellMar>
        </w:tblPrEx>
        <w:trPr>
          <w:trHeight w:val="680" w:hRule="atLeast"/>
        </w:trPr>
        <w:tc>
          <w:tcPr>
            <w:tcW w:w="278"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color w:val="000000"/>
                <w:sz w:val="21"/>
                <w:szCs w:val="21"/>
                <w:lang w:val="en-US" w:eastAsia="zh-CN"/>
              </w:rPr>
            </w:pPr>
            <w:r>
              <w:rPr>
                <w:rFonts w:hint="eastAsia"/>
                <w:color w:val="000000"/>
                <w:sz w:val="21"/>
                <w:szCs w:val="21"/>
                <w:lang w:val="en-US" w:eastAsia="zh-CN"/>
              </w:rPr>
              <w:t>8</w:t>
            </w:r>
          </w:p>
        </w:tc>
        <w:tc>
          <w:tcPr>
            <w:tcW w:w="64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110KV架空线与电缆终端钢管杆连接施工</w:t>
            </w:r>
          </w:p>
        </w:tc>
        <w:tc>
          <w:tcPr>
            <w:tcW w:w="17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处</w:t>
            </w:r>
          </w:p>
        </w:tc>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43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25000</w:t>
            </w:r>
            <w:r>
              <w:rPr>
                <w:rFonts w:hint="eastAsia" w:ascii="宋体" w:hAnsi="宋体" w:cs="宋体"/>
                <w:i w:val="0"/>
                <w:color w:val="000000"/>
                <w:kern w:val="0"/>
                <w:sz w:val="21"/>
                <w:szCs w:val="21"/>
                <w:u w:val="none"/>
                <w:lang w:val="en-US" w:eastAsia="zh-CN" w:bidi="ar"/>
              </w:rPr>
              <w:t>元/处</w:t>
            </w:r>
          </w:p>
        </w:tc>
        <w:tc>
          <w:tcPr>
            <w:tcW w:w="427" w:type="pct"/>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i w:val="0"/>
                <w:color w:val="000000"/>
                <w:kern w:val="0"/>
                <w:sz w:val="21"/>
                <w:szCs w:val="21"/>
                <w:u w:val="single"/>
                <w:lang w:val="en-US" w:eastAsia="zh-CN" w:bidi="ar"/>
              </w:rPr>
            </w:pPr>
            <w:r>
              <w:rPr>
                <w:rFonts w:hint="eastAsia" w:ascii="宋体" w:hAnsi="宋体" w:cs="宋体"/>
                <w:i w:val="0"/>
                <w:color w:val="000000"/>
                <w:kern w:val="0"/>
                <w:sz w:val="21"/>
                <w:szCs w:val="21"/>
                <w:u w:val="single"/>
                <w:lang w:val="en-US" w:eastAsia="zh-CN" w:bidi="ar"/>
              </w:rPr>
              <w:t xml:space="preserve">      </w:t>
            </w:r>
            <w:r>
              <w:rPr>
                <w:rFonts w:hint="eastAsia" w:ascii="宋体" w:hAnsi="宋体" w:cs="宋体"/>
                <w:i w:val="0"/>
                <w:color w:val="000000"/>
                <w:kern w:val="0"/>
                <w:sz w:val="21"/>
                <w:szCs w:val="21"/>
                <w:u w:val="none"/>
                <w:lang w:val="en-US" w:eastAsia="zh-CN" w:bidi="ar"/>
              </w:rPr>
              <w:t>元/处</w:t>
            </w:r>
          </w:p>
        </w:tc>
        <w:tc>
          <w:tcPr>
            <w:tcW w:w="271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包括避雷器、绝缘子、金具串安装、架空线路改接、临锚等涉及的全部工序及人工费、机械费、材料费(不含110kv避雷器、110kv绝缘子、耐张金具材料费）、措施费、税金等全部费用。按三相为一处计算工程量。</w:t>
            </w:r>
          </w:p>
        </w:tc>
      </w:tr>
      <w:tr>
        <w:tblPrEx>
          <w:tblCellMar>
            <w:top w:w="0" w:type="dxa"/>
            <w:left w:w="108" w:type="dxa"/>
            <w:bottom w:w="0" w:type="dxa"/>
            <w:right w:w="108" w:type="dxa"/>
          </w:tblCellMar>
        </w:tblPrEx>
        <w:trPr>
          <w:trHeight w:val="680" w:hRule="atLeast"/>
        </w:trPr>
        <w:tc>
          <w:tcPr>
            <w:tcW w:w="278"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color w:val="000000"/>
                <w:sz w:val="21"/>
                <w:szCs w:val="21"/>
                <w:lang w:val="en-US" w:eastAsia="zh-CN"/>
              </w:rPr>
            </w:pPr>
            <w:r>
              <w:rPr>
                <w:rFonts w:hint="eastAsia"/>
                <w:color w:val="000000"/>
                <w:sz w:val="21"/>
                <w:szCs w:val="21"/>
                <w:lang w:val="en-US" w:eastAsia="zh-CN"/>
              </w:rPr>
              <w:t>9</w:t>
            </w:r>
          </w:p>
        </w:tc>
        <w:tc>
          <w:tcPr>
            <w:tcW w:w="64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试验费</w:t>
            </w:r>
          </w:p>
        </w:tc>
        <w:tc>
          <w:tcPr>
            <w:tcW w:w="17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项</w:t>
            </w:r>
          </w:p>
        </w:tc>
        <w:tc>
          <w:tcPr>
            <w:tcW w:w="32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3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120000</w:t>
            </w:r>
            <w:r>
              <w:rPr>
                <w:rFonts w:hint="eastAsia" w:ascii="宋体" w:hAnsi="宋体" w:cs="宋体"/>
                <w:i w:val="0"/>
                <w:color w:val="000000"/>
                <w:kern w:val="0"/>
                <w:sz w:val="21"/>
                <w:szCs w:val="21"/>
                <w:u w:val="none"/>
                <w:lang w:val="en-US" w:eastAsia="zh-CN" w:bidi="ar"/>
              </w:rPr>
              <w:t>元/项</w:t>
            </w:r>
          </w:p>
        </w:tc>
        <w:tc>
          <w:tcPr>
            <w:tcW w:w="427" w:type="pct"/>
            <w:tcBorders>
              <w:top w:val="single" w:color="auto" w:sz="4" w:space="0"/>
              <w:left w:val="single" w:color="auto" w:sz="4" w:space="0"/>
              <w:bottom w:val="single" w:color="auto" w:sz="4" w:space="0"/>
              <w:right w:val="single" w:color="auto" w:sz="4" w:space="0"/>
            </w:tcBorders>
            <w:vAlign w:val="center"/>
          </w:tcPr>
          <w:p>
            <w:pPr>
              <w:widowControl/>
              <w:jc w:val="right"/>
              <w:rPr>
                <w:rFonts w:hint="default" w:ascii="宋体" w:hAnsi="宋体" w:cs="宋体"/>
                <w:i w:val="0"/>
                <w:color w:val="000000"/>
                <w:kern w:val="0"/>
                <w:sz w:val="21"/>
                <w:szCs w:val="21"/>
                <w:u w:val="single"/>
                <w:lang w:val="en-US" w:eastAsia="zh-CN" w:bidi="ar"/>
              </w:rPr>
            </w:pPr>
            <w:r>
              <w:rPr>
                <w:rFonts w:hint="eastAsia" w:ascii="宋体" w:hAnsi="宋体" w:cs="宋体"/>
                <w:i w:val="0"/>
                <w:color w:val="000000"/>
                <w:kern w:val="0"/>
                <w:sz w:val="21"/>
                <w:szCs w:val="21"/>
                <w:u w:val="single"/>
                <w:lang w:val="en-US" w:eastAsia="zh-CN" w:bidi="ar"/>
              </w:rPr>
              <w:t xml:space="preserve">      </w:t>
            </w:r>
            <w:r>
              <w:rPr>
                <w:rFonts w:hint="eastAsia" w:ascii="宋体" w:hAnsi="宋体" w:cs="宋体"/>
                <w:i w:val="0"/>
                <w:color w:val="000000"/>
                <w:kern w:val="0"/>
                <w:sz w:val="21"/>
                <w:szCs w:val="21"/>
                <w:u w:val="none"/>
                <w:lang w:val="en-US" w:eastAsia="zh-CN" w:bidi="ar"/>
              </w:rPr>
              <w:t>元/项</w:t>
            </w:r>
          </w:p>
        </w:tc>
        <w:tc>
          <w:tcPr>
            <w:tcW w:w="271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含电缆、避雷器的耐压、绝缘试验等相关试验，送电调试等涉及的人工费、机械费、材料费、措施费、税金等全部费用。</w:t>
            </w:r>
          </w:p>
        </w:tc>
      </w:tr>
      <w:tr>
        <w:tblPrEx>
          <w:tblCellMar>
            <w:top w:w="0" w:type="dxa"/>
            <w:left w:w="108" w:type="dxa"/>
            <w:bottom w:w="0" w:type="dxa"/>
            <w:right w:w="108" w:type="dxa"/>
          </w:tblCellMar>
        </w:tblPrEx>
        <w:trPr>
          <w:trHeight w:val="422" w:hRule="atLeast"/>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rPr>
                <w:sz w:val="24"/>
                <w:szCs w:val="24"/>
              </w:rPr>
            </w:pPr>
            <w:r>
              <w:rPr>
                <w:rFonts w:hint="eastAsia"/>
                <w:color w:val="000000"/>
                <w:sz w:val="24"/>
                <w:szCs w:val="24"/>
              </w:rPr>
              <w:t>二、除单价</w:t>
            </w:r>
            <w:r>
              <w:rPr>
                <w:rFonts w:hint="eastAsia"/>
                <w:color w:val="000000"/>
                <w:sz w:val="24"/>
                <w:szCs w:val="24"/>
                <w:lang w:val="en-US" w:eastAsia="zh-CN"/>
              </w:rPr>
              <w:t>包干</w:t>
            </w:r>
            <w:r>
              <w:rPr>
                <w:rFonts w:hint="eastAsia"/>
                <w:color w:val="000000"/>
                <w:sz w:val="24"/>
                <w:szCs w:val="24"/>
              </w:rPr>
              <w:t>外工作量</w:t>
            </w:r>
          </w:p>
        </w:tc>
      </w:tr>
      <w:tr>
        <w:tblPrEx>
          <w:tblCellMar>
            <w:top w:w="0" w:type="dxa"/>
            <w:left w:w="108" w:type="dxa"/>
            <w:bottom w:w="0" w:type="dxa"/>
            <w:right w:w="108" w:type="dxa"/>
          </w:tblCellMar>
        </w:tblPrEx>
        <w:trPr>
          <w:trHeight w:val="972" w:hRule="atLeast"/>
        </w:trPr>
        <w:tc>
          <w:tcPr>
            <w:tcW w:w="27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ind w:firstLine="200" w:firstLine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648" w:type="pc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优惠率（不包含材料费）</w:t>
            </w:r>
          </w:p>
        </w:tc>
        <w:tc>
          <w:tcPr>
            <w:tcW w:w="499" w:type="pct"/>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暂列金额</w:t>
            </w:r>
            <w:r>
              <w:rPr>
                <w:rFonts w:hint="eastAsia" w:ascii="宋体" w:hAnsi="宋体" w:cs="宋体"/>
                <w:i w:val="0"/>
                <w:color w:val="000000"/>
                <w:kern w:val="0"/>
                <w:sz w:val="20"/>
                <w:szCs w:val="20"/>
                <w:u w:val="none"/>
                <w:lang w:val="en-US" w:eastAsia="zh-CN" w:bidi="ar"/>
              </w:rPr>
              <w:t>100000</w:t>
            </w:r>
            <w:r>
              <w:rPr>
                <w:rFonts w:hint="eastAsia" w:ascii="宋体" w:hAnsi="宋体" w:eastAsia="宋体" w:cs="宋体"/>
                <w:i w:val="0"/>
                <w:color w:val="000000"/>
                <w:kern w:val="0"/>
                <w:sz w:val="20"/>
                <w:szCs w:val="20"/>
                <w:u w:val="none"/>
                <w:lang w:val="en-US" w:eastAsia="zh-CN" w:bidi="ar"/>
              </w:rPr>
              <w:t>元</w:t>
            </w:r>
          </w:p>
        </w:tc>
        <w:tc>
          <w:tcPr>
            <w:tcW w:w="431"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42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优惠 </w:t>
            </w:r>
            <w:r>
              <w:rPr>
                <w:rFonts w:hint="eastAsia" w:ascii="宋体" w:hAnsi="宋体" w:cs="宋体"/>
                <w:i w:val="0"/>
                <w:color w:val="000000"/>
                <w:kern w:val="0"/>
                <w:sz w:val="20"/>
                <w:szCs w:val="20"/>
                <w:u w:val="single"/>
                <w:lang w:val="en-US" w:eastAsia="zh-CN" w:bidi="ar"/>
              </w:rPr>
              <w:t xml:space="preserve">     </w:t>
            </w:r>
            <w:r>
              <w:rPr>
                <w:rFonts w:hint="eastAsia" w:ascii="宋体" w:hAnsi="宋体" w:eastAsia="宋体" w:cs="宋体"/>
                <w:i w:val="0"/>
                <w:color w:val="000000"/>
                <w:kern w:val="0"/>
                <w:sz w:val="20"/>
                <w:szCs w:val="20"/>
                <w:u w:val="none"/>
                <w:lang w:val="en-US" w:eastAsia="zh-CN" w:bidi="ar"/>
              </w:rPr>
              <w:t>%</w:t>
            </w:r>
          </w:p>
        </w:tc>
        <w:tc>
          <w:tcPr>
            <w:tcW w:w="2714"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执行《电力建设工程预算定额》（2013版）及配套取费标准，材料费不参与总价优惠。</w:t>
            </w:r>
          </w:p>
        </w:tc>
      </w:tr>
    </w:tbl>
    <w:p>
      <w:pPr>
        <w:spacing w:line="300" w:lineRule="auto"/>
        <w:ind w:firstLine="480" w:firstLineChars="200"/>
        <w:rPr>
          <w:rFonts w:hint="eastAsia"/>
          <w:b/>
          <w:szCs w:val="21"/>
        </w:rPr>
        <w:sectPr>
          <w:pgSz w:w="16840" w:h="11900" w:orient="landscape"/>
          <w:pgMar w:top="981" w:right="278" w:bottom="1361" w:left="1582" w:header="720" w:footer="720" w:gutter="0"/>
          <w:cols w:space="720" w:num="1"/>
        </w:sectPr>
      </w:pPr>
      <w:r>
        <w:rPr>
          <w:rFonts w:hint="eastAsia" w:ascii="宋体" w:hAnsi="宋体" w:cs="宋体"/>
          <w:sz w:val="24"/>
          <w:szCs w:val="24"/>
        </w:rPr>
        <w:t>注：本报价单需加盖投标单位公章和</w:t>
      </w:r>
      <w:r>
        <w:rPr>
          <w:rFonts w:hint="eastAsia"/>
          <w:sz w:val="24"/>
          <w:szCs w:val="24"/>
        </w:rPr>
        <w:t>法人代表印章或授权代理人签字</w:t>
      </w: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31775"/>
      <w:bookmarkStart w:id="1" w:name="_Toc532887698"/>
      <w:bookmarkStart w:id="2" w:name="_Toc15291886"/>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序号</w:t>
            </w:r>
          </w:p>
        </w:tc>
        <w:tc>
          <w:tcPr>
            <w:tcW w:w="2394" w:type="dxa"/>
          </w:tcPr>
          <w:p>
            <w:pPr>
              <w:tabs>
                <w:tab w:val="left" w:pos="509"/>
                <w:tab w:val="left" w:pos="5580"/>
              </w:tabs>
              <w:ind w:firstLine="450" w:firstLineChars="250"/>
              <w:rPr>
                <w:sz w:val="18"/>
                <w:szCs w:val="18"/>
              </w:rPr>
            </w:pPr>
            <w:r>
              <w:rPr>
                <w:sz w:val="18"/>
                <w:szCs w:val="18"/>
              </w:rPr>
              <w:t>证件名称</w:t>
            </w:r>
          </w:p>
        </w:tc>
        <w:tc>
          <w:tcPr>
            <w:tcW w:w="2484" w:type="dxa"/>
          </w:tcPr>
          <w:p>
            <w:pPr>
              <w:tabs>
                <w:tab w:val="left" w:pos="509"/>
                <w:tab w:val="left" w:pos="5580"/>
              </w:tabs>
              <w:ind w:firstLine="450" w:firstLineChars="250"/>
              <w:rPr>
                <w:sz w:val="18"/>
                <w:szCs w:val="18"/>
              </w:rPr>
            </w:pPr>
            <w:r>
              <w:rPr>
                <w:sz w:val="18"/>
                <w:szCs w:val="18"/>
              </w:rPr>
              <w:t>岗位名称</w:t>
            </w:r>
          </w:p>
        </w:tc>
        <w:tc>
          <w:tcPr>
            <w:tcW w:w="2984" w:type="dxa"/>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w:t>
            </w:r>
          </w:p>
        </w:tc>
        <w:tc>
          <w:tcPr>
            <w:tcW w:w="2394" w:type="dxa"/>
          </w:tcPr>
          <w:p>
            <w:pPr>
              <w:tabs>
                <w:tab w:val="left" w:pos="509"/>
                <w:tab w:val="left" w:pos="5580"/>
              </w:tabs>
              <w:rPr>
                <w:sz w:val="18"/>
                <w:szCs w:val="18"/>
              </w:rPr>
            </w:pPr>
            <w:r>
              <w:rPr>
                <w:sz w:val="18"/>
                <w:szCs w:val="18"/>
              </w:rPr>
              <w:t>起重机指挥证</w:t>
            </w:r>
          </w:p>
        </w:tc>
        <w:tc>
          <w:tcPr>
            <w:tcW w:w="2484" w:type="dxa"/>
          </w:tcPr>
          <w:p>
            <w:pPr>
              <w:tabs>
                <w:tab w:val="left" w:pos="509"/>
                <w:tab w:val="left" w:pos="5580"/>
              </w:tabs>
              <w:rPr>
                <w:sz w:val="18"/>
                <w:szCs w:val="18"/>
              </w:rPr>
            </w:pPr>
            <w:r>
              <w:rPr>
                <w:sz w:val="18"/>
                <w:szCs w:val="18"/>
              </w:rPr>
              <w:t>建筑起重信号司索工</w:t>
            </w:r>
          </w:p>
        </w:tc>
        <w:tc>
          <w:tcPr>
            <w:tcW w:w="2984" w:type="dxa"/>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2</w:t>
            </w:r>
          </w:p>
        </w:tc>
        <w:tc>
          <w:tcPr>
            <w:tcW w:w="2394" w:type="dxa"/>
          </w:tcPr>
          <w:p>
            <w:pPr>
              <w:tabs>
                <w:tab w:val="left" w:pos="509"/>
                <w:tab w:val="left" w:pos="5580"/>
              </w:tabs>
              <w:rPr>
                <w:sz w:val="18"/>
                <w:szCs w:val="18"/>
              </w:rPr>
            </w:pPr>
            <w:r>
              <w:rPr>
                <w:sz w:val="18"/>
                <w:szCs w:val="18"/>
              </w:rPr>
              <w:t>塔式起重机司机证/      流动式起重机司机证/    桥门式起重机司机</w:t>
            </w:r>
          </w:p>
        </w:tc>
        <w:tc>
          <w:tcPr>
            <w:tcW w:w="2484" w:type="dxa"/>
          </w:tcPr>
          <w:p>
            <w:pPr>
              <w:tabs>
                <w:tab w:val="left" w:pos="509"/>
                <w:tab w:val="left" w:pos="5580"/>
              </w:tabs>
              <w:rPr>
                <w:sz w:val="18"/>
                <w:szCs w:val="18"/>
              </w:rPr>
            </w:pPr>
            <w:r>
              <w:rPr>
                <w:sz w:val="18"/>
                <w:szCs w:val="18"/>
              </w:rPr>
              <w:t>建筑起重机械司机</w:t>
            </w:r>
          </w:p>
        </w:tc>
        <w:tc>
          <w:tcPr>
            <w:tcW w:w="2984" w:type="dxa"/>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3</w:t>
            </w:r>
          </w:p>
        </w:tc>
        <w:tc>
          <w:tcPr>
            <w:tcW w:w="2394" w:type="dxa"/>
          </w:tcPr>
          <w:p>
            <w:pPr>
              <w:tabs>
                <w:tab w:val="left" w:pos="509"/>
                <w:tab w:val="left" w:pos="5580"/>
              </w:tabs>
              <w:rPr>
                <w:sz w:val="18"/>
                <w:szCs w:val="18"/>
              </w:rPr>
            </w:pPr>
            <w:r>
              <w:rPr>
                <w:sz w:val="18"/>
                <w:szCs w:val="18"/>
              </w:rPr>
              <w:t>塔式起重机安装，拆卸证</w:t>
            </w:r>
          </w:p>
        </w:tc>
        <w:tc>
          <w:tcPr>
            <w:tcW w:w="2484" w:type="dxa"/>
          </w:tcPr>
          <w:p>
            <w:pPr>
              <w:tabs>
                <w:tab w:val="left" w:pos="509"/>
                <w:tab w:val="left" w:pos="5580"/>
              </w:tabs>
              <w:rPr>
                <w:sz w:val="18"/>
                <w:szCs w:val="18"/>
              </w:rPr>
            </w:pPr>
            <w:r>
              <w:rPr>
                <w:sz w:val="18"/>
                <w:szCs w:val="18"/>
              </w:rPr>
              <w:t>建筑起重机械安装拆卸工</w:t>
            </w:r>
          </w:p>
        </w:tc>
        <w:tc>
          <w:tcPr>
            <w:tcW w:w="2984" w:type="dxa"/>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4</w:t>
            </w:r>
          </w:p>
        </w:tc>
        <w:tc>
          <w:tcPr>
            <w:tcW w:w="2394" w:type="dxa"/>
          </w:tcPr>
          <w:p>
            <w:pPr>
              <w:tabs>
                <w:tab w:val="left" w:pos="509"/>
                <w:tab w:val="left" w:pos="5580"/>
              </w:tabs>
              <w:rPr>
                <w:sz w:val="18"/>
                <w:szCs w:val="18"/>
              </w:rPr>
            </w:pPr>
            <w:r>
              <w:rPr>
                <w:sz w:val="18"/>
                <w:szCs w:val="18"/>
              </w:rPr>
              <w:t>高处作业证</w:t>
            </w:r>
          </w:p>
        </w:tc>
        <w:tc>
          <w:tcPr>
            <w:tcW w:w="2484" w:type="dxa"/>
          </w:tcPr>
          <w:p>
            <w:pPr>
              <w:tabs>
                <w:tab w:val="left" w:pos="509"/>
                <w:tab w:val="left" w:pos="5580"/>
              </w:tabs>
              <w:rPr>
                <w:sz w:val="18"/>
                <w:szCs w:val="18"/>
              </w:rPr>
            </w:pPr>
            <w:r>
              <w:rPr>
                <w:sz w:val="18"/>
                <w:szCs w:val="18"/>
              </w:rPr>
              <w:t>高处作业吊篮安装拆卸工</w:t>
            </w:r>
          </w:p>
        </w:tc>
        <w:tc>
          <w:tcPr>
            <w:tcW w:w="2984" w:type="dxa"/>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5</w:t>
            </w:r>
          </w:p>
        </w:tc>
        <w:tc>
          <w:tcPr>
            <w:tcW w:w="2394" w:type="dxa"/>
          </w:tcPr>
          <w:p>
            <w:pPr>
              <w:tabs>
                <w:tab w:val="left" w:pos="509"/>
                <w:tab w:val="left" w:pos="5580"/>
              </w:tabs>
              <w:rPr>
                <w:sz w:val="18"/>
                <w:szCs w:val="18"/>
              </w:rPr>
            </w:pPr>
            <w:r>
              <w:rPr>
                <w:sz w:val="18"/>
                <w:szCs w:val="18"/>
              </w:rPr>
              <w:t>架子工证</w:t>
            </w:r>
          </w:p>
        </w:tc>
        <w:tc>
          <w:tcPr>
            <w:tcW w:w="2484" w:type="dxa"/>
          </w:tcPr>
          <w:p>
            <w:pPr>
              <w:tabs>
                <w:tab w:val="left" w:pos="509"/>
                <w:tab w:val="left" w:pos="5580"/>
              </w:tabs>
              <w:rPr>
                <w:sz w:val="18"/>
                <w:szCs w:val="18"/>
              </w:rPr>
            </w:pPr>
            <w:r>
              <w:rPr>
                <w:sz w:val="18"/>
                <w:szCs w:val="18"/>
              </w:rPr>
              <w:t>建筑架子工（普通脚手架、附着升降脚手架）</w:t>
            </w:r>
          </w:p>
        </w:tc>
        <w:tc>
          <w:tcPr>
            <w:tcW w:w="2984" w:type="dxa"/>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6</w:t>
            </w:r>
          </w:p>
        </w:tc>
        <w:tc>
          <w:tcPr>
            <w:tcW w:w="2394" w:type="dxa"/>
          </w:tcPr>
          <w:p>
            <w:pPr>
              <w:tabs>
                <w:tab w:val="left" w:pos="509"/>
                <w:tab w:val="left" w:pos="5580"/>
              </w:tabs>
              <w:rPr>
                <w:sz w:val="18"/>
                <w:szCs w:val="18"/>
              </w:rPr>
            </w:pPr>
            <w:r>
              <w:rPr>
                <w:sz w:val="18"/>
                <w:szCs w:val="18"/>
              </w:rPr>
              <w:t>焊接与热切割证</w:t>
            </w:r>
          </w:p>
        </w:tc>
        <w:tc>
          <w:tcPr>
            <w:tcW w:w="2484" w:type="dxa"/>
          </w:tcPr>
          <w:p>
            <w:pPr>
              <w:tabs>
                <w:tab w:val="left" w:pos="509"/>
                <w:tab w:val="left" w:pos="5580"/>
              </w:tabs>
              <w:rPr>
                <w:sz w:val="18"/>
                <w:szCs w:val="18"/>
              </w:rPr>
            </w:pPr>
            <w:r>
              <w:rPr>
                <w:sz w:val="18"/>
                <w:szCs w:val="18"/>
              </w:rPr>
              <w:t>建筑焊工（电焊、气焊、切割）：</w:t>
            </w:r>
          </w:p>
        </w:tc>
        <w:tc>
          <w:tcPr>
            <w:tcW w:w="2984" w:type="dxa"/>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7</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高压电工</w:t>
            </w:r>
          </w:p>
        </w:tc>
        <w:tc>
          <w:tcPr>
            <w:tcW w:w="2984" w:type="dxa"/>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8</w:t>
            </w:r>
          </w:p>
        </w:tc>
        <w:tc>
          <w:tcPr>
            <w:tcW w:w="2394" w:type="dxa"/>
          </w:tcPr>
          <w:p>
            <w:pPr>
              <w:tabs>
                <w:tab w:val="left" w:pos="509"/>
                <w:tab w:val="left" w:pos="5580"/>
              </w:tabs>
              <w:rPr>
                <w:sz w:val="18"/>
                <w:szCs w:val="18"/>
              </w:rPr>
            </w:pPr>
            <w:r>
              <w:rPr>
                <w:sz w:val="18"/>
                <w:szCs w:val="18"/>
              </w:rPr>
              <w:t>建筑工程车辆驾驶证</w:t>
            </w:r>
          </w:p>
        </w:tc>
        <w:tc>
          <w:tcPr>
            <w:tcW w:w="2484" w:type="dxa"/>
          </w:tcPr>
          <w:p>
            <w:pPr>
              <w:tabs>
                <w:tab w:val="left" w:pos="509"/>
                <w:tab w:val="left" w:pos="5580"/>
              </w:tabs>
              <w:rPr>
                <w:sz w:val="18"/>
                <w:szCs w:val="18"/>
              </w:rPr>
            </w:pPr>
            <w:r>
              <w:rPr>
                <w:sz w:val="18"/>
                <w:szCs w:val="18"/>
              </w:rPr>
              <w:t>建筑施工现场内机动车司机</w:t>
            </w:r>
          </w:p>
        </w:tc>
        <w:tc>
          <w:tcPr>
            <w:tcW w:w="2984" w:type="dxa"/>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9</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低压电工</w:t>
            </w:r>
          </w:p>
        </w:tc>
        <w:tc>
          <w:tcPr>
            <w:tcW w:w="2984" w:type="dxa"/>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10</w:t>
            </w:r>
          </w:p>
        </w:tc>
        <w:tc>
          <w:tcPr>
            <w:tcW w:w="2394" w:type="dxa"/>
          </w:tcPr>
          <w:p>
            <w:pPr>
              <w:tabs>
                <w:tab w:val="left" w:pos="509"/>
                <w:tab w:val="left" w:pos="5580"/>
              </w:tabs>
              <w:rPr>
                <w:sz w:val="18"/>
                <w:szCs w:val="18"/>
              </w:rPr>
            </w:pPr>
            <w:r>
              <w:rPr>
                <w:sz w:val="18"/>
                <w:szCs w:val="18"/>
              </w:rPr>
              <w:t>煤气作业证</w:t>
            </w:r>
          </w:p>
        </w:tc>
        <w:tc>
          <w:tcPr>
            <w:tcW w:w="2484" w:type="dxa"/>
          </w:tcPr>
          <w:p>
            <w:pPr>
              <w:tabs>
                <w:tab w:val="left" w:pos="509"/>
                <w:tab w:val="left" w:pos="5580"/>
              </w:tabs>
              <w:rPr>
                <w:sz w:val="18"/>
                <w:szCs w:val="18"/>
              </w:rPr>
            </w:pPr>
            <w:r>
              <w:rPr>
                <w:sz w:val="18"/>
                <w:szCs w:val="18"/>
              </w:rPr>
              <w:t>冶金（有色）生产安全作业</w:t>
            </w:r>
          </w:p>
        </w:tc>
        <w:tc>
          <w:tcPr>
            <w:tcW w:w="2984" w:type="dxa"/>
          </w:tcPr>
          <w:p>
            <w:pPr>
              <w:tabs>
                <w:tab w:val="left" w:pos="509"/>
                <w:tab w:val="left" w:pos="5580"/>
              </w:tabs>
              <w:rPr>
                <w:sz w:val="18"/>
                <w:szCs w:val="18"/>
              </w:rPr>
            </w:pPr>
            <w:r>
              <w:rPr>
                <w:sz w:val="18"/>
                <w:szCs w:val="18"/>
              </w:rPr>
              <w:t>指冶金、有色企业内从事煤气生产、储存、输送、使用、维护检修的作业</w:t>
            </w:r>
          </w:p>
        </w:tc>
      </w:tr>
    </w:tbl>
    <w:p>
      <w:pPr>
        <w:rPr>
          <w:rFonts w:hint="eastAsia"/>
          <w:b/>
          <w:sz w:val="11"/>
          <w:szCs w:val="11"/>
        </w:rPr>
      </w:pPr>
      <w:bookmarkStart w:id="3" w:name="_GoBack"/>
      <w:bookmarkEnd w:id="3"/>
    </w:p>
    <w:p>
      <w:pPr>
        <w:ind w:left="720"/>
        <w:rPr>
          <w:rFonts w:hint="eastAsia"/>
          <w:sz w:val="11"/>
          <w:szCs w:val="11"/>
        </w:rPr>
      </w:pPr>
    </w:p>
    <w:p>
      <w:pPr>
        <w:pStyle w:val="12"/>
        <w:widowControl/>
        <w:ind w:firstLine="1120" w:firstLineChars="400"/>
        <w:rPr>
          <w:rFonts w:hint="eastAsia" w:ascii="仿宋_GB2312" w:eastAsia="仿宋_GB2312"/>
          <w:sz w:val="28"/>
          <w:szCs w:val="28"/>
        </w:rPr>
      </w:pPr>
    </w:p>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MingLiU">
    <w:altName w:val="Microsoft JhengHei UI"/>
    <w:panose1 w:val="02010609000101010101"/>
    <w:charset w:val="88"/>
    <w:family w:val="modern"/>
    <w:pitch w:val="default"/>
    <w:sig w:usb0="00000000" w:usb1="00000000" w:usb2="00000010" w:usb3="00000000" w:csb0="00100000"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14</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8"/>
  </w:num>
  <w:num w:numId="4">
    <w:abstractNumId w:val="10"/>
  </w:num>
  <w:num w:numId="5">
    <w:abstractNumId w:val="9"/>
  </w:num>
  <w:num w:numId="6">
    <w:abstractNumId w:val="3"/>
  </w:num>
  <w:num w:numId="7">
    <w:abstractNumId w:val="1"/>
  </w:num>
  <w:num w:numId="8">
    <w:abstractNumId w:val="4"/>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33372"/>
    <w:rsid w:val="001545EC"/>
    <w:rsid w:val="00172AD9"/>
    <w:rsid w:val="0017435A"/>
    <w:rsid w:val="00193EAB"/>
    <w:rsid w:val="001941D1"/>
    <w:rsid w:val="001D277F"/>
    <w:rsid w:val="001F6EDA"/>
    <w:rsid w:val="002052AF"/>
    <w:rsid w:val="002247BE"/>
    <w:rsid w:val="002256D2"/>
    <w:rsid w:val="00231707"/>
    <w:rsid w:val="00243369"/>
    <w:rsid w:val="002521ED"/>
    <w:rsid w:val="00265333"/>
    <w:rsid w:val="00273E57"/>
    <w:rsid w:val="0027600A"/>
    <w:rsid w:val="0029745B"/>
    <w:rsid w:val="002A53E4"/>
    <w:rsid w:val="002C1D87"/>
    <w:rsid w:val="002C6DAE"/>
    <w:rsid w:val="002E0181"/>
    <w:rsid w:val="003031D2"/>
    <w:rsid w:val="00316828"/>
    <w:rsid w:val="0032126A"/>
    <w:rsid w:val="00321467"/>
    <w:rsid w:val="00363046"/>
    <w:rsid w:val="003950B9"/>
    <w:rsid w:val="003B7451"/>
    <w:rsid w:val="004108AA"/>
    <w:rsid w:val="004128A9"/>
    <w:rsid w:val="004320C6"/>
    <w:rsid w:val="004467AF"/>
    <w:rsid w:val="004928AC"/>
    <w:rsid w:val="00496DB6"/>
    <w:rsid w:val="004A0D13"/>
    <w:rsid w:val="004A570A"/>
    <w:rsid w:val="004C3BA9"/>
    <w:rsid w:val="004E4749"/>
    <w:rsid w:val="004F3DA0"/>
    <w:rsid w:val="00506CED"/>
    <w:rsid w:val="00506EC6"/>
    <w:rsid w:val="00507ACB"/>
    <w:rsid w:val="00510547"/>
    <w:rsid w:val="00514AA4"/>
    <w:rsid w:val="005344E4"/>
    <w:rsid w:val="00537A90"/>
    <w:rsid w:val="0055371D"/>
    <w:rsid w:val="00556A88"/>
    <w:rsid w:val="00562555"/>
    <w:rsid w:val="00570D69"/>
    <w:rsid w:val="00591DC1"/>
    <w:rsid w:val="005A0DBC"/>
    <w:rsid w:val="005A4AB2"/>
    <w:rsid w:val="005D0BC5"/>
    <w:rsid w:val="005D37BE"/>
    <w:rsid w:val="005E0755"/>
    <w:rsid w:val="005E42D0"/>
    <w:rsid w:val="00601629"/>
    <w:rsid w:val="00632A28"/>
    <w:rsid w:val="00657827"/>
    <w:rsid w:val="006651CD"/>
    <w:rsid w:val="0066532D"/>
    <w:rsid w:val="006701E3"/>
    <w:rsid w:val="00675A13"/>
    <w:rsid w:val="0068165A"/>
    <w:rsid w:val="006A2EE5"/>
    <w:rsid w:val="006C5F30"/>
    <w:rsid w:val="006D4883"/>
    <w:rsid w:val="006D7140"/>
    <w:rsid w:val="006E3F79"/>
    <w:rsid w:val="006E58DF"/>
    <w:rsid w:val="00700DDA"/>
    <w:rsid w:val="00713A39"/>
    <w:rsid w:val="00714D50"/>
    <w:rsid w:val="00742AEA"/>
    <w:rsid w:val="00744717"/>
    <w:rsid w:val="0075658B"/>
    <w:rsid w:val="00756780"/>
    <w:rsid w:val="00792892"/>
    <w:rsid w:val="007B205F"/>
    <w:rsid w:val="007D66E0"/>
    <w:rsid w:val="007D6CF5"/>
    <w:rsid w:val="007D7EC1"/>
    <w:rsid w:val="007F5DBB"/>
    <w:rsid w:val="007F6F85"/>
    <w:rsid w:val="008053D5"/>
    <w:rsid w:val="0081292B"/>
    <w:rsid w:val="0083094B"/>
    <w:rsid w:val="0084353C"/>
    <w:rsid w:val="008560E8"/>
    <w:rsid w:val="00861C68"/>
    <w:rsid w:val="00870A31"/>
    <w:rsid w:val="00873C15"/>
    <w:rsid w:val="00874F9B"/>
    <w:rsid w:val="008A2B76"/>
    <w:rsid w:val="008A3799"/>
    <w:rsid w:val="008A7AC2"/>
    <w:rsid w:val="008B6E24"/>
    <w:rsid w:val="008D26C7"/>
    <w:rsid w:val="008F3322"/>
    <w:rsid w:val="008F6AC3"/>
    <w:rsid w:val="00922E13"/>
    <w:rsid w:val="00923380"/>
    <w:rsid w:val="00923458"/>
    <w:rsid w:val="00975D10"/>
    <w:rsid w:val="009B5C3E"/>
    <w:rsid w:val="009D00B2"/>
    <w:rsid w:val="009E7190"/>
    <w:rsid w:val="00A005A9"/>
    <w:rsid w:val="00A26D1B"/>
    <w:rsid w:val="00A32965"/>
    <w:rsid w:val="00A63C7F"/>
    <w:rsid w:val="00A64545"/>
    <w:rsid w:val="00A6736B"/>
    <w:rsid w:val="00A72EA7"/>
    <w:rsid w:val="00A86E9D"/>
    <w:rsid w:val="00A86F1A"/>
    <w:rsid w:val="00AA77C8"/>
    <w:rsid w:val="00AB6AD0"/>
    <w:rsid w:val="00AD2719"/>
    <w:rsid w:val="00AD3835"/>
    <w:rsid w:val="00AD5066"/>
    <w:rsid w:val="00AE04AC"/>
    <w:rsid w:val="00AF1735"/>
    <w:rsid w:val="00B15EA5"/>
    <w:rsid w:val="00B20618"/>
    <w:rsid w:val="00B222A3"/>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D30B8"/>
    <w:rsid w:val="00CE16A6"/>
    <w:rsid w:val="00CE2669"/>
    <w:rsid w:val="00CE406C"/>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E6654"/>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202F6"/>
    <w:rsid w:val="00F30C7C"/>
    <w:rsid w:val="00F30D4A"/>
    <w:rsid w:val="00F50D70"/>
    <w:rsid w:val="00F5582B"/>
    <w:rsid w:val="00F64650"/>
    <w:rsid w:val="00FA7FFA"/>
    <w:rsid w:val="00FD2D7A"/>
    <w:rsid w:val="00FE0826"/>
    <w:rsid w:val="00FF16A6"/>
    <w:rsid w:val="00FF5DB0"/>
    <w:rsid w:val="00FF6EFE"/>
    <w:rsid w:val="27682A48"/>
    <w:rsid w:val="3A8A140E"/>
    <w:rsid w:val="4D380E79"/>
    <w:rsid w:val="5C810E1E"/>
    <w:rsid w:val="69001648"/>
    <w:rsid w:val="6A776793"/>
    <w:rsid w:val="6C6C6858"/>
    <w:rsid w:val="7DFD4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uiPriority w:val="99"/>
    <w:rPr>
      <w:sz w:val="18"/>
      <w:szCs w:val="18"/>
    </w:rPr>
  </w:style>
  <w:style w:type="character" w:customStyle="1" w:styleId="25">
    <w:name w:val="font11"/>
    <w:basedOn w:val="14"/>
    <w:uiPriority w:val="0"/>
    <w:rPr>
      <w:rFonts w:hint="eastAsia" w:ascii="宋体" w:hAnsi="宋体" w:eastAsia="宋体" w:cs="宋体"/>
      <w:color w:val="000000"/>
      <w:sz w:val="20"/>
      <w:szCs w:val="20"/>
      <w:u w:val="none"/>
    </w:rPr>
  </w:style>
  <w:style w:type="character" w:customStyle="1" w:styleId="26">
    <w:name w:val="font21"/>
    <w:basedOn w:val="14"/>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MingLiU" w:hAnsi="MingLiU" w:eastAsia="MingLiU" w:cs="MingLiU"/>
      <w:b/>
      <w:color w:val="000000"/>
      <w:sz w:val="18"/>
      <w:szCs w:val="18"/>
      <w:u w:val="none"/>
    </w:rPr>
  </w:style>
  <w:style w:type="character" w:customStyle="1" w:styleId="35">
    <w:name w:val="font121"/>
    <w:basedOn w:val="14"/>
    <w:qFormat/>
    <w:uiPriority w:val="0"/>
    <w:rPr>
      <w:rFonts w:ascii="宋体" w:hAnsi="宋体" w:eastAsia="宋体" w:cs="宋体"/>
      <w:color w:val="000000"/>
      <w:sz w:val="24"/>
      <w:szCs w:val="24"/>
      <w:u w:val="single"/>
    </w:rPr>
  </w:style>
  <w:style w:type="character" w:customStyle="1" w:styleId="36">
    <w:name w:val="font131"/>
    <w:basedOn w:val="14"/>
    <w:qFormat/>
    <w:uiPriority w:val="0"/>
    <w:rPr>
      <w:rFonts w:ascii="宋体" w:hAnsi="宋体" w:eastAsia="宋体" w:cs="宋体"/>
      <w:color w:val="000000"/>
      <w:sz w:val="22"/>
      <w:szCs w:val="22"/>
      <w:u w:val="none"/>
    </w:rPr>
  </w:style>
  <w:style w:type="character" w:customStyle="1" w:styleId="37">
    <w:name w:val="font141"/>
    <w:basedOn w:val="14"/>
    <w:qFormat/>
    <w:uiPriority w:val="0"/>
    <w:rPr>
      <w:rFonts w:hint="default" w:ascii="Times New Roman" w:hAnsi="Times New Roman" w:cs="Times New Roman"/>
      <w:color w:val="000000"/>
      <w:sz w:val="22"/>
      <w:szCs w:val="22"/>
      <w:u w:val="none"/>
    </w:rPr>
  </w:style>
  <w:style w:type="character" w:customStyle="1" w:styleId="38">
    <w:name w:val="font31"/>
    <w:basedOn w:val="14"/>
    <w:qFormat/>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1600</Words>
  <Characters>9123</Characters>
  <Lines>76</Lines>
  <Paragraphs>21</Paragraphs>
  <TotalTime>0</TotalTime>
  <ScaleCrop>false</ScaleCrop>
  <LinksUpToDate>false</LinksUpToDate>
  <CharactersWithSpaces>10702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2021-04-12T00:43:11Z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