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铸件部烟囱监测平台改造工程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4</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15ZJYC</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铸件部烟囱监测平台改造工程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FF0000"/>
          <w:sz w:val="24"/>
          <w:szCs w:val="24"/>
        </w:rPr>
        <w:t>国家建设部门颁发的建筑工程施工总承包叁级及以上资质</w:t>
      </w:r>
      <w:r>
        <w:rPr>
          <w:rFonts w:hint="eastAsia"/>
          <w:color w:val="FF0000"/>
          <w:sz w:val="24"/>
          <w:szCs w:val="24"/>
        </w:rPr>
        <w:t>，</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16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21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铸件部烟囱监测平台改造工程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铸件部烟囱监测平台改造工程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铸件部烟囱监测平台改造工程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w:t>
      </w:r>
      <w:r>
        <w:rPr>
          <w:rFonts w:hint="eastAsia" w:ascii="宋体" w:hAnsi="宋体" w:cs="宋体"/>
          <w:bCs/>
          <w:color w:val="FF0000"/>
          <w:kern w:val="36"/>
          <w:u w:val="single"/>
        </w:rPr>
        <w:t>万</w:t>
      </w:r>
      <w:r>
        <w:rPr>
          <w:rFonts w:hint="eastAsia" w:ascii="宋体" w:hAnsi="宋体" w:cs="宋体"/>
          <w:bCs/>
          <w:color w:val="FF0000"/>
          <w:kern w:val="36"/>
          <w:u w:val="single"/>
          <w:lang w:val="en-US" w:eastAsia="zh-CN"/>
        </w:rPr>
        <w:t>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4</w:t>
      </w:r>
      <w:r>
        <w:rPr>
          <w:rFonts w:hint="eastAsia" w:ascii="宋体" w:hAnsi="宋体" w:cs="宋体"/>
          <w:bCs/>
          <w:color w:val="FF0000"/>
          <w:kern w:val="36"/>
        </w:rPr>
        <w:t>月</w:t>
      </w:r>
      <w:r>
        <w:rPr>
          <w:rFonts w:hint="eastAsia" w:ascii="宋体" w:hAnsi="宋体" w:cs="宋体"/>
          <w:bCs/>
          <w:color w:val="FF0000"/>
          <w:kern w:val="36"/>
          <w:u w:val="single"/>
          <w:lang w:val="en-US" w:eastAsia="zh-CN"/>
        </w:rPr>
        <w:t>21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rPr>
        <w:t>。</w:t>
      </w:r>
    </w:p>
    <w:p>
      <w:pPr>
        <w:spacing w:line="360" w:lineRule="exact"/>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eastAsia="zh-CN"/>
        </w:rPr>
        <w:t>铸件部烟囱监测平台改造工程</w:t>
      </w:r>
      <w:r>
        <w:rPr>
          <w:rFonts w:hint="eastAsia" w:ascii="宋体" w:hAnsi="宋体"/>
        </w:rPr>
        <w:t>，包含</w:t>
      </w:r>
      <w:r>
        <w:rPr>
          <w:rFonts w:hint="eastAsia" w:ascii="宋体" w:hAnsi="宋体"/>
          <w:lang w:val="en-US" w:eastAsia="zh-CN"/>
        </w:rPr>
        <w:t>除尘器烟囱监测</w:t>
      </w:r>
      <w:r>
        <w:rPr>
          <w:rFonts w:hint="eastAsia" w:ascii="宋体" w:hAnsi="宋体"/>
        </w:rPr>
        <w:t>平台改造、</w:t>
      </w:r>
      <w:r>
        <w:rPr>
          <w:rFonts w:hint="eastAsia" w:ascii="宋体" w:hAnsi="宋体"/>
          <w:lang w:val="en-US" w:eastAsia="zh-CN"/>
        </w:rPr>
        <w:t>部分</w:t>
      </w:r>
      <w:r>
        <w:rPr>
          <w:rFonts w:hint="eastAsia" w:ascii="宋体" w:hAnsi="宋体"/>
        </w:rPr>
        <w:t>梯子平台拆除、插座</w:t>
      </w:r>
      <w:r>
        <w:rPr>
          <w:rFonts w:hint="eastAsia" w:ascii="宋体" w:hAnsi="宋体"/>
          <w:lang w:val="en-US" w:eastAsia="zh-CN"/>
        </w:rPr>
        <w:t>配电</w:t>
      </w:r>
      <w:r>
        <w:rPr>
          <w:rFonts w:hint="eastAsia" w:ascii="宋体" w:hAnsi="宋体"/>
        </w:rPr>
        <w:t>等施工。工作量：</w:t>
      </w:r>
      <w:r>
        <w:rPr>
          <w:rFonts w:hint="eastAsia" w:ascii="宋体" w:hAnsi="宋体"/>
          <w:lang w:val="en-US" w:eastAsia="zh-CN"/>
        </w:rPr>
        <w:t>土方开挖约400m3，土方回填约200m3，</w:t>
      </w:r>
      <w:r>
        <w:rPr>
          <w:rFonts w:hint="eastAsia" w:ascii="宋体" w:hAnsi="宋体"/>
        </w:rPr>
        <w:t>基础浇筑</w:t>
      </w:r>
      <w:r>
        <w:rPr>
          <w:rFonts w:hint="eastAsia" w:ascii="宋体" w:hAnsi="宋体"/>
          <w:lang w:val="en-US" w:eastAsia="zh-CN"/>
        </w:rPr>
        <w:t>约35m3，</w:t>
      </w:r>
      <w:r>
        <w:rPr>
          <w:rFonts w:hint="eastAsia" w:ascii="宋体" w:hAnsi="宋体"/>
        </w:rPr>
        <w:t>钢筋制安</w:t>
      </w:r>
      <w:r>
        <w:rPr>
          <w:rFonts w:hint="eastAsia" w:ascii="宋体" w:hAnsi="宋体"/>
          <w:lang w:val="en-US" w:eastAsia="zh-CN"/>
        </w:rPr>
        <w:t>约3t，钢结构制安约90t，钢结构拆除约10t</w:t>
      </w:r>
      <w:r>
        <w:rPr>
          <w:rFonts w:hint="eastAsia" w:ascii="宋体" w:hAnsi="宋体"/>
        </w:rPr>
        <w:t>等工作量。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lang w:val="en-US" w:eastAsia="zh-CN"/>
        </w:rPr>
      </w:pPr>
      <w:r>
        <w:rPr>
          <w:rFonts w:hint="eastAsia" w:ascii="宋体" w:hAnsi="宋体"/>
          <w:lang w:val="en-US" w:eastAsia="zh-CN"/>
        </w:rPr>
        <w:t xml:space="preserve">开工日期：2021年5月1日（暂定）                                          </w:t>
      </w:r>
    </w:p>
    <w:p>
      <w:pPr>
        <w:spacing w:line="360" w:lineRule="exact"/>
        <w:rPr>
          <w:rFonts w:hint="eastAsia" w:ascii="宋体" w:hAnsi="宋体"/>
          <w:lang w:val="en-US" w:eastAsia="zh-CN"/>
        </w:rPr>
      </w:pPr>
      <w:r>
        <w:rPr>
          <w:rFonts w:hint="eastAsia" w:ascii="宋体" w:hAnsi="宋体"/>
          <w:lang w:val="en-US" w:eastAsia="zh-CN"/>
        </w:rPr>
        <w:t xml:space="preserve">竣工日期：2021年7月30日                                              </w:t>
      </w:r>
    </w:p>
    <w:p>
      <w:pPr>
        <w:spacing w:line="360" w:lineRule="exact"/>
        <w:rPr>
          <w:rFonts w:hint="eastAsia" w:ascii="宋体" w:hAnsi="宋体" w:cs="宋体"/>
          <w:sz w:val="24"/>
          <w:szCs w:val="24"/>
        </w:rPr>
      </w:pPr>
      <w:r>
        <w:rPr>
          <w:rFonts w:hint="eastAsia" w:ascii="宋体" w:hAnsi="宋体"/>
          <w:lang w:val="en-US" w:eastAsia="zh-CN"/>
        </w:rPr>
        <w:t>合同工期总日历天数90天。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Lines="50" w:afterLines="50" w:line="360" w:lineRule="exact"/>
        <w:rPr>
          <w:rFonts w:hint="eastAsia"/>
          <w:bCs/>
          <w:kern w:val="36"/>
          <w:szCs w:val="21"/>
        </w:rPr>
      </w:pPr>
      <w:r>
        <w:rPr>
          <w:rFonts w:hint="eastAsia"/>
          <w:bCs/>
          <w:kern w:val="36"/>
          <w:szCs w:val="21"/>
        </w:rPr>
        <w:t>本工程预结算执行《建设工程预结算管理规定》。</w:t>
      </w:r>
    </w:p>
    <w:p>
      <w:pPr>
        <w:numPr>
          <w:ilvl w:val="0"/>
          <w:numId w:val="3"/>
        </w:numPr>
        <w:spacing w:beforeLines="50" w:afterLines="50" w:line="360" w:lineRule="exact"/>
        <w:rPr>
          <w:rFonts w:hint="eastAsia"/>
          <w:bCs/>
          <w:kern w:val="36"/>
          <w:szCs w:val="21"/>
        </w:rPr>
      </w:pPr>
      <w:r>
        <w:rPr>
          <w:rFonts w:hint="eastAsia"/>
          <w:bCs/>
          <w:kern w:val="36"/>
          <w:szCs w:val="21"/>
        </w:rPr>
        <w:t>本工程按单价</w:t>
      </w:r>
      <w:r>
        <w:rPr>
          <w:rFonts w:hint="eastAsia"/>
          <w:bCs/>
          <w:kern w:val="36"/>
          <w:szCs w:val="21"/>
          <w:lang w:val="en-US" w:eastAsia="zh-CN"/>
        </w:rPr>
        <w:t>包干</w:t>
      </w:r>
      <w:r>
        <w:rPr>
          <w:rFonts w:hint="eastAsia"/>
          <w:bCs/>
          <w:kern w:val="36"/>
          <w:szCs w:val="21"/>
        </w:rPr>
        <w:t>结合总价优惠率（材料费不参与总价优惠）的方式进行报价。除单价</w:t>
      </w:r>
      <w:r>
        <w:rPr>
          <w:rFonts w:hint="eastAsia"/>
          <w:bCs/>
          <w:kern w:val="36"/>
          <w:szCs w:val="21"/>
          <w:lang w:val="en-US" w:eastAsia="zh-CN"/>
        </w:rPr>
        <w:t>包干</w:t>
      </w:r>
      <w:r>
        <w:rPr>
          <w:rFonts w:hint="eastAsia"/>
          <w:bCs/>
          <w:kern w:val="36"/>
          <w:szCs w:val="21"/>
        </w:rPr>
        <w:t>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措施项目费以现场确认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Lines="50" w:afterLines="50" w:line="360" w:lineRule="exact"/>
        <w:rPr>
          <w:rFonts w:hint="eastAsia"/>
          <w:bCs/>
          <w:kern w:val="36"/>
          <w:szCs w:val="21"/>
        </w:rPr>
      </w:pPr>
      <w:r>
        <w:rPr>
          <w:rFonts w:hint="eastAsia"/>
          <w:bCs/>
          <w:kern w:val="36"/>
          <w:szCs w:val="21"/>
        </w:rPr>
        <w:t>该工程所有材料由承包方提供。</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bookmarkStart w:id="0" w:name="_Hlk67732197"/>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单价包干部分钢材价格以2021年</w:t>
      </w:r>
      <w:r>
        <w:rPr>
          <w:rFonts w:hint="eastAsia"/>
          <w:bCs/>
          <w:kern w:val="36"/>
          <w:szCs w:val="21"/>
          <w:lang w:val="en-US" w:eastAsia="zh-CN"/>
        </w:rPr>
        <w:t>4</w:t>
      </w:r>
      <w:r>
        <w:rPr>
          <w:rFonts w:hint="eastAsia"/>
          <w:bCs/>
          <w:kern w:val="36"/>
          <w:szCs w:val="21"/>
        </w:rPr>
        <w:t>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bookmarkEnd w:id="0"/>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工程内容按合同约定执行，开具增值税发票执行9%税率。</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1</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每项3分，最高得12分。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2</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ascii="宋体" w:hAnsi="宋体"/>
          <w:bCs/>
        </w:rPr>
        <w:t>工程量拦标价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b/>
          <w:bCs/>
          <w:sz w:val="36"/>
          <w:szCs w:val="36"/>
          <w:lang w:eastAsia="zh-CN"/>
        </w:rPr>
        <w:t>铸件部烟囱监测平台改造工程</w:t>
      </w:r>
      <w:r>
        <w:rPr>
          <w:rFonts w:hint="eastAsia" w:ascii="宋体" w:hAnsi="宋体"/>
          <w:b/>
          <w:bCs/>
          <w:sz w:val="36"/>
          <w:szCs w:val="36"/>
        </w:rPr>
        <w:t>报价单</w:t>
      </w:r>
    </w:p>
    <w:tbl>
      <w:tblPr>
        <w:tblStyle w:val="13"/>
        <w:tblW w:w="14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987"/>
        <w:gridCol w:w="913"/>
        <w:gridCol w:w="1100"/>
        <w:gridCol w:w="1450"/>
        <w:gridCol w:w="1775"/>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19"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987"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913"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1100"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450" w:type="dxa"/>
            <w:noWrap w:val="0"/>
            <w:vAlign w:val="center"/>
          </w:tcPr>
          <w:p>
            <w:pPr>
              <w:spacing w:line="30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拦标价</w:t>
            </w:r>
          </w:p>
        </w:tc>
        <w:tc>
          <w:tcPr>
            <w:tcW w:w="1775" w:type="dxa"/>
            <w:noWrap w:val="0"/>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报价</w:t>
            </w:r>
          </w:p>
        </w:tc>
        <w:tc>
          <w:tcPr>
            <w:tcW w:w="6422"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666" w:type="dxa"/>
            <w:gridSpan w:val="7"/>
            <w:noWrap w:val="0"/>
            <w:vAlign w:val="center"/>
          </w:tcPr>
          <w:p>
            <w:pPr>
              <w:jc w:val="left"/>
              <w:rPr>
                <w:rFonts w:ascii="宋体" w:hAnsi="宋体" w:cs="宋体"/>
                <w:sz w:val="24"/>
                <w:szCs w:val="24"/>
              </w:rPr>
            </w:pPr>
            <w:r>
              <w:rPr>
                <w:rFonts w:hint="eastAsia" w:ascii="宋体" w:hAnsi="宋体" w:cs="宋体"/>
                <w:sz w:val="24"/>
                <w:szCs w:val="24"/>
              </w:rPr>
              <w:t>一、单价</w:t>
            </w:r>
            <w:r>
              <w:rPr>
                <w:rFonts w:hint="eastAsia" w:ascii="宋体" w:hAnsi="宋体" w:cs="宋体"/>
                <w:sz w:val="24"/>
                <w:szCs w:val="24"/>
                <w:lang w:val="en-US" w:eastAsia="zh-CN"/>
              </w:rPr>
              <w:t>包干</w:t>
            </w:r>
            <w:r>
              <w:rPr>
                <w:rFonts w:hint="eastAsia" w:ascii="宋体" w:hAnsi="宋体" w:cs="宋体"/>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19"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987" w:type="dxa"/>
            <w:noWrap w:val="0"/>
            <w:vAlign w:val="center"/>
          </w:tcPr>
          <w:p>
            <w:pPr>
              <w:keepNext w:val="0"/>
              <w:keepLines w:val="0"/>
              <w:widowControl/>
              <w:suppressLineNumbers w:val="0"/>
              <w:jc w:val="left"/>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土方开挖</w:t>
            </w:r>
          </w:p>
        </w:tc>
        <w:tc>
          <w:tcPr>
            <w:tcW w:w="913" w:type="dxa"/>
            <w:noWrap w:val="0"/>
            <w:vAlign w:val="center"/>
          </w:tcPr>
          <w:p>
            <w:pPr>
              <w:keepNext w:val="0"/>
              <w:keepLines w:val="0"/>
              <w:widowControl/>
              <w:suppressLineNumbers w:val="0"/>
              <w:jc w:val="center"/>
              <w:textAlignment w:val="center"/>
              <w:rPr>
                <w:rFonts w:hint="default" w:ascii="宋体" w:hAnsi="宋体" w:cs="宋体"/>
                <w:sz w:val="18"/>
                <w:szCs w:val="18"/>
                <w:vertAlign w:val="superscript"/>
                <w:lang w:val="en-US"/>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00"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400</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val="en-US" w:eastAsia="zh-CN" w:bidi="ar"/>
              </w:rPr>
            </w:pPr>
            <w:r>
              <w:rPr>
                <w:rFonts w:hint="eastAsia" w:ascii="宋体" w:hAnsi="宋体" w:eastAsia="宋体" w:cs="宋体"/>
                <w:i w:val="0"/>
                <w:iCs w:val="0"/>
                <w:color w:val="000000"/>
                <w:kern w:val="0"/>
                <w:sz w:val="18"/>
                <w:szCs w:val="18"/>
                <w:u w:val="none"/>
                <w:lang w:val="en-US" w:eastAsia="zh-CN" w:bidi="ar"/>
              </w:rPr>
              <w:t>40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775" w:type="dxa"/>
            <w:noWrap w:val="0"/>
            <w:vAlign w:val="center"/>
          </w:tcPr>
          <w:p>
            <w:pPr>
              <w:spacing w:before="156" w:beforeLines="50" w:after="156" w:afterLines="50"/>
              <w:jc w:val="left"/>
              <w:rPr>
                <w:rFonts w:hint="eastAsia" w:ascii="宋体" w:hAnsi="宋体" w:cs="宋体"/>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642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包括开挖、装车、外排等涉及的全部工序及人工费、机械费、材料费、措施费、不可竞争费、税金、水电费等全部费用。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9"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987" w:type="dxa"/>
            <w:noWrap w:val="0"/>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土方回填</w:t>
            </w:r>
          </w:p>
        </w:tc>
        <w:tc>
          <w:tcPr>
            <w:tcW w:w="913" w:type="dxa"/>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00"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val="en-US" w:eastAsia="zh-CN" w:bidi="ar"/>
              </w:rPr>
            </w:pPr>
            <w:r>
              <w:rPr>
                <w:rFonts w:hint="eastAsia" w:ascii="宋体" w:hAnsi="宋体" w:eastAsia="宋体" w:cs="宋体"/>
                <w:i w:val="0"/>
                <w:iCs w:val="0"/>
                <w:color w:val="000000"/>
                <w:kern w:val="0"/>
                <w:sz w:val="18"/>
                <w:szCs w:val="18"/>
                <w:u w:val="none"/>
                <w:lang w:val="en-US" w:eastAsia="zh-CN" w:bidi="ar"/>
              </w:rPr>
              <w:t>20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775" w:type="dxa"/>
            <w:noWrap w:val="0"/>
            <w:vAlign w:val="center"/>
          </w:tcPr>
          <w:p>
            <w:pPr>
              <w:spacing w:before="156" w:beforeLines="50" w:after="156" w:afterLines="50"/>
              <w:jc w:val="left"/>
              <w:rPr>
                <w:rFonts w:ascii="宋体" w:hAnsi="宋体" w:cs="宋体"/>
                <w:sz w:val="18"/>
                <w:szCs w:val="18"/>
                <w:u w:val="single"/>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6422"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包括装车、回填、平整、夯实等涉及的全部工序及人工费、机械费、材料费、措施费、不可竞争费、税金、水电费等全部费用。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9"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987" w:type="dxa"/>
            <w:noWrap w:val="0"/>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级配砂石</w:t>
            </w:r>
          </w:p>
        </w:tc>
        <w:tc>
          <w:tcPr>
            <w:tcW w:w="913" w:type="dxa"/>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0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400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775" w:type="dxa"/>
            <w:noWrap w:val="0"/>
            <w:vAlign w:val="center"/>
          </w:tcPr>
          <w:p>
            <w:pPr>
              <w:spacing w:before="156" w:beforeLines="50" w:after="156" w:afterLines="50"/>
              <w:jc w:val="left"/>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6422" w:type="dxa"/>
            <w:noWrap w:val="0"/>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包括卸车、运输、倒运、拌和、铺设、夯实等涉及的全部工序及人工费、机械费、材料费、措施费、不可竞争费、税金、水电费等全部费用。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1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1987"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垫层浇筑</w:t>
            </w:r>
          </w:p>
        </w:tc>
        <w:tc>
          <w:tcPr>
            <w:tcW w:w="913" w:type="dxa"/>
            <w:noWrap w:val="0"/>
            <w:vAlign w:val="center"/>
          </w:tcPr>
          <w:p>
            <w:pPr>
              <w:keepNext w:val="0"/>
              <w:keepLines w:val="0"/>
              <w:widowControl/>
              <w:suppressLineNumbers w:val="0"/>
              <w:jc w:val="center"/>
              <w:textAlignment w:val="center"/>
              <w:rPr>
                <w:rFonts w:hint="default" w:ascii="宋体" w:hAnsi="宋体" w:cs="宋体"/>
                <w:sz w:val="18"/>
                <w:szCs w:val="18"/>
                <w:vertAlign w:val="superscript"/>
                <w:lang w:val="en-US" w:eastAsia="zh-CN"/>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00"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700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775" w:type="dxa"/>
            <w:noWrap w:val="0"/>
            <w:vAlign w:val="center"/>
          </w:tcPr>
          <w:p>
            <w:pPr>
              <w:spacing w:before="156" w:beforeLines="50" w:after="156" w:afterLines="50"/>
              <w:jc w:val="left"/>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6422"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i w:val="0"/>
                <w:iCs w:val="0"/>
                <w:color w:val="000000"/>
                <w:kern w:val="0"/>
                <w:sz w:val="18"/>
                <w:szCs w:val="18"/>
                <w:u w:val="none"/>
                <w:lang w:val="en-US" w:eastAsia="zh-CN" w:bidi="ar"/>
              </w:rPr>
              <w:t>包括卸车、运输、倒运、支模、对拉丝、浇筑、养生等涉及的全部工序及人工费、机械费、材料费、措施费、不可竞争费、税金、水电费等全部费用。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1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987"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基础浇筑</w:t>
            </w:r>
          </w:p>
        </w:tc>
        <w:tc>
          <w:tcPr>
            <w:tcW w:w="913" w:type="dxa"/>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100"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850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775" w:type="dxa"/>
            <w:noWrap w:val="0"/>
            <w:vAlign w:val="center"/>
          </w:tcPr>
          <w:p>
            <w:pPr>
              <w:spacing w:before="156" w:beforeLines="50" w:after="156" w:afterLines="50"/>
              <w:jc w:val="left"/>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642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包括卸车、运输、倒运、脚手架、支模、对拉丝、浇筑、养生等涉及的全部工序及人工费、机械费、材料费、措施费、不可竞争费、税金、水电费等全部费用。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1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1987"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钢筋制安</w:t>
            </w:r>
          </w:p>
        </w:tc>
        <w:tc>
          <w:tcPr>
            <w:tcW w:w="913" w:type="dxa"/>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t</w:t>
            </w:r>
          </w:p>
        </w:tc>
        <w:tc>
          <w:tcPr>
            <w:tcW w:w="1100"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6300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1775" w:type="dxa"/>
            <w:noWrap w:val="0"/>
            <w:vAlign w:val="center"/>
          </w:tcPr>
          <w:p>
            <w:pPr>
              <w:spacing w:before="156" w:beforeLines="50" w:after="156" w:afterLines="50"/>
              <w:jc w:val="left"/>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642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1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987" w:type="dxa"/>
            <w:noWrap w:val="0"/>
            <w:vAlign w:val="center"/>
          </w:tcPr>
          <w:p>
            <w:pPr>
              <w:keepNext w:val="0"/>
              <w:keepLines w:val="0"/>
              <w:widowControl/>
              <w:suppressLineNumbers w:val="0"/>
              <w:jc w:val="left"/>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钢结构制安</w:t>
            </w:r>
          </w:p>
        </w:tc>
        <w:tc>
          <w:tcPr>
            <w:tcW w:w="913" w:type="dxa"/>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t</w:t>
            </w:r>
          </w:p>
        </w:tc>
        <w:tc>
          <w:tcPr>
            <w:tcW w:w="1100"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15000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1775" w:type="dxa"/>
            <w:noWrap w:val="0"/>
            <w:vAlign w:val="center"/>
          </w:tcPr>
          <w:p>
            <w:pPr>
              <w:spacing w:before="156" w:beforeLines="50" w:after="156" w:afterLines="50"/>
              <w:jc w:val="left"/>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6422" w:type="dxa"/>
            <w:noWrap w:val="0"/>
            <w:vAlign w:val="center"/>
          </w:tcPr>
          <w:p>
            <w:pPr>
              <w:keepNext w:val="0"/>
              <w:keepLines w:val="0"/>
              <w:widowControl/>
              <w:suppressLineNumbers w:val="0"/>
              <w:jc w:val="left"/>
              <w:textAlignment w:val="center"/>
              <w:rPr>
                <w:rFonts w:hint="eastAsia" w:ascii="宋体" w:hAnsi="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包括支架、平台、梯子、栏杆等所有钢构的卸车、运输、倒运、制作、安装、除锈、刷漆等涉及的全部工序及人工费、机械费、材料费、措施费、不可竞争费、税金、水电费等全部费用。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19"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98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利旧钢结构保护性拆除、改造、安装</w:t>
            </w:r>
          </w:p>
        </w:tc>
        <w:tc>
          <w:tcPr>
            <w:tcW w:w="913"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1100" w:type="dxa"/>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8000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1775" w:type="dxa"/>
            <w:noWrap w:val="0"/>
            <w:vAlign w:val="center"/>
          </w:tcPr>
          <w:p>
            <w:pPr>
              <w:jc w:val="center"/>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6422"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包括利旧平台、梯子、栏杆等钢构的卸车、运输、倒运、保护性拆除、改造、安装、除锈、刷漆等涉及的全部工序及人工费、机械费、材料费、措施费、不可竞争费、税金、水电费等全部费用。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9"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98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钢结构拆除</w:t>
            </w:r>
          </w:p>
        </w:tc>
        <w:tc>
          <w:tcPr>
            <w:tcW w:w="913"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t</w:t>
            </w:r>
          </w:p>
        </w:tc>
        <w:tc>
          <w:tcPr>
            <w:tcW w:w="1100"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eastAsia="宋体" w:cs="宋体"/>
                <w:i w:val="0"/>
                <w:iCs w:val="0"/>
                <w:color w:val="000000"/>
                <w:kern w:val="0"/>
                <w:sz w:val="18"/>
                <w:szCs w:val="18"/>
                <w:u w:val="none"/>
                <w:lang w:val="en-US" w:eastAsia="zh-CN" w:bidi="ar"/>
              </w:rPr>
              <w:t>1000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1775" w:type="dxa"/>
            <w:noWrap w:val="0"/>
            <w:vAlign w:val="center"/>
          </w:tcPr>
          <w:p>
            <w:pPr>
              <w:jc w:val="center"/>
              <w:rPr>
                <w:rFonts w:hint="eastAsia" w:ascii="宋体" w:hAnsi="宋体" w:cs="宋体"/>
                <w:color w:val="000000"/>
                <w:kern w:val="0"/>
                <w:sz w:val="18"/>
                <w:szCs w:val="18"/>
                <w:u w:val="single"/>
                <w:lang w:bidi="ar"/>
              </w:rPr>
            </w:pP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6422" w:type="dxa"/>
            <w:noWrap w:val="0"/>
            <w:vAlign w:val="center"/>
          </w:tcPr>
          <w:p>
            <w:pPr>
              <w:keepNext w:val="0"/>
              <w:keepLines w:val="0"/>
              <w:widowControl/>
              <w:suppressLineNumbers w:val="0"/>
              <w:jc w:val="left"/>
              <w:textAlignment w:val="center"/>
              <w:rPr>
                <w:rFonts w:hint="eastAsia" w:ascii="宋体" w:hAnsi="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包括拆除、分解成块（1000mm以内）、运输、倒运等涉及的全部工序及人工费、机械费、材料费、措施费、不可竞争费、税金、水电费等全部费用。</w:t>
            </w:r>
            <w:r>
              <w:rPr>
                <w:rStyle w:val="26"/>
                <w:color w:val="auto"/>
                <w:sz w:val="18"/>
                <w:szCs w:val="18"/>
                <w:lang w:val="en-US" w:eastAsia="zh-CN" w:bidi="ar"/>
              </w:rPr>
              <w:t>由施工现场送至厂内指定地点。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666" w:type="dxa"/>
            <w:gridSpan w:val="7"/>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1987" w:type="dxa"/>
            <w:noWrap w:val="0"/>
            <w:vAlign w:val="center"/>
          </w:tcPr>
          <w:p>
            <w:pPr>
              <w:jc w:val="left"/>
              <w:rPr>
                <w:rFonts w:hint="eastAsia" w:ascii="宋体" w:hAnsi="宋体" w:cs="宋体"/>
                <w:sz w:val="18"/>
                <w:szCs w:val="18"/>
              </w:rPr>
            </w:pPr>
            <w:r>
              <w:rPr>
                <w:rFonts w:hint="eastAsia"/>
                <w:sz w:val="18"/>
                <w:szCs w:val="18"/>
              </w:rPr>
              <w:t>优惠率（不包含材料费）</w:t>
            </w:r>
          </w:p>
        </w:tc>
        <w:tc>
          <w:tcPr>
            <w:tcW w:w="201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sz w:val="18"/>
                <w:szCs w:val="18"/>
              </w:rPr>
              <w:t>暂列金额</w:t>
            </w:r>
            <w:r>
              <w:rPr>
                <w:rFonts w:hint="eastAsia" w:ascii="宋体" w:hAnsi="宋体" w:cs="宋体"/>
                <w:sz w:val="18"/>
                <w:szCs w:val="18"/>
                <w:u w:val="single"/>
                <w:lang w:val="en-US" w:eastAsia="zh-CN"/>
              </w:rPr>
              <w:t>50000</w:t>
            </w:r>
            <w:r>
              <w:rPr>
                <w:rFonts w:hint="eastAsia" w:ascii="宋体" w:hAnsi="宋体" w:cs="宋体"/>
                <w:sz w:val="18"/>
                <w:szCs w:val="18"/>
              </w:rPr>
              <w:t>元</w:t>
            </w:r>
          </w:p>
        </w:tc>
        <w:tc>
          <w:tcPr>
            <w:tcW w:w="1450" w:type="dxa"/>
            <w:noWrap w:val="0"/>
            <w:vAlign w:val="center"/>
          </w:tcPr>
          <w:p>
            <w:pPr>
              <w:spacing w:before="156" w:beforeLines="50" w:after="156" w:afterLines="5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1775" w:type="dxa"/>
            <w:noWrap w:val="0"/>
            <w:vAlign w:val="center"/>
          </w:tcPr>
          <w:p>
            <w:pPr>
              <w:spacing w:before="156" w:beforeLines="50" w:after="156" w:afterLines="50"/>
              <w:jc w:val="left"/>
              <w:rPr>
                <w:rFonts w:hint="eastAsia" w:ascii="宋体" w:hAnsi="宋体" w:cs="宋体"/>
                <w:sz w:val="18"/>
                <w:szCs w:val="18"/>
                <w:u w:val="single"/>
              </w:rPr>
            </w:pPr>
            <w:r>
              <w:rPr>
                <w:rFonts w:hint="eastAsia" w:ascii="宋体" w:hAnsi="宋体" w:cs="宋体"/>
                <w:sz w:val="18"/>
                <w:szCs w:val="18"/>
              </w:rPr>
              <w:t>优惠</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rPr>
              <w:t>%</w:t>
            </w:r>
          </w:p>
        </w:tc>
        <w:tc>
          <w:tcPr>
            <w:tcW w:w="6422" w:type="dxa"/>
            <w:noWrap w:val="0"/>
            <w:vAlign w:val="top"/>
          </w:tcPr>
          <w:p>
            <w:pPr>
              <w:jc w:val="left"/>
              <w:rPr>
                <w:rFonts w:hint="eastAsia" w:ascii="宋体" w:hAnsi="宋体" w:cs="宋体"/>
                <w:sz w:val="18"/>
                <w:szCs w:val="18"/>
              </w:rPr>
            </w:pPr>
            <w:r>
              <w:rPr>
                <w:rFonts w:hint="eastAsia" w:ascii="宋体" w:hAnsi="宋体" w:cs="宋体"/>
                <w:sz w:val="18"/>
                <w:szCs w:val="18"/>
              </w:rPr>
              <w:t>执行2018版安徽省建设工程计价定额及配套费用定额，材料费不参与总价优惠。措施</w:t>
            </w:r>
            <w:r>
              <w:rPr>
                <w:rFonts w:hint="eastAsia" w:ascii="宋体" w:hAnsi="宋体" w:cs="宋体"/>
                <w:sz w:val="18"/>
                <w:szCs w:val="18"/>
                <w:lang w:val="en-US" w:eastAsia="zh-CN"/>
              </w:rPr>
              <w:t>项目</w:t>
            </w:r>
            <w:r>
              <w:rPr>
                <w:rFonts w:hint="eastAsia" w:ascii="宋体" w:hAnsi="宋体" w:cs="宋体"/>
                <w:sz w:val="18"/>
                <w:szCs w:val="18"/>
              </w:rPr>
              <w:t>费以</w:t>
            </w:r>
            <w:r>
              <w:rPr>
                <w:rFonts w:hint="eastAsia" w:ascii="宋体" w:hAnsi="宋体" w:cs="宋体"/>
                <w:sz w:val="18"/>
                <w:szCs w:val="18"/>
                <w:lang w:val="en-US" w:eastAsia="zh-CN"/>
              </w:rPr>
              <w:t>现场确认</w:t>
            </w:r>
            <w:r>
              <w:rPr>
                <w:rFonts w:hint="eastAsia" w:ascii="宋体" w:hAnsi="宋体" w:cs="宋体"/>
                <w:sz w:val="18"/>
                <w:szCs w:val="18"/>
              </w:rPr>
              <w:t>形式据实计取，二次搬运费不计取。</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bookmarkStart w:id="4" w:name="_GoBack"/>
      <w:bookmarkEnd w:id="4"/>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13DC431A"/>
    <w:multiLevelType w:val="singleLevel"/>
    <w:tmpl w:val="13DC431A"/>
    <w:lvl w:ilvl="0" w:tentative="0">
      <w:start w:val="1"/>
      <w:numFmt w:val="decimal"/>
      <w:suff w:val="nothing"/>
      <w:lvlText w:val="%1、"/>
      <w:lvlJc w:val="left"/>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4"/>
  </w:num>
  <w:num w:numId="4">
    <w:abstractNumId w:val="10"/>
  </w:num>
  <w:num w:numId="5">
    <w:abstractNumId w:val="9"/>
  </w:num>
  <w:num w:numId="6">
    <w:abstractNumId w:val="3"/>
  </w:num>
  <w:num w:numId="7">
    <w:abstractNumId w:val="1"/>
  </w:num>
  <w:num w:numId="8">
    <w:abstractNumId w:val="5"/>
  </w:num>
  <w:num w:numId="9">
    <w:abstractNumId w:val="0"/>
    <w:lvlOverride w:ilvl="0">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21F73AF2"/>
    <w:rsid w:val="282A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uiPriority w:val="99"/>
    <w:rPr>
      <w:sz w:val="18"/>
      <w:szCs w:val="18"/>
    </w:rPr>
  </w:style>
  <w:style w:type="paragraph" w:styleId="10">
    <w:name w:val="footer"/>
    <w:basedOn w:val="1"/>
    <w:link w:val="17"/>
    <w:unhideWhenUsed/>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2021-04-15T09:26:38Z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