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hint="eastAsia"/>
          <w:b/>
          <w:sz w:val="36"/>
          <w:szCs w:val="36"/>
        </w:rPr>
      </w:pPr>
      <w:r>
        <w:rPr>
          <w:rFonts w:hint="eastAsia"/>
          <w:b/>
          <w:sz w:val="36"/>
          <w:szCs w:val="36"/>
        </w:rPr>
        <w:t>径向锻废油暂存库工程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4</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15</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4</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16JXDYK</w:t>
      </w:r>
      <w:r>
        <w:rPr>
          <w:rFonts w:hint="eastAsia" w:ascii="宋体" w:hAnsi="宋体" w:eastAsia="宋体" w:cs="宋体"/>
          <w:bCs/>
          <w:color w:val="2A2A2A"/>
          <w:kern w:val="0"/>
          <w:sz w:val="28"/>
          <w:szCs w:val="28"/>
        </w:rPr>
        <w:t>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安徽省芜湖市三山区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color w:val="FF0000"/>
          <w:sz w:val="24"/>
          <w:szCs w:val="24"/>
        </w:rPr>
        <w:t>径向锻废油暂存库工程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w:t>
      </w:r>
      <w:r>
        <w:rPr>
          <w:rFonts w:hint="eastAsia" w:ascii="宋体" w:hAnsi="宋体"/>
          <w:bCs/>
          <w:color w:val="FF0000"/>
          <w:sz w:val="24"/>
          <w:szCs w:val="24"/>
        </w:rPr>
        <w:t>国家建设部门颁发的建筑工程施工总承包叁级及以上资质</w:t>
      </w:r>
      <w:r>
        <w:rPr>
          <w:rFonts w:hint="eastAsia"/>
          <w:color w:val="FF0000"/>
          <w:sz w:val="24"/>
          <w:szCs w:val="24"/>
        </w:rPr>
        <w:t>，</w:t>
      </w:r>
      <w:r>
        <w:rPr>
          <w:rFonts w:hint="eastAsia" w:hAnsi="宋体"/>
          <w:sz w:val="24"/>
          <w:szCs w:val="24"/>
        </w:rPr>
        <w:t>项目经理至少具有相应的国家</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4</w:t>
      </w:r>
      <w:r>
        <w:rPr>
          <w:rFonts w:hint="eastAsia" w:ascii="宋体" w:hAnsi="宋体"/>
          <w:bCs/>
          <w:sz w:val="24"/>
          <w:szCs w:val="24"/>
        </w:rPr>
        <w:t>月</w:t>
      </w:r>
      <w:r>
        <w:rPr>
          <w:rFonts w:hint="eastAsia" w:ascii="宋体" w:hAnsi="宋体"/>
          <w:bCs/>
          <w:color w:val="FF0000"/>
          <w:sz w:val="24"/>
          <w:szCs w:val="24"/>
          <w:lang w:val="en-US" w:eastAsia="zh-CN"/>
        </w:rPr>
        <w:t>16</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4</w:t>
      </w:r>
      <w:r>
        <w:rPr>
          <w:rFonts w:hint="eastAsia" w:ascii="宋体" w:hAnsi="宋体"/>
          <w:bCs/>
          <w:sz w:val="24"/>
          <w:szCs w:val="24"/>
        </w:rPr>
        <w:t>月</w:t>
      </w:r>
      <w:r>
        <w:rPr>
          <w:rFonts w:hint="eastAsia" w:ascii="宋体" w:hAnsi="宋体"/>
          <w:bCs/>
          <w:color w:val="FF0000"/>
          <w:sz w:val="24"/>
          <w:szCs w:val="24"/>
          <w:lang w:val="en-US" w:eastAsia="zh-CN"/>
        </w:rPr>
        <w:t>21</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23</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13</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color w:val="FF0000"/>
          <w:sz w:val="24"/>
          <w:szCs w:val="24"/>
        </w:rPr>
        <w:t>径向锻废油暂存库工程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rPr>
        <w:t>工程管理部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周  伟</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13095538240</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4</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21</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color w:val="FF0000"/>
          <w:sz w:val="24"/>
          <w:szCs w:val="24"/>
        </w:rPr>
        <w:t>径向锻废油暂存库工程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color w:val="FF0000"/>
          <w:sz w:val="24"/>
          <w:szCs w:val="24"/>
        </w:rPr>
        <w:t>径向锻废油暂存库工程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叁仟</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ascii="宋体" w:hAnsi="宋体" w:cs="宋体"/>
          <w:bCs/>
          <w:color w:val="FF0000"/>
          <w:kern w:val="36"/>
          <w:u w:val="single"/>
        </w:rPr>
        <w:t>0</w:t>
      </w:r>
      <w:r>
        <w:rPr>
          <w:rFonts w:hint="eastAsia" w:ascii="宋体" w:hAnsi="宋体" w:cs="宋体"/>
          <w:bCs/>
          <w:color w:val="FF0000"/>
          <w:kern w:val="36"/>
          <w:u w:val="single"/>
          <w:lang w:val="en-US" w:eastAsia="zh-CN"/>
        </w:rPr>
        <w:t>4</w:t>
      </w:r>
      <w:r>
        <w:rPr>
          <w:rFonts w:hint="eastAsia" w:ascii="宋体" w:hAnsi="宋体" w:cs="宋体"/>
          <w:bCs/>
          <w:color w:val="FF0000"/>
          <w:kern w:val="36"/>
        </w:rPr>
        <w:t>月</w:t>
      </w:r>
      <w:r>
        <w:rPr>
          <w:rFonts w:hint="eastAsia" w:ascii="宋体" w:hAnsi="宋体" w:cs="宋体"/>
          <w:bCs/>
          <w:color w:val="FF0000"/>
          <w:kern w:val="36"/>
          <w:u w:val="single"/>
          <w:lang w:val="en-US" w:eastAsia="zh-CN"/>
        </w:rPr>
        <w:t>21</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单位地址：芜湖市三山区经济开发区春洲路2号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ascii="宋体" w:hAnsi="宋体"/>
        </w:rPr>
        <w:t>具体内容详见发包人确认下发的图纸</w:t>
      </w:r>
      <w:r>
        <w:rPr>
          <w:rFonts w:hint="eastAsia" w:ascii="宋体" w:hAnsi="宋体"/>
          <w:lang w:val="en-US" w:eastAsia="zh-CN"/>
        </w:rPr>
        <w:t>和投标方现场踏勘</w:t>
      </w:r>
      <w:r>
        <w:rPr>
          <w:rFonts w:hint="eastAsia" w:ascii="宋体" w:hAnsi="宋体"/>
        </w:rPr>
        <w:t>。</w:t>
      </w:r>
    </w:p>
    <w:p>
      <w:pPr>
        <w:spacing w:line="360" w:lineRule="exact"/>
        <w:rPr>
          <w:rFonts w:hint="eastAsia" w:ascii="宋体" w:hAnsi="宋体"/>
          <w:lang w:val="en-US" w:eastAsia="zh-CN"/>
        </w:rPr>
      </w:pPr>
      <w:r>
        <w:rPr>
          <w:rFonts w:hint="eastAsia" w:ascii="宋体" w:hAnsi="宋体"/>
        </w:rPr>
        <w:t>2</w:t>
      </w:r>
      <w:r>
        <w:rPr>
          <w:rFonts w:ascii="宋体" w:hAnsi="宋体"/>
        </w:rPr>
        <w:t>.</w:t>
      </w:r>
      <w:r>
        <w:rPr>
          <w:rFonts w:hint="eastAsia" w:ascii="宋体" w:hAnsi="宋体"/>
        </w:rPr>
        <w:t xml:space="preserve">  工程概况和估算工作量</w:t>
      </w:r>
      <w:r>
        <w:rPr>
          <w:rFonts w:hint="eastAsia" w:ascii="宋体" w:hAnsi="宋体"/>
          <w:szCs w:val="21"/>
        </w:rPr>
        <w:t>：</w:t>
      </w:r>
      <w:r>
        <w:rPr>
          <w:rFonts w:hint="eastAsia" w:ascii="宋体" w:hAnsi="宋体"/>
          <w:lang w:val="en-US" w:eastAsia="zh-CN"/>
        </w:rPr>
        <w:t>径向锻废油暂存库工程，包含新建门刚结构库房的施工。工作量：新建门钢结构车间面积约64m2，其中砼浇筑约40m3、钢筋制安约2t、砌砖约40m3、钢结构制安约5t、安装防投光灯2套等工作量。</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ascii="宋体" w:hAnsi="宋体" w:cs="宋体"/>
          <w:kern w:val="36"/>
        </w:rPr>
      </w:pPr>
      <w:r>
        <w:rPr>
          <w:rFonts w:hint="eastAsia" w:ascii="宋体" w:hAnsi="宋体" w:cs="宋体"/>
          <w:kern w:val="36"/>
        </w:rPr>
        <w:t>开工日期：2021年</w:t>
      </w:r>
      <w:r>
        <w:rPr>
          <w:rFonts w:hint="eastAsia" w:ascii="宋体" w:hAnsi="宋体" w:cs="宋体"/>
          <w:kern w:val="36"/>
          <w:lang w:val="en-US" w:eastAsia="zh-CN"/>
        </w:rPr>
        <w:t>5</w:t>
      </w:r>
      <w:r>
        <w:rPr>
          <w:rFonts w:hint="eastAsia" w:ascii="宋体" w:hAnsi="宋体" w:cs="宋体"/>
          <w:kern w:val="36"/>
        </w:rPr>
        <w:t>月</w:t>
      </w:r>
      <w:r>
        <w:rPr>
          <w:rFonts w:hint="eastAsia" w:ascii="宋体" w:hAnsi="宋体" w:cs="宋体"/>
          <w:kern w:val="36"/>
          <w:lang w:val="en-US" w:eastAsia="zh-CN"/>
        </w:rPr>
        <w:t>1</w:t>
      </w:r>
      <w:r>
        <w:rPr>
          <w:rFonts w:hint="eastAsia" w:ascii="宋体" w:hAnsi="宋体" w:cs="宋体"/>
          <w:kern w:val="36"/>
        </w:rPr>
        <w:t xml:space="preserve">日（暂定）                                          </w:t>
      </w:r>
    </w:p>
    <w:p>
      <w:pPr>
        <w:spacing w:line="360" w:lineRule="exact"/>
        <w:rPr>
          <w:rFonts w:hint="eastAsia" w:ascii="宋体" w:hAnsi="宋体" w:cs="宋体"/>
          <w:kern w:val="36"/>
        </w:rPr>
      </w:pPr>
      <w:r>
        <w:rPr>
          <w:rFonts w:hint="eastAsia" w:ascii="宋体" w:hAnsi="宋体" w:cs="宋体"/>
          <w:kern w:val="36"/>
        </w:rPr>
        <w:t xml:space="preserve"> 竣工日期：2021年</w:t>
      </w:r>
      <w:r>
        <w:rPr>
          <w:rFonts w:hint="eastAsia" w:ascii="宋体" w:hAnsi="宋体" w:cs="宋体"/>
          <w:kern w:val="36"/>
          <w:lang w:val="en-US" w:eastAsia="zh-CN"/>
        </w:rPr>
        <w:t>6</w:t>
      </w:r>
      <w:r>
        <w:rPr>
          <w:rFonts w:hint="eastAsia" w:ascii="宋体" w:hAnsi="宋体" w:cs="宋体"/>
          <w:kern w:val="36"/>
        </w:rPr>
        <w:t>月</w:t>
      </w:r>
      <w:r>
        <w:rPr>
          <w:rFonts w:hint="eastAsia" w:ascii="宋体" w:hAnsi="宋体" w:cs="宋体"/>
          <w:kern w:val="36"/>
          <w:lang w:val="en-US" w:eastAsia="zh-CN"/>
        </w:rPr>
        <w:t>30</w:t>
      </w:r>
      <w:r>
        <w:rPr>
          <w:rFonts w:hint="eastAsia" w:ascii="宋体" w:hAnsi="宋体" w:cs="宋体"/>
          <w:kern w:val="36"/>
        </w:rPr>
        <w:t xml:space="preserve">日                                              </w:t>
      </w:r>
    </w:p>
    <w:p>
      <w:pPr>
        <w:spacing w:line="360" w:lineRule="exact"/>
        <w:rPr>
          <w:rFonts w:hint="eastAsia" w:ascii="宋体" w:hAnsi="宋体" w:cs="宋体"/>
          <w:kern w:val="36"/>
        </w:rPr>
      </w:pPr>
      <w:r>
        <w:rPr>
          <w:rFonts w:hint="eastAsia" w:ascii="宋体" w:hAnsi="宋体" w:cs="宋体"/>
          <w:kern w:val="36"/>
        </w:rPr>
        <w:t>合同工期总日历天数</w:t>
      </w:r>
      <w:r>
        <w:rPr>
          <w:rFonts w:hint="eastAsia" w:ascii="宋体" w:hAnsi="宋体" w:cs="宋体"/>
          <w:kern w:val="36"/>
          <w:lang w:val="en-US" w:eastAsia="zh-CN"/>
        </w:rPr>
        <w:t>60</w:t>
      </w:r>
      <w:r>
        <w:rPr>
          <w:rFonts w:hint="eastAsia" w:ascii="宋体" w:hAnsi="宋体" w:cs="宋体"/>
          <w:kern w:val="36"/>
        </w:rPr>
        <w:t>天。</w:t>
      </w:r>
    </w:p>
    <w:p>
      <w:pPr>
        <w:spacing w:line="360" w:lineRule="exact"/>
        <w:rPr>
          <w:rFonts w:ascii="宋体" w:hAnsi="宋体"/>
        </w:rPr>
      </w:pP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spacing w:beforeLines="50" w:afterLines="50" w:line="360" w:lineRule="exact"/>
        <w:rPr>
          <w:rFonts w:hint="eastAsia"/>
          <w:bCs/>
          <w:kern w:val="36"/>
          <w:szCs w:val="21"/>
        </w:rPr>
      </w:pPr>
      <w:r>
        <w:rPr>
          <w:rFonts w:hint="eastAsia"/>
          <w:bCs/>
          <w:kern w:val="36"/>
          <w:szCs w:val="21"/>
        </w:rPr>
        <w:t>本工程预结算执行《建设工程预结算管理规定》。</w:t>
      </w:r>
    </w:p>
    <w:p>
      <w:pPr>
        <w:numPr>
          <w:ilvl w:val="0"/>
          <w:numId w:val="3"/>
        </w:numPr>
        <w:spacing w:beforeLines="50" w:afterLines="50" w:line="360" w:lineRule="exact"/>
        <w:rPr>
          <w:rFonts w:hint="eastAsia"/>
          <w:bCs/>
          <w:kern w:val="36"/>
          <w:szCs w:val="21"/>
        </w:rPr>
      </w:pPr>
      <w:r>
        <w:rPr>
          <w:rFonts w:hint="eastAsia"/>
          <w:bCs/>
          <w:kern w:val="36"/>
          <w:szCs w:val="21"/>
        </w:rPr>
        <w:t>本工程按</w:t>
      </w:r>
      <w:r>
        <w:rPr>
          <w:rFonts w:hint="eastAsia"/>
          <w:bCs/>
          <w:kern w:val="36"/>
          <w:szCs w:val="21"/>
          <w:lang w:val="en-US" w:eastAsia="zh-CN"/>
        </w:rPr>
        <w:t>单价包干</w:t>
      </w:r>
      <w:r>
        <w:rPr>
          <w:rFonts w:hint="eastAsia"/>
          <w:bCs/>
          <w:kern w:val="36"/>
          <w:szCs w:val="21"/>
        </w:rPr>
        <w:t>结合总价优惠率（材料费不参与总价优惠）的方式进行报价。除</w:t>
      </w:r>
      <w:r>
        <w:rPr>
          <w:rFonts w:hint="eastAsia"/>
          <w:bCs/>
          <w:kern w:val="36"/>
          <w:szCs w:val="21"/>
          <w:lang w:val="en-US" w:eastAsia="zh-CN"/>
        </w:rPr>
        <w:t>单价包干</w:t>
      </w:r>
      <w:r>
        <w:rPr>
          <w:rFonts w:hint="eastAsia"/>
          <w:bCs/>
          <w:kern w:val="36"/>
          <w:szCs w:val="21"/>
        </w:rPr>
        <w:t>外，其他工程量按总价优惠百分数的方式报价（材料费不参与总价优惠）。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措施项目费以现场确认形式据实计取，二次搬运费不计取。缺项部分参考《冶金工业建设工程预算定额》2001年版本及取费标准，人工单价调整执行冶建定（2010）53号文件（不计取：特殊工程技术培训费、远地施工增加费、定额测定编制管理费和上级管理费、施工队伍调迁费）。安装工程中：安装和生产同时进行增加费、有害人身健康环境时施工增加费应以现场确认单形式进行确认，计取方法参照安徽2018定额安装工程第四册电气设备安装工程。</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rPr>
        <w:t>该工程所有材料由承包</w:t>
      </w:r>
      <w:r>
        <w:rPr>
          <w:rFonts w:hint="eastAsia"/>
          <w:bCs/>
          <w:kern w:val="36"/>
          <w:szCs w:val="21"/>
          <w:lang w:val="en-US" w:eastAsia="zh-CN"/>
        </w:rPr>
        <w:t>人</w:t>
      </w:r>
      <w:r>
        <w:rPr>
          <w:rFonts w:hint="eastAsia"/>
          <w:bCs/>
          <w:kern w:val="36"/>
          <w:szCs w:val="21"/>
        </w:rPr>
        <w:t>提供。</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rPr>
        <w:t>建筑用钢材和砼承包人须优先采购发包人产品；平台、梯子用钢格板优先使用新兴际华集团产品；由承包人提供使用计划，发包人收到计划经审核同意后15天内提供材料，提料、卸车、保管由承包人负责。</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rPr>
        <w:t>定额计价部分发包人供应的材料承包人领用并按供应价结算。承包人采购的材料，价格优先采用施工期间芜湖市信息价(加权平均价)，芜湖市信息价中没有的参照合肥市信息价执行。承包人采购的材料芜湖市和合肥市信息价没有价格的进行市场询价。对于装饰部分主要材料价格采用发包人确认价格，采购前必须经发包人确认单价和品牌。发包人定价部分不参与取费优惠。</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rPr>
        <w:t>工程内容按合同约定执行，开具增值税发票执行9%税率。</w:t>
      </w:r>
    </w:p>
    <w:p>
      <w:pPr>
        <w:numPr>
          <w:ilvl w:val="0"/>
          <w:numId w:val="3"/>
        </w:numPr>
        <w:spacing w:beforeLines="50" w:afterLines="50" w:line="360" w:lineRule="exact"/>
        <w:ind w:left="0" w:leftChars="0" w:firstLine="0" w:firstLineChars="0"/>
        <w:rPr>
          <w:rFonts w:hint="eastAsia"/>
          <w:bCs/>
          <w:kern w:val="36"/>
          <w:szCs w:val="21"/>
        </w:rPr>
      </w:pPr>
      <w:r>
        <w:rPr>
          <w:rFonts w:hint="eastAsia"/>
          <w:bCs/>
          <w:kern w:val="36"/>
          <w:szCs w:val="21"/>
        </w:rPr>
        <w:t>发包人在指定位置提供施工电源及水源，之外部分承包人自行承担，现场施工水电费结算时按合同总价的７‰扣除或装表据实扣除。</w:t>
      </w:r>
    </w:p>
    <w:p>
      <w:pPr>
        <w:spacing w:beforeLines="50" w:afterLines="50" w:line="360" w:lineRule="exact"/>
        <w:rPr>
          <w:rFonts w:hint="eastAsia"/>
          <w:bCs/>
          <w:kern w:val="36"/>
          <w:szCs w:val="21"/>
        </w:rPr>
      </w:pPr>
      <w:r>
        <w:rPr>
          <w:rFonts w:hint="eastAsia"/>
          <w:bCs/>
          <w:kern w:val="36"/>
          <w:szCs w:val="21"/>
        </w:rPr>
        <w:t>1</w:t>
      </w:r>
      <w:r>
        <w:rPr>
          <w:rFonts w:hint="eastAsia"/>
          <w:bCs/>
          <w:kern w:val="36"/>
          <w:szCs w:val="21"/>
          <w:lang w:val="en-US" w:eastAsia="zh-CN"/>
        </w:rPr>
        <w:t>0</w:t>
      </w:r>
      <w:r>
        <w:rPr>
          <w:rFonts w:hint="eastAsia"/>
          <w:bCs/>
          <w:kern w:val="36"/>
          <w:szCs w:val="21"/>
        </w:rPr>
        <w:t>.  本次招标采取综合评分的方式进行评标，评分标准按以下表格计分，投标单位需对表内要求内容在投标书中如实反馈：</w:t>
      </w:r>
    </w:p>
    <w:tbl>
      <w:tblPr>
        <w:tblStyle w:val="13"/>
        <w:tblW w:w="9782" w:type="dxa"/>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17" w:hRule="atLeast"/>
        </w:trPr>
        <w:tc>
          <w:tcPr>
            <w:tcW w:w="710"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评分 标准</w:t>
            </w:r>
          </w:p>
        </w:tc>
        <w:tc>
          <w:tcPr>
            <w:tcW w:w="99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标价（40分）</w:t>
            </w:r>
          </w:p>
        </w:tc>
        <w:tc>
          <w:tcPr>
            <w:tcW w:w="8080" w:type="dxa"/>
            <w:gridSpan w:val="3"/>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满足招标文件要求的前提下，取所有投标方有效报价的最低价作为评标基准价，其得分为40分，其他投标方得分为：价格分=40*评标基准价÷有效报价。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1418" w:type="dxa"/>
            <w:vMerge w:val="continue"/>
            <w:vAlign w:val="center"/>
          </w:tcPr>
          <w:p>
            <w:pPr>
              <w:spacing w:line="360" w:lineRule="exact"/>
              <w:jc w:val="center"/>
              <w:rPr>
                <w:rFonts w:ascii="宋体" w:hAnsi="宋体" w:cs="宋体"/>
                <w:color w:val="000000"/>
              </w:rPr>
            </w:pPr>
          </w:p>
        </w:tc>
        <w:tc>
          <w:tcPr>
            <w:tcW w:w="3260" w:type="dxa"/>
            <w:vAlign w:val="center"/>
          </w:tcPr>
          <w:p>
            <w:pPr>
              <w:widowControl/>
              <w:spacing w:line="360" w:lineRule="exact"/>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vAlign w:val="center"/>
          </w:tcPr>
          <w:p>
            <w:pPr>
              <w:spacing w:line="360" w:lineRule="exact"/>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60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4"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spacing w:line="360" w:lineRule="exact"/>
              <w:jc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73" w:hRule="atLeast"/>
        </w:trPr>
        <w:tc>
          <w:tcPr>
            <w:tcW w:w="710" w:type="dxa"/>
            <w:vMerge w:val="continue"/>
            <w:vAlign w:val="center"/>
          </w:tcPr>
          <w:p>
            <w:pPr>
              <w:spacing w:line="360" w:lineRule="exact"/>
              <w:jc w:val="center"/>
              <w:rPr>
                <w:rFonts w:ascii="宋体" w:hAnsi="宋体" w:cs="宋体"/>
                <w:color w:val="000000"/>
              </w:rPr>
            </w:pPr>
          </w:p>
        </w:tc>
        <w:tc>
          <w:tcPr>
            <w:tcW w:w="992" w:type="dxa"/>
            <w:vMerge w:val="restart"/>
            <w:vAlign w:val="center"/>
          </w:tcPr>
          <w:p>
            <w:pPr>
              <w:widowControl/>
              <w:spacing w:line="360" w:lineRule="exact"/>
              <w:jc w:val="center"/>
              <w:textAlignment w:val="center"/>
              <w:rPr>
                <w:rFonts w:ascii="宋体" w:hAnsi="宋体" w:cs="宋体"/>
                <w:color w:val="000000"/>
              </w:rPr>
            </w:pPr>
            <w:r>
              <w:rPr>
                <w:rFonts w:hint="eastAsia" w:ascii="宋体" w:hAnsi="宋体" w:cs="宋体"/>
                <w:color w:val="000000"/>
                <w:kern w:val="0"/>
              </w:rPr>
              <w:t>企业信誉  （30分）</w:t>
            </w: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20"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项目经理资质及业绩共4分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rPr>
              <w:t>二级建造师证书</w:t>
            </w:r>
            <w:r>
              <w:t>1</w:t>
            </w:r>
            <w:r>
              <w:rPr>
                <w:rFonts w:hint="eastAsia"/>
              </w:rPr>
              <w:t>分，</w:t>
            </w:r>
            <w:r>
              <w:rPr>
                <w:rFonts w:hint="eastAsia" w:ascii="宋体" w:hAnsi="宋体" w:cs="宋体"/>
                <w:color w:val="000000"/>
              </w:rPr>
              <w:t>一级建造师证书2分；对应业绩每项1分，最高得2分。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企业类似项目业绩共12分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每项3分，最高得12分。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9"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kern w:val="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06" w:hRule="atLeast"/>
        </w:trPr>
        <w:tc>
          <w:tcPr>
            <w:tcW w:w="710" w:type="dxa"/>
            <w:vMerge w:val="continue"/>
            <w:vAlign w:val="center"/>
          </w:tcPr>
          <w:p>
            <w:pPr>
              <w:spacing w:line="360" w:lineRule="exact"/>
              <w:jc w:val="center"/>
              <w:rPr>
                <w:rFonts w:ascii="宋体" w:hAnsi="宋体" w:cs="宋体"/>
                <w:color w:val="000000"/>
              </w:rPr>
            </w:pPr>
          </w:p>
        </w:tc>
        <w:tc>
          <w:tcPr>
            <w:tcW w:w="992" w:type="dxa"/>
            <w:vMerge w:val="continue"/>
            <w:vAlign w:val="center"/>
          </w:tcPr>
          <w:p>
            <w:pPr>
              <w:widowControl/>
              <w:spacing w:line="360" w:lineRule="exact"/>
              <w:jc w:val="center"/>
              <w:textAlignment w:val="center"/>
              <w:rPr>
                <w:rFonts w:ascii="宋体" w:hAnsi="宋体" w:cs="宋体"/>
                <w:color w:val="000000"/>
              </w:rPr>
            </w:pPr>
          </w:p>
        </w:tc>
        <w:tc>
          <w:tcPr>
            <w:tcW w:w="4678" w:type="dxa"/>
            <w:gridSpan w:val="2"/>
            <w:vAlign w:val="center"/>
          </w:tcPr>
          <w:p>
            <w:pPr>
              <w:widowControl/>
              <w:spacing w:line="360" w:lineRule="exact"/>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vAlign w:val="center"/>
          </w:tcPr>
          <w:p>
            <w:pPr>
              <w:widowControl/>
              <w:spacing w:line="360" w:lineRule="exact"/>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1</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rPr>
          <w:rFonts w:ascii="宋体" w:hAnsi="宋体"/>
          <w:b/>
          <w:bCs/>
        </w:rPr>
      </w:pPr>
      <w:r>
        <w:rPr>
          <w:rFonts w:hint="eastAsia" w:ascii="宋体" w:hAnsi="宋体"/>
          <w:b/>
          <w:bCs/>
        </w:rPr>
        <w:t>九、约定和说明</w:t>
      </w:r>
    </w:p>
    <w:p>
      <w:pPr>
        <w:spacing w:line="360" w:lineRule="exact"/>
        <w:rPr>
          <w:rFonts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w:t>
      </w:r>
      <w:r>
        <w:rPr>
          <w:rFonts w:ascii="宋体" w:hAnsi="宋体" w:cs="宋体"/>
          <w:color w:val="000000"/>
        </w:rPr>
        <w:t>因承包人原因，工期延误7天以上或施工质量达不到要求，发包人有权终止合同，另行选择施工队伍</w:t>
      </w:r>
      <w:r>
        <w:rPr>
          <w:rFonts w:hint="eastAsia" w:ascii="宋体" w:hAnsi="宋体" w:cs="宋体"/>
          <w:color w:val="000000"/>
        </w:rPr>
        <w:t>。</w:t>
      </w:r>
    </w:p>
    <w:p>
      <w:pPr>
        <w:spacing w:line="360" w:lineRule="exact"/>
        <w:ind w:firstLine="420" w:firstLineChars="200"/>
        <w:rPr>
          <w:rFonts w:hint="eastAsia"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spacing w:line="360" w:lineRule="exact"/>
        <w:ind w:firstLine="420" w:firstLineChars="200"/>
        <w:rPr>
          <w:rFonts w:hint="eastAsia" w:ascii="宋体" w:hAnsi="宋体" w:cs="宋体"/>
          <w:color w:val="000000"/>
          <w:lang w:eastAsia="zh-CN"/>
        </w:rPr>
      </w:pPr>
      <w:r>
        <w:rPr>
          <w:rFonts w:hint="eastAsia" w:ascii="宋体" w:hAnsi="宋体" w:cs="宋体"/>
          <w:color w:val="000000"/>
        </w:rPr>
        <w:t>2．双方约定的工程款（进度款）支付的方式：以上工程无预付款；</w:t>
      </w:r>
      <w:r>
        <w:rPr>
          <w:rFonts w:hint="eastAsia" w:ascii="宋体" w:hAnsi="宋体" w:cs="宋体"/>
          <w:color w:val="000000"/>
          <w:lang w:val="en-US" w:eastAsia="zh-CN"/>
        </w:rPr>
        <w:t>无</w:t>
      </w:r>
      <w:r>
        <w:rPr>
          <w:rFonts w:hint="eastAsia" w:ascii="宋体" w:hAnsi="宋体" w:cs="宋体"/>
          <w:color w:val="000000"/>
        </w:rPr>
        <w:t>进度款。</w:t>
      </w:r>
    </w:p>
    <w:p>
      <w:pPr>
        <w:spacing w:line="360" w:lineRule="exact"/>
        <w:ind w:firstLine="420" w:firstLineChars="200"/>
        <w:rPr>
          <w:rFonts w:hint="eastAsia" w:ascii="宋体" w:hAnsi="宋体" w:cs="宋体"/>
          <w:color w:val="000000"/>
        </w:rPr>
      </w:pP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spacing w:line="360" w:lineRule="exact"/>
        <w:ind w:firstLine="420" w:firstLineChars="200"/>
        <w:rPr>
          <w:rFonts w:ascii="宋体" w:hAnsi="宋体" w:cs="宋体"/>
          <w:color w:val="000000"/>
        </w:rPr>
      </w:pPr>
      <w:r>
        <w:rPr>
          <w:rFonts w:hint="eastAsia" w:ascii="宋体" w:hAnsi="宋体" w:cs="宋体"/>
          <w:color w:val="000000"/>
        </w:rPr>
        <w:t>结算审核后承包人及时向发包人开具全额增值税专用发票。</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拦标价</w:t>
      </w:r>
      <w:r>
        <w:rPr>
          <w:rFonts w:ascii="宋体" w:hAnsi="宋体"/>
          <w:bCs/>
        </w:rPr>
        <w:t>详见报价单，</w:t>
      </w:r>
      <w:r>
        <w:rPr>
          <w:rFonts w:hint="eastAsia" w:ascii="宋体" w:hAnsi="宋体"/>
          <w:bCs/>
        </w:rPr>
        <w:t>超过</w:t>
      </w:r>
      <w:r>
        <w:rPr>
          <w:rFonts w:ascii="宋体" w:hAnsi="宋体"/>
          <w:bCs/>
        </w:rPr>
        <w:t>工程量拦标价</w:t>
      </w:r>
      <w:r>
        <w:rPr>
          <w:rFonts w:hint="eastAsia" w:ascii="宋体" w:hAnsi="宋体"/>
          <w:bCs/>
        </w:rPr>
        <w:t>及</w:t>
      </w:r>
      <w:r>
        <w:rPr>
          <w:rFonts w:ascii="宋体" w:hAnsi="宋体"/>
          <w:bCs/>
        </w:rPr>
        <w:t>低于优惠率拦标价的做废标处理。</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hint="eastAsia" w:ascii="宋体" w:hAnsi="宋体"/>
          <w:b/>
          <w:bCs/>
          <w:sz w:val="36"/>
          <w:szCs w:val="36"/>
        </w:rPr>
      </w:pPr>
      <w:r>
        <w:rPr>
          <w:rFonts w:hint="eastAsia"/>
          <w:b/>
          <w:bCs/>
          <w:sz w:val="36"/>
          <w:szCs w:val="36"/>
          <w:lang w:eastAsia="zh-CN"/>
        </w:rPr>
        <w:t>径向锻废油暂存库工程</w:t>
      </w:r>
      <w:r>
        <w:rPr>
          <w:rFonts w:hint="eastAsia" w:ascii="宋体" w:hAnsi="宋体"/>
          <w:b/>
          <w:bCs/>
          <w:sz w:val="36"/>
          <w:szCs w:val="36"/>
        </w:rPr>
        <w:t>报价单</w:t>
      </w:r>
    </w:p>
    <w:tbl>
      <w:tblPr>
        <w:tblStyle w:val="13"/>
        <w:tblW w:w="134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1538"/>
        <w:gridCol w:w="712"/>
        <w:gridCol w:w="975"/>
        <w:gridCol w:w="1325"/>
        <w:gridCol w:w="1550"/>
        <w:gridCol w:w="61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1175" w:type="dxa"/>
            <w:noWrap w:val="0"/>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rPr>
              <w:t>序号</w:t>
            </w:r>
          </w:p>
        </w:tc>
        <w:tc>
          <w:tcPr>
            <w:tcW w:w="1538" w:type="dxa"/>
            <w:noWrap w:val="0"/>
            <w:vAlign w:val="center"/>
          </w:tcPr>
          <w:p>
            <w:pPr>
              <w:spacing w:line="300" w:lineRule="auto"/>
              <w:jc w:val="center"/>
              <w:rPr>
                <w:rFonts w:hint="eastAsia" w:ascii="宋体" w:hAnsi="宋体" w:eastAsia="宋体" w:cs="宋体"/>
                <w:sz w:val="21"/>
                <w:szCs w:val="21"/>
              </w:rPr>
            </w:pPr>
            <w:r>
              <w:rPr>
                <w:rFonts w:hint="eastAsia" w:ascii="宋体" w:hAnsi="宋体" w:eastAsia="宋体" w:cs="宋体"/>
                <w:color w:val="000000"/>
                <w:kern w:val="0"/>
                <w:sz w:val="21"/>
                <w:szCs w:val="21"/>
              </w:rPr>
              <w:t>分项名称</w:t>
            </w:r>
          </w:p>
        </w:tc>
        <w:tc>
          <w:tcPr>
            <w:tcW w:w="712" w:type="dxa"/>
            <w:noWrap w:val="0"/>
            <w:vAlign w:val="center"/>
          </w:tcPr>
          <w:p>
            <w:pPr>
              <w:spacing w:line="30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单位</w:t>
            </w:r>
          </w:p>
        </w:tc>
        <w:tc>
          <w:tcPr>
            <w:tcW w:w="975" w:type="dxa"/>
            <w:noWrap w:val="0"/>
            <w:vAlign w:val="center"/>
          </w:tcPr>
          <w:p>
            <w:pPr>
              <w:spacing w:line="30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暂估</w:t>
            </w:r>
          </w:p>
          <w:p>
            <w:pPr>
              <w:spacing w:line="300" w:lineRule="auto"/>
              <w:jc w:val="center"/>
              <w:rPr>
                <w:rFonts w:hint="eastAsia" w:ascii="宋体" w:hAnsi="宋体" w:eastAsia="宋体" w:cs="宋体"/>
                <w:sz w:val="21"/>
                <w:szCs w:val="21"/>
              </w:rPr>
            </w:pPr>
            <w:r>
              <w:rPr>
                <w:rFonts w:hint="eastAsia" w:ascii="宋体" w:hAnsi="宋体" w:eastAsia="宋体" w:cs="宋体"/>
                <w:sz w:val="18"/>
                <w:szCs w:val="18"/>
              </w:rPr>
              <w:t>工程量</w:t>
            </w:r>
          </w:p>
        </w:tc>
        <w:tc>
          <w:tcPr>
            <w:tcW w:w="1325" w:type="dxa"/>
            <w:noWrap w:val="0"/>
            <w:vAlign w:val="center"/>
          </w:tcPr>
          <w:p>
            <w:pPr>
              <w:spacing w:line="30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拦标价</w:t>
            </w:r>
          </w:p>
        </w:tc>
        <w:tc>
          <w:tcPr>
            <w:tcW w:w="1550" w:type="dxa"/>
            <w:noWrap w:val="0"/>
            <w:vAlign w:val="center"/>
          </w:tcPr>
          <w:p>
            <w:pPr>
              <w:spacing w:line="300" w:lineRule="auto"/>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报价</w:t>
            </w:r>
          </w:p>
        </w:tc>
        <w:tc>
          <w:tcPr>
            <w:tcW w:w="6178" w:type="dxa"/>
            <w:noWrap w:val="0"/>
            <w:vAlign w:val="center"/>
          </w:tcPr>
          <w:p>
            <w:pPr>
              <w:spacing w:line="300" w:lineRule="auto"/>
              <w:jc w:val="center"/>
              <w:rPr>
                <w:rFonts w:hint="eastAsia" w:ascii="宋体" w:hAnsi="宋体" w:eastAsia="宋体" w:cs="宋体"/>
                <w:sz w:val="21"/>
                <w:szCs w:val="21"/>
              </w:rPr>
            </w:pPr>
            <w:r>
              <w:rPr>
                <w:rFonts w:hint="eastAsia" w:ascii="宋体" w:hAnsi="宋体" w:eastAsia="宋体" w:cs="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jc w:val="center"/>
        </w:trPr>
        <w:tc>
          <w:tcPr>
            <w:tcW w:w="13453" w:type="dxa"/>
            <w:gridSpan w:val="7"/>
            <w:noWrap w:val="0"/>
            <w:vAlign w:val="center"/>
          </w:tcPr>
          <w:p>
            <w:pPr>
              <w:jc w:val="left"/>
              <w:rPr>
                <w:rFonts w:hint="eastAsia" w:ascii="宋体" w:hAnsi="宋体" w:eastAsia="宋体" w:cs="宋体"/>
                <w:sz w:val="20"/>
                <w:szCs w:val="20"/>
              </w:rPr>
            </w:pPr>
            <w:r>
              <w:rPr>
                <w:rFonts w:hint="eastAsia" w:ascii="宋体" w:hAnsi="宋体" w:eastAsia="宋体" w:cs="宋体"/>
                <w:sz w:val="20"/>
                <w:szCs w:val="20"/>
              </w:rPr>
              <w:t>一、单价</w:t>
            </w:r>
            <w:r>
              <w:rPr>
                <w:rFonts w:hint="eastAsia" w:ascii="宋体" w:hAnsi="宋体" w:eastAsia="宋体" w:cs="宋体"/>
                <w:sz w:val="20"/>
                <w:szCs w:val="20"/>
                <w:lang w:val="en-US" w:eastAsia="zh-CN"/>
              </w:rPr>
              <w:t>包干</w:t>
            </w:r>
            <w:r>
              <w:rPr>
                <w:rFonts w:hint="eastAsia" w:ascii="宋体" w:hAnsi="宋体" w:eastAsia="宋体" w:cs="宋体"/>
                <w:sz w:val="20"/>
                <w:szCs w:val="20"/>
              </w:rPr>
              <w:t>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175" w:type="dxa"/>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1538" w:type="dxa"/>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砼浇筑</w:t>
            </w:r>
          </w:p>
        </w:tc>
        <w:tc>
          <w:tcPr>
            <w:tcW w:w="712"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superscript"/>
                <w:lang w:val="en-US"/>
              </w:rPr>
            </w:pP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975" w:type="dxa"/>
            <w:noWrap w:val="0"/>
            <w:vAlign w:val="center"/>
          </w:tcPr>
          <w:p>
            <w:pPr>
              <w:keepNext w:val="0"/>
              <w:keepLines w:val="0"/>
              <w:widowControl/>
              <w:suppressLineNumbers w:val="0"/>
              <w:jc w:val="center"/>
              <w:textAlignment w:val="center"/>
              <w:rPr>
                <w:rFonts w:hint="eastAsia" w:ascii="宋体" w:hAnsi="宋体" w:eastAsia="宋体" w:cs="宋体"/>
                <w:sz w:val="20"/>
                <w:szCs w:val="20"/>
                <w:lang w:val="en-US" w:eastAsia="zh-CN"/>
              </w:rPr>
            </w:pPr>
            <w:r>
              <w:rPr>
                <w:rFonts w:hint="eastAsia" w:ascii="宋体" w:hAnsi="宋体" w:eastAsia="宋体" w:cs="宋体"/>
                <w:i w:val="0"/>
                <w:iCs w:val="0"/>
                <w:color w:val="000000"/>
                <w:kern w:val="0"/>
                <w:sz w:val="20"/>
                <w:szCs w:val="20"/>
                <w:u w:val="none"/>
                <w:lang w:val="en-US" w:eastAsia="zh-CN" w:bidi="ar"/>
              </w:rPr>
              <w:t>40</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single"/>
                <w:lang w:val="en-US" w:eastAsia="zh-CN" w:bidi="ar"/>
              </w:rPr>
            </w:pPr>
            <w:r>
              <w:rPr>
                <w:rFonts w:hint="eastAsia" w:ascii="宋体" w:hAnsi="宋体" w:eastAsia="宋体" w:cs="宋体"/>
                <w:i w:val="0"/>
                <w:iCs w:val="0"/>
                <w:color w:val="000000"/>
                <w:kern w:val="0"/>
                <w:sz w:val="22"/>
                <w:szCs w:val="22"/>
                <w:u w:val="none"/>
                <w:lang w:val="en-US" w:eastAsia="zh-CN" w:bidi="ar"/>
              </w:rPr>
              <w:t>1250</w:t>
            </w:r>
            <w:r>
              <w:rPr>
                <w:rFonts w:hint="eastAsia" w:ascii="宋体" w:hAnsi="宋体" w:eastAsia="宋体" w:cs="宋体"/>
                <w:color w:val="000000"/>
                <w:kern w:val="0"/>
                <w:sz w:val="22"/>
                <w:szCs w:val="22"/>
                <w:lang w:bidi="ar"/>
              </w:rPr>
              <w:t>元/</w:t>
            </w:r>
            <w:r>
              <w:rPr>
                <w:rFonts w:hint="eastAsia" w:ascii="宋体" w:hAnsi="宋体" w:eastAsia="宋体" w:cs="宋体"/>
                <w:i w:val="0"/>
                <w:color w:val="000000"/>
                <w:kern w:val="0"/>
                <w:sz w:val="22"/>
                <w:szCs w:val="22"/>
                <w:u w:val="none"/>
                <w:lang w:val="en-US" w:eastAsia="zh-CN" w:bidi="ar"/>
              </w:rPr>
              <w:t>m</w:t>
            </w:r>
            <w:r>
              <w:rPr>
                <w:rFonts w:hint="eastAsia" w:ascii="宋体" w:hAnsi="宋体" w:eastAsia="宋体" w:cs="宋体"/>
                <w:i w:val="0"/>
                <w:color w:val="000000"/>
                <w:kern w:val="0"/>
                <w:sz w:val="22"/>
                <w:szCs w:val="22"/>
                <w:u w:val="none"/>
                <w:vertAlign w:val="superscript"/>
                <w:lang w:val="en-US" w:eastAsia="zh-CN" w:bidi="ar"/>
              </w:rPr>
              <w:t>3</w:t>
            </w:r>
          </w:p>
        </w:tc>
        <w:tc>
          <w:tcPr>
            <w:tcW w:w="1550" w:type="dxa"/>
            <w:noWrap w:val="0"/>
            <w:vAlign w:val="center"/>
          </w:tcPr>
          <w:p>
            <w:pPr>
              <w:spacing w:before="156" w:beforeLines="50" w:after="156" w:afterLines="50"/>
              <w:jc w:val="center"/>
              <w:rPr>
                <w:rFonts w:hint="eastAsia" w:ascii="宋体" w:hAnsi="宋体" w:eastAsia="宋体" w:cs="宋体"/>
                <w:sz w:val="21"/>
                <w:szCs w:val="21"/>
              </w:rPr>
            </w:pP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bidi="ar"/>
              </w:rPr>
              <w:t>元/</w:t>
            </w:r>
            <w:r>
              <w:rPr>
                <w:rFonts w:hint="eastAsia" w:ascii="宋体" w:hAnsi="宋体" w:eastAsia="宋体" w:cs="宋体"/>
                <w:i w:val="0"/>
                <w:color w:val="000000"/>
                <w:kern w:val="0"/>
                <w:sz w:val="21"/>
                <w:szCs w:val="21"/>
                <w:u w:val="none"/>
                <w:lang w:val="en-US" w:eastAsia="zh-CN" w:bidi="ar"/>
              </w:rPr>
              <w:t>m</w:t>
            </w:r>
            <w:r>
              <w:rPr>
                <w:rFonts w:hint="eastAsia" w:ascii="宋体" w:hAnsi="宋体" w:eastAsia="宋体" w:cs="宋体"/>
                <w:i w:val="0"/>
                <w:color w:val="000000"/>
                <w:kern w:val="0"/>
                <w:sz w:val="21"/>
                <w:szCs w:val="21"/>
                <w:u w:val="none"/>
                <w:vertAlign w:val="superscript"/>
                <w:lang w:val="en-US" w:eastAsia="zh-CN" w:bidi="ar"/>
              </w:rPr>
              <w:t>3</w:t>
            </w:r>
          </w:p>
        </w:tc>
        <w:tc>
          <w:tcPr>
            <w:tcW w:w="6178"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包括卸车、运输、倒运、脚手架、支模、对拉丝、浇筑、养生等涉及的全部工序及人工费、机械费、材料费、措施费、不可竞争费、税金、水电费等全部费用。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1175" w:type="dxa"/>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2</w:t>
            </w:r>
          </w:p>
        </w:tc>
        <w:tc>
          <w:tcPr>
            <w:tcW w:w="1538" w:type="dxa"/>
            <w:noWrap w:val="0"/>
            <w:vAlign w:val="center"/>
          </w:tcPr>
          <w:p>
            <w:pPr>
              <w:keepNext w:val="0"/>
              <w:keepLines w:val="0"/>
              <w:widowControl/>
              <w:suppressLineNumbers w:val="0"/>
              <w:jc w:val="center"/>
              <w:textAlignment w:val="center"/>
              <w:rPr>
                <w:rFonts w:hint="eastAsia" w:ascii="宋体" w:hAnsi="宋体" w:eastAsia="宋体" w:cs="宋体"/>
                <w:sz w:val="20"/>
                <w:szCs w:val="20"/>
              </w:rPr>
            </w:pPr>
            <w:r>
              <w:rPr>
                <w:rFonts w:hint="eastAsia" w:ascii="宋体" w:hAnsi="宋体" w:eastAsia="宋体" w:cs="宋体"/>
                <w:i w:val="0"/>
                <w:iCs w:val="0"/>
                <w:color w:val="000000"/>
                <w:kern w:val="0"/>
                <w:sz w:val="20"/>
                <w:szCs w:val="20"/>
                <w:u w:val="none"/>
                <w:lang w:val="en-US" w:eastAsia="zh-CN" w:bidi="ar"/>
              </w:rPr>
              <w:t>钢筋制安</w:t>
            </w:r>
          </w:p>
        </w:tc>
        <w:tc>
          <w:tcPr>
            <w:tcW w:w="712"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t</w:t>
            </w:r>
          </w:p>
        </w:tc>
        <w:tc>
          <w:tcPr>
            <w:tcW w:w="97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single"/>
                <w:lang w:val="en-US" w:eastAsia="zh-CN" w:bidi="ar"/>
              </w:rPr>
            </w:pPr>
            <w:r>
              <w:rPr>
                <w:rFonts w:hint="eastAsia" w:ascii="宋体" w:hAnsi="宋体" w:eastAsia="宋体" w:cs="宋体"/>
                <w:i w:val="0"/>
                <w:iCs w:val="0"/>
                <w:color w:val="000000"/>
                <w:kern w:val="0"/>
                <w:sz w:val="22"/>
                <w:szCs w:val="22"/>
                <w:u w:val="none"/>
                <w:lang w:val="en-US" w:eastAsia="zh-CN" w:bidi="ar"/>
              </w:rPr>
              <w:t>6500</w:t>
            </w:r>
            <w:r>
              <w:rPr>
                <w:rFonts w:hint="eastAsia" w:ascii="宋体" w:hAnsi="宋体" w:eastAsia="宋体" w:cs="宋体"/>
                <w:color w:val="000000"/>
                <w:kern w:val="0"/>
                <w:sz w:val="22"/>
                <w:szCs w:val="22"/>
                <w:lang w:bidi="ar"/>
              </w:rPr>
              <w:t>元/</w:t>
            </w:r>
            <w:r>
              <w:rPr>
                <w:rFonts w:hint="eastAsia" w:ascii="宋体" w:hAnsi="宋体" w:eastAsia="宋体" w:cs="宋体"/>
                <w:i w:val="0"/>
                <w:color w:val="000000"/>
                <w:kern w:val="0"/>
                <w:sz w:val="22"/>
                <w:szCs w:val="22"/>
                <w:u w:val="none"/>
                <w:lang w:val="en-US" w:eastAsia="zh-CN" w:bidi="ar"/>
              </w:rPr>
              <w:t>t</w:t>
            </w:r>
          </w:p>
        </w:tc>
        <w:tc>
          <w:tcPr>
            <w:tcW w:w="1550" w:type="dxa"/>
            <w:noWrap w:val="0"/>
            <w:vAlign w:val="center"/>
          </w:tcPr>
          <w:p>
            <w:pPr>
              <w:spacing w:before="156" w:beforeLines="50" w:after="156" w:afterLines="50"/>
              <w:jc w:val="center"/>
              <w:rPr>
                <w:rFonts w:hint="eastAsia" w:ascii="宋体" w:hAnsi="宋体" w:eastAsia="宋体" w:cs="宋体"/>
                <w:sz w:val="21"/>
                <w:szCs w:val="21"/>
                <w:u w:val="single"/>
              </w:rPr>
            </w:pP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bidi="ar"/>
              </w:rPr>
              <w:t>元/</w:t>
            </w:r>
            <w:r>
              <w:rPr>
                <w:rFonts w:hint="eastAsia" w:ascii="宋体" w:hAnsi="宋体" w:eastAsia="宋体" w:cs="宋体"/>
                <w:i w:val="0"/>
                <w:color w:val="000000"/>
                <w:kern w:val="0"/>
                <w:sz w:val="21"/>
                <w:szCs w:val="21"/>
                <w:u w:val="none"/>
                <w:lang w:val="en-US" w:eastAsia="zh-CN" w:bidi="ar"/>
              </w:rPr>
              <w:t>t</w:t>
            </w:r>
          </w:p>
        </w:tc>
        <w:tc>
          <w:tcPr>
            <w:tcW w:w="6178"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包括卸车、运输、倒运、制作、安装等涉及的全部工序及人工费、机械费、材料费、措施费、不可竞争费、税金、水电费等全部费用。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75" w:type="dxa"/>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3</w:t>
            </w:r>
          </w:p>
        </w:tc>
        <w:tc>
          <w:tcPr>
            <w:tcW w:w="1538"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砌砖</w:t>
            </w:r>
          </w:p>
        </w:tc>
        <w:tc>
          <w:tcPr>
            <w:tcW w:w="712" w:type="dxa"/>
            <w:noWrap w:val="0"/>
            <w:vAlign w:val="center"/>
          </w:tcPr>
          <w:p>
            <w:pPr>
              <w:keepNext w:val="0"/>
              <w:keepLines w:val="0"/>
              <w:widowControl/>
              <w:suppressLineNumbers w:val="0"/>
              <w:jc w:val="center"/>
              <w:textAlignment w:val="center"/>
              <w:rPr>
                <w:rFonts w:hint="eastAsia" w:ascii="宋体" w:hAnsi="宋体" w:eastAsia="宋体" w:cs="宋体"/>
                <w:sz w:val="24"/>
                <w:szCs w:val="24"/>
              </w:rPr>
            </w:pP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97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vertAlign w:val="baseline"/>
                <w:lang w:val="en-US" w:eastAsia="zh-CN" w:bidi="ar"/>
              </w:rPr>
            </w:pPr>
            <w:r>
              <w:rPr>
                <w:rFonts w:hint="eastAsia" w:ascii="宋体" w:hAnsi="宋体" w:eastAsia="宋体" w:cs="宋体"/>
                <w:i w:val="0"/>
                <w:iCs w:val="0"/>
                <w:color w:val="000000"/>
                <w:kern w:val="0"/>
                <w:sz w:val="20"/>
                <w:szCs w:val="20"/>
                <w:u w:val="none"/>
                <w:lang w:val="en-US" w:eastAsia="zh-CN" w:bidi="ar"/>
              </w:rPr>
              <w:t>40</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single"/>
                <w:lang w:bidi="ar"/>
              </w:rPr>
            </w:pPr>
            <w:r>
              <w:rPr>
                <w:rFonts w:hint="eastAsia" w:ascii="宋体" w:hAnsi="宋体" w:eastAsia="宋体" w:cs="宋体"/>
                <w:i w:val="0"/>
                <w:iCs w:val="0"/>
                <w:color w:val="000000"/>
                <w:kern w:val="0"/>
                <w:sz w:val="22"/>
                <w:szCs w:val="22"/>
                <w:u w:val="none"/>
                <w:lang w:val="en-US" w:eastAsia="zh-CN" w:bidi="ar"/>
              </w:rPr>
              <w:t>900</w:t>
            </w:r>
            <w:r>
              <w:rPr>
                <w:rFonts w:hint="eastAsia" w:ascii="宋体" w:hAnsi="宋体" w:eastAsia="宋体" w:cs="宋体"/>
                <w:color w:val="000000"/>
                <w:kern w:val="0"/>
                <w:sz w:val="22"/>
                <w:szCs w:val="22"/>
                <w:lang w:bidi="ar"/>
              </w:rPr>
              <w:t>元/</w:t>
            </w:r>
            <w:r>
              <w:rPr>
                <w:rFonts w:hint="eastAsia" w:ascii="宋体" w:hAnsi="宋体" w:eastAsia="宋体" w:cs="宋体"/>
                <w:i w:val="0"/>
                <w:color w:val="000000"/>
                <w:kern w:val="0"/>
                <w:sz w:val="22"/>
                <w:szCs w:val="22"/>
                <w:u w:val="none"/>
                <w:lang w:val="en-US" w:eastAsia="zh-CN" w:bidi="ar"/>
              </w:rPr>
              <w:t>m</w:t>
            </w:r>
            <w:r>
              <w:rPr>
                <w:rFonts w:hint="eastAsia" w:ascii="宋体" w:hAnsi="宋体" w:eastAsia="宋体" w:cs="宋体"/>
                <w:i w:val="0"/>
                <w:color w:val="000000"/>
                <w:kern w:val="0"/>
                <w:sz w:val="22"/>
                <w:szCs w:val="22"/>
                <w:u w:val="none"/>
                <w:vertAlign w:val="superscript"/>
                <w:lang w:val="en-US" w:eastAsia="zh-CN" w:bidi="ar"/>
              </w:rPr>
              <w:t>3</w:t>
            </w:r>
          </w:p>
        </w:tc>
        <w:tc>
          <w:tcPr>
            <w:tcW w:w="1550" w:type="dxa"/>
            <w:noWrap w:val="0"/>
            <w:vAlign w:val="center"/>
          </w:tcPr>
          <w:p>
            <w:pPr>
              <w:spacing w:before="156" w:beforeLines="50" w:after="156" w:afterLines="50"/>
              <w:jc w:val="center"/>
              <w:rPr>
                <w:rFonts w:hint="eastAsia" w:ascii="宋体" w:hAnsi="宋体" w:eastAsia="宋体" w:cs="宋体"/>
                <w:color w:val="000000"/>
                <w:kern w:val="0"/>
                <w:sz w:val="21"/>
                <w:szCs w:val="21"/>
                <w:u w:val="single"/>
                <w:lang w:bidi="ar"/>
              </w:rPr>
            </w:pP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bidi="ar"/>
              </w:rPr>
              <w:t>元/</w:t>
            </w:r>
            <w:r>
              <w:rPr>
                <w:rFonts w:hint="eastAsia" w:ascii="宋体" w:hAnsi="宋体" w:eastAsia="宋体" w:cs="宋体"/>
                <w:i w:val="0"/>
                <w:color w:val="000000"/>
                <w:kern w:val="0"/>
                <w:sz w:val="21"/>
                <w:szCs w:val="21"/>
                <w:u w:val="none"/>
                <w:lang w:val="en-US" w:eastAsia="zh-CN" w:bidi="ar"/>
              </w:rPr>
              <w:t>m</w:t>
            </w:r>
            <w:r>
              <w:rPr>
                <w:rFonts w:hint="eastAsia" w:ascii="宋体" w:hAnsi="宋体" w:eastAsia="宋体" w:cs="宋体"/>
                <w:i w:val="0"/>
                <w:color w:val="000000"/>
                <w:kern w:val="0"/>
                <w:sz w:val="21"/>
                <w:szCs w:val="21"/>
                <w:u w:val="none"/>
                <w:vertAlign w:val="superscript"/>
                <w:lang w:val="en-US" w:eastAsia="zh-CN" w:bidi="ar"/>
              </w:rPr>
              <w:t>3</w:t>
            </w:r>
          </w:p>
        </w:tc>
        <w:tc>
          <w:tcPr>
            <w:tcW w:w="6178"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包括卸车、运输、倒运、脚手架、砌筑等涉及的全部工序及人工费、机械费、材料费、措施费、不可竞争费、税金、水电费等全部费用。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jc w:val="center"/>
        </w:trPr>
        <w:tc>
          <w:tcPr>
            <w:tcW w:w="1175" w:type="dxa"/>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4</w:t>
            </w:r>
          </w:p>
        </w:tc>
        <w:tc>
          <w:tcPr>
            <w:tcW w:w="1538"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墙体表面杂物清理、抹灰、刮腻子、粉刷涂料</w:t>
            </w:r>
          </w:p>
        </w:tc>
        <w:tc>
          <w:tcPr>
            <w:tcW w:w="712"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superscript"/>
                <w:lang w:val="en-US" w:eastAsia="zh-CN"/>
              </w:rPr>
            </w:pPr>
            <w:r>
              <w:rPr>
                <w:rFonts w:hint="eastAsia" w:ascii="宋体" w:hAnsi="宋体" w:eastAsia="宋体" w:cs="宋体"/>
                <w:sz w:val="24"/>
                <w:szCs w:val="24"/>
                <w:vertAlign w:val="baseline"/>
                <w:lang w:val="en-US" w:eastAsia="zh-CN"/>
              </w:rPr>
              <w:t>m</w:t>
            </w:r>
            <w:r>
              <w:rPr>
                <w:rFonts w:hint="eastAsia" w:ascii="宋体" w:hAnsi="宋体" w:eastAsia="宋体" w:cs="宋体"/>
                <w:sz w:val="24"/>
                <w:szCs w:val="24"/>
                <w:vertAlign w:val="superscript"/>
                <w:lang w:val="en-US" w:eastAsia="zh-CN"/>
              </w:rPr>
              <w:t>2</w:t>
            </w:r>
          </w:p>
        </w:tc>
        <w:tc>
          <w:tcPr>
            <w:tcW w:w="97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350</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single"/>
                <w:lang w:bidi="ar"/>
              </w:rPr>
            </w:pPr>
            <w:r>
              <w:rPr>
                <w:rFonts w:hint="eastAsia" w:ascii="宋体" w:hAnsi="宋体" w:eastAsia="宋体" w:cs="宋体"/>
                <w:i w:val="0"/>
                <w:iCs w:val="0"/>
                <w:color w:val="000000"/>
                <w:kern w:val="0"/>
                <w:sz w:val="22"/>
                <w:szCs w:val="22"/>
                <w:u w:val="none"/>
                <w:lang w:val="en-US" w:eastAsia="zh-CN" w:bidi="ar"/>
              </w:rPr>
              <w:t>70</w:t>
            </w:r>
            <w:r>
              <w:rPr>
                <w:rFonts w:hint="eastAsia" w:ascii="宋体" w:hAnsi="宋体" w:eastAsia="宋体" w:cs="宋体"/>
                <w:color w:val="000000"/>
                <w:kern w:val="0"/>
                <w:sz w:val="22"/>
                <w:szCs w:val="22"/>
                <w:lang w:bidi="ar"/>
              </w:rPr>
              <w:t>元/</w:t>
            </w:r>
            <w:r>
              <w:rPr>
                <w:rFonts w:hint="eastAsia" w:ascii="宋体" w:hAnsi="宋体" w:eastAsia="宋体" w:cs="宋体"/>
                <w:sz w:val="22"/>
                <w:szCs w:val="22"/>
                <w:vertAlign w:val="baseline"/>
                <w:lang w:val="en-US" w:eastAsia="zh-CN"/>
              </w:rPr>
              <w:t>m</w:t>
            </w:r>
            <w:r>
              <w:rPr>
                <w:rFonts w:hint="eastAsia" w:ascii="宋体" w:hAnsi="宋体" w:eastAsia="宋体" w:cs="宋体"/>
                <w:sz w:val="22"/>
                <w:szCs w:val="22"/>
                <w:vertAlign w:val="superscript"/>
                <w:lang w:val="en-US" w:eastAsia="zh-CN"/>
              </w:rPr>
              <w:t>2</w:t>
            </w:r>
          </w:p>
        </w:tc>
        <w:tc>
          <w:tcPr>
            <w:tcW w:w="1550" w:type="dxa"/>
            <w:noWrap w:val="0"/>
            <w:vAlign w:val="center"/>
          </w:tcPr>
          <w:p>
            <w:pPr>
              <w:spacing w:before="156" w:beforeLines="50" w:after="156" w:afterLines="50"/>
              <w:jc w:val="center"/>
              <w:rPr>
                <w:rFonts w:hint="eastAsia" w:ascii="宋体" w:hAnsi="宋体" w:eastAsia="宋体" w:cs="宋体"/>
                <w:color w:val="000000"/>
                <w:kern w:val="0"/>
                <w:sz w:val="21"/>
                <w:szCs w:val="21"/>
                <w:u w:val="single"/>
                <w:lang w:bidi="ar"/>
              </w:rPr>
            </w:pP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bidi="ar"/>
              </w:rPr>
              <w:t>元/</w:t>
            </w:r>
            <w:r>
              <w:rPr>
                <w:rFonts w:hint="eastAsia" w:ascii="宋体" w:hAnsi="宋体" w:eastAsia="宋体" w:cs="宋体"/>
                <w:sz w:val="21"/>
                <w:szCs w:val="21"/>
                <w:vertAlign w:val="baseline"/>
                <w:lang w:val="en-US" w:eastAsia="zh-CN"/>
              </w:rPr>
              <w:t>m</w:t>
            </w:r>
            <w:r>
              <w:rPr>
                <w:rFonts w:hint="eastAsia" w:ascii="宋体" w:hAnsi="宋体" w:eastAsia="宋体" w:cs="宋体"/>
                <w:sz w:val="21"/>
                <w:szCs w:val="21"/>
                <w:vertAlign w:val="superscript"/>
                <w:lang w:val="en-US" w:eastAsia="zh-CN"/>
              </w:rPr>
              <w:t>2</w:t>
            </w:r>
          </w:p>
        </w:tc>
        <w:tc>
          <w:tcPr>
            <w:tcW w:w="6178"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eastAsia="zh-CN" w:bidi="ar"/>
              </w:rPr>
            </w:pPr>
            <w:r>
              <w:rPr>
                <w:rFonts w:hint="eastAsia" w:ascii="宋体" w:hAnsi="宋体" w:eastAsia="宋体" w:cs="宋体"/>
                <w:i w:val="0"/>
                <w:iCs w:val="0"/>
                <w:color w:val="000000"/>
                <w:kern w:val="0"/>
                <w:sz w:val="20"/>
                <w:szCs w:val="20"/>
                <w:u w:val="none"/>
                <w:lang w:val="en-US" w:eastAsia="zh-CN" w:bidi="ar"/>
              </w:rPr>
              <w:t>包括卸车、运输、倒运、脚手架、杂物清理、抹灰、脚手架刮腻子及粉刷涂料（或乳胶漆）等涉及的全部工序及人工费、机械费、材料费、措施费、不可竞争费、税金、水电费等全部费用。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175" w:type="dxa"/>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5</w:t>
            </w:r>
          </w:p>
        </w:tc>
        <w:tc>
          <w:tcPr>
            <w:tcW w:w="1538"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钢结构制安</w:t>
            </w:r>
          </w:p>
        </w:tc>
        <w:tc>
          <w:tcPr>
            <w:tcW w:w="712"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t</w:t>
            </w:r>
          </w:p>
        </w:tc>
        <w:tc>
          <w:tcPr>
            <w:tcW w:w="97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single"/>
                <w:lang w:bidi="ar"/>
              </w:rPr>
            </w:pPr>
            <w:r>
              <w:rPr>
                <w:rFonts w:hint="eastAsia" w:ascii="宋体" w:hAnsi="宋体" w:eastAsia="宋体" w:cs="宋体"/>
                <w:i w:val="0"/>
                <w:iCs w:val="0"/>
                <w:color w:val="000000"/>
                <w:kern w:val="0"/>
                <w:sz w:val="22"/>
                <w:szCs w:val="22"/>
                <w:u w:val="none"/>
                <w:lang w:val="en-US" w:eastAsia="zh-CN" w:bidi="ar"/>
              </w:rPr>
              <w:t>13000</w:t>
            </w:r>
            <w:r>
              <w:rPr>
                <w:rFonts w:hint="eastAsia" w:ascii="宋体" w:hAnsi="宋体" w:eastAsia="宋体" w:cs="宋体"/>
                <w:color w:val="000000"/>
                <w:kern w:val="0"/>
                <w:sz w:val="22"/>
                <w:szCs w:val="22"/>
                <w:lang w:bidi="ar"/>
              </w:rPr>
              <w:t>元/</w:t>
            </w:r>
            <w:r>
              <w:rPr>
                <w:rFonts w:hint="eastAsia" w:ascii="宋体" w:hAnsi="宋体" w:eastAsia="宋体" w:cs="宋体"/>
                <w:i w:val="0"/>
                <w:color w:val="000000"/>
                <w:kern w:val="0"/>
                <w:sz w:val="22"/>
                <w:szCs w:val="22"/>
                <w:u w:val="none"/>
                <w:lang w:val="en-US" w:eastAsia="zh-CN" w:bidi="ar"/>
              </w:rPr>
              <w:t>t</w:t>
            </w:r>
          </w:p>
        </w:tc>
        <w:tc>
          <w:tcPr>
            <w:tcW w:w="1550" w:type="dxa"/>
            <w:noWrap w:val="0"/>
            <w:vAlign w:val="center"/>
          </w:tcPr>
          <w:p>
            <w:pPr>
              <w:spacing w:before="156" w:beforeLines="50" w:after="156" w:afterLines="50"/>
              <w:jc w:val="center"/>
              <w:rPr>
                <w:rFonts w:hint="eastAsia" w:ascii="宋体" w:hAnsi="宋体" w:eastAsia="宋体" w:cs="宋体"/>
                <w:color w:val="000000"/>
                <w:kern w:val="0"/>
                <w:sz w:val="21"/>
                <w:szCs w:val="21"/>
                <w:u w:val="single"/>
                <w:lang w:bidi="ar"/>
              </w:rPr>
            </w:pP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bidi="ar"/>
              </w:rPr>
              <w:t>元/</w:t>
            </w:r>
            <w:r>
              <w:rPr>
                <w:rFonts w:hint="eastAsia" w:ascii="宋体" w:hAnsi="宋体" w:eastAsia="宋体" w:cs="宋体"/>
                <w:i w:val="0"/>
                <w:color w:val="000000"/>
                <w:kern w:val="0"/>
                <w:sz w:val="21"/>
                <w:szCs w:val="21"/>
                <w:u w:val="none"/>
                <w:lang w:val="en-US" w:eastAsia="zh-CN" w:bidi="ar"/>
              </w:rPr>
              <w:t>t</w:t>
            </w:r>
          </w:p>
        </w:tc>
        <w:tc>
          <w:tcPr>
            <w:tcW w:w="6178"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包括所有钢构的卸车、运输、倒运、制作、安装、除锈、刷漆等涉及的全部工序及人工费、机械费、材料费、措施费、不可竞争费、税金、水电费等全部费用。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1175" w:type="dxa"/>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6</w:t>
            </w:r>
          </w:p>
        </w:tc>
        <w:tc>
          <w:tcPr>
            <w:tcW w:w="1538"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屋面板</w:t>
            </w:r>
          </w:p>
        </w:tc>
        <w:tc>
          <w:tcPr>
            <w:tcW w:w="712"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vertAlign w:val="baseline"/>
                <w:lang w:val="en-US" w:eastAsia="zh-CN"/>
              </w:rPr>
              <w:t>m</w:t>
            </w:r>
            <w:r>
              <w:rPr>
                <w:rFonts w:hint="eastAsia" w:ascii="宋体" w:hAnsi="宋体" w:eastAsia="宋体" w:cs="宋体"/>
                <w:sz w:val="24"/>
                <w:szCs w:val="24"/>
                <w:vertAlign w:val="superscript"/>
                <w:lang w:val="en-US" w:eastAsia="zh-CN"/>
              </w:rPr>
              <w:t>2</w:t>
            </w:r>
          </w:p>
        </w:tc>
        <w:tc>
          <w:tcPr>
            <w:tcW w:w="97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single"/>
                <w:lang w:bidi="ar"/>
              </w:rPr>
            </w:pPr>
            <w:r>
              <w:rPr>
                <w:rFonts w:hint="eastAsia" w:ascii="宋体" w:hAnsi="宋体" w:eastAsia="宋体" w:cs="宋体"/>
                <w:i w:val="0"/>
                <w:iCs w:val="0"/>
                <w:color w:val="000000"/>
                <w:kern w:val="0"/>
                <w:sz w:val="22"/>
                <w:szCs w:val="22"/>
                <w:u w:val="none"/>
                <w:lang w:val="en-US" w:eastAsia="zh-CN" w:bidi="ar"/>
              </w:rPr>
              <w:t>150</w:t>
            </w:r>
            <w:r>
              <w:rPr>
                <w:rFonts w:hint="eastAsia" w:ascii="宋体" w:hAnsi="宋体" w:eastAsia="宋体" w:cs="宋体"/>
                <w:color w:val="000000"/>
                <w:kern w:val="0"/>
                <w:sz w:val="22"/>
                <w:szCs w:val="22"/>
                <w:lang w:bidi="ar"/>
              </w:rPr>
              <w:t>元/</w:t>
            </w:r>
            <w:r>
              <w:rPr>
                <w:rFonts w:hint="eastAsia" w:ascii="宋体" w:hAnsi="宋体" w:eastAsia="宋体" w:cs="宋体"/>
                <w:sz w:val="22"/>
                <w:szCs w:val="22"/>
                <w:vertAlign w:val="baseline"/>
                <w:lang w:val="en-US" w:eastAsia="zh-CN"/>
              </w:rPr>
              <w:t>m</w:t>
            </w:r>
            <w:r>
              <w:rPr>
                <w:rFonts w:hint="eastAsia" w:ascii="宋体" w:hAnsi="宋体" w:eastAsia="宋体" w:cs="宋体"/>
                <w:sz w:val="22"/>
                <w:szCs w:val="22"/>
                <w:vertAlign w:val="superscript"/>
                <w:lang w:val="en-US" w:eastAsia="zh-CN"/>
              </w:rPr>
              <w:t>2</w:t>
            </w:r>
          </w:p>
        </w:tc>
        <w:tc>
          <w:tcPr>
            <w:tcW w:w="1550" w:type="dxa"/>
            <w:noWrap w:val="0"/>
            <w:vAlign w:val="center"/>
          </w:tcPr>
          <w:p>
            <w:pPr>
              <w:spacing w:before="156" w:beforeLines="50" w:after="156" w:afterLines="50"/>
              <w:jc w:val="center"/>
              <w:rPr>
                <w:rFonts w:hint="eastAsia" w:ascii="宋体" w:hAnsi="宋体" w:eastAsia="宋体" w:cs="宋体"/>
                <w:color w:val="000000"/>
                <w:kern w:val="0"/>
                <w:sz w:val="21"/>
                <w:szCs w:val="21"/>
                <w:u w:val="single"/>
                <w:lang w:bidi="ar"/>
              </w:rPr>
            </w:pP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bidi="ar"/>
              </w:rPr>
              <w:t>元/</w:t>
            </w:r>
            <w:r>
              <w:rPr>
                <w:rFonts w:hint="eastAsia" w:ascii="宋体" w:hAnsi="宋体" w:eastAsia="宋体" w:cs="宋体"/>
                <w:sz w:val="21"/>
                <w:szCs w:val="21"/>
                <w:vertAlign w:val="baseline"/>
                <w:lang w:val="en-US" w:eastAsia="zh-CN"/>
              </w:rPr>
              <w:t>m</w:t>
            </w:r>
            <w:r>
              <w:rPr>
                <w:rFonts w:hint="eastAsia" w:ascii="宋体" w:hAnsi="宋体" w:eastAsia="宋体" w:cs="宋体"/>
                <w:sz w:val="21"/>
                <w:szCs w:val="21"/>
                <w:vertAlign w:val="superscript"/>
                <w:lang w:val="en-US" w:eastAsia="zh-CN"/>
              </w:rPr>
              <w:t>2</w:t>
            </w:r>
          </w:p>
        </w:tc>
        <w:tc>
          <w:tcPr>
            <w:tcW w:w="6178"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包括卸车、运输、倒运、安装等涉及的全部工序及人工费、机械费、材料费、措施费、不可竞争费、税金、水电费等全部费用。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75" w:type="dxa"/>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7</w:t>
            </w:r>
          </w:p>
        </w:tc>
        <w:tc>
          <w:tcPr>
            <w:tcW w:w="1538"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土方开挖</w:t>
            </w:r>
          </w:p>
        </w:tc>
        <w:tc>
          <w:tcPr>
            <w:tcW w:w="712" w:type="dxa"/>
            <w:noWrap w:val="0"/>
            <w:vAlign w:val="center"/>
          </w:tcPr>
          <w:p>
            <w:pPr>
              <w:keepNext w:val="0"/>
              <w:keepLines w:val="0"/>
              <w:widowControl/>
              <w:suppressLineNumbers w:val="0"/>
              <w:jc w:val="center"/>
              <w:textAlignment w:val="center"/>
              <w:rPr>
                <w:rFonts w:hint="eastAsia" w:ascii="宋体" w:hAnsi="宋体" w:eastAsia="宋体" w:cs="宋体"/>
                <w:sz w:val="24"/>
                <w:szCs w:val="24"/>
                <w:lang w:val="en-US" w:eastAsia="zh-CN"/>
              </w:rPr>
            </w:pP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97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single"/>
                <w:lang w:bidi="ar"/>
              </w:rPr>
            </w:pPr>
            <w:r>
              <w:rPr>
                <w:rFonts w:hint="eastAsia" w:ascii="宋体" w:hAnsi="宋体" w:eastAsia="宋体" w:cs="宋体"/>
                <w:i w:val="0"/>
                <w:iCs w:val="0"/>
                <w:color w:val="000000"/>
                <w:kern w:val="0"/>
                <w:sz w:val="22"/>
                <w:szCs w:val="22"/>
                <w:u w:val="none"/>
                <w:lang w:val="en-US" w:eastAsia="zh-CN" w:bidi="ar"/>
              </w:rPr>
              <w:t>40</w:t>
            </w:r>
            <w:r>
              <w:rPr>
                <w:rFonts w:hint="eastAsia" w:ascii="宋体" w:hAnsi="宋体" w:eastAsia="宋体" w:cs="宋体"/>
                <w:color w:val="000000"/>
                <w:kern w:val="0"/>
                <w:sz w:val="22"/>
                <w:szCs w:val="22"/>
                <w:lang w:bidi="ar"/>
              </w:rPr>
              <w:t>元/</w:t>
            </w:r>
            <w:r>
              <w:rPr>
                <w:rFonts w:hint="eastAsia" w:ascii="宋体" w:hAnsi="宋体" w:eastAsia="宋体" w:cs="宋体"/>
                <w:i w:val="0"/>
                <w:color w:val="000000"/>
                <w:kern w:val="0"/>
                <w:sz w:val="22"/>
                <w:szCs w:val="22"/>
                <w:u w:val="none"/>
                <w:lang w:val="en-US" w:eastAsia="zh-CN" w:bidi="ar"/>
              </w:rPr>
              <w:t>m</w:t>
            </w:r>
            <w:r>
              <w:rPr>
                <w:rFonts w:hint="eastAsia" w:ascii="宋体" w:hAnsi="宋体" w:eastAsia="宋体" w:cs="宋体"/>
                <w:i w:val="0"/>
                <w:color w:val="000000"/>
                <w:kern w:val="0"/>
                <w:sz w:val="22"/>
                <w:szCs w:val="22"/>
                <w:u w:val="none"/>
                <w:vertAlign w:val="superscript"/>
                <w:lang w:val="en-US" w:eastAsia="zh-CN" w:bidi="ar"/>
              </w:rPr>
              <w:t>3</w:t>
            </w:r>
          </w:p>
        </w:tc>
        <w:tc>
          <w:tcPr>
            <w:tcW w:w="1550" w:type="dxa"/>
            <w:noWrap w:val="0"/>
            <w:vAlign w:val="center"/>
          </w:tcPr>
          <w:p>
            <w:pPr>
              <w:spacing w:before="156" w:beforeLines="50" w:after="156" w:afterLines="50"/>
              <w:jc w:val="center"/>
              <w:rPr>
                <w:rFonts w:hint="eastAsia" w:ascii="宋体" w:hAnsi="宋体" w:eastAsia="宋体" w:cs="宋体"/>
                <w:color w:val="000000"/>
                <w:kern w:val="0"/>
                <w:sz w:val="21"/>
                <w:szCs w:val="21"/>
                <w:u w:val="single"/>
                <w:lang w:bidi="ar"/>
              </w:rPr>
            </w:pP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bidi="ar"/>
              </w:rPr>
              <w:t>元/</w:t>
            </w:r>
            <w:r>
              <w:rPr>
                <w:rFonts w:hint="eastAsia" w:ascii="宋体" w:hAnsi="宋体" w:eastAsia="宋体" w:cs="宋体"/>
                <w:i w:val="0"/>
                <w:color w:val="000000"/>
                <w:kern w:val="0"/>
                <w:sz w:val="21"/>
                <w:szCs w:val="21"/>
                <w:u w:val="none"/>
                <w:lang w:val="en-US" w:eastAsia="zh-CN" w:bidi="ar"/>
              </w:rPr>
              <w:t>m</w:t>
            </w:r>
            <w:r>
              <w:rPr>
                <w:rFonts w:hint="eastAsia" w:ascii="宋体" w:hAnsi="宋体" w:eastAsia="宋体" w:cs="宋体"/>
                <w:i w:val="0"/>
                <w:color w:val="000000"/>
                <w:kern w:val="0"/>
                <w:sz w:val="21"/>
                <w:szCs w:val="21"/>
                <w:u w:val="none"/>
                <w:vertAlign w:val="superscript"/>
                <w:lang w:val="en-US" w:eastAsia="zh-CN" w:bidi="ar"/>
              </w:rPr>
              <w:t>3</w:t>
            </w:r>
          </w:p>
        </w:tc>
        <w:tc>
          <w:tcPr>
            <w:tcW w:w="6178"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包括开挖、装车、外排等涉及的全部工序及人工费、机械费、材料费、措施费、不可竞争费、税金、水电费等全部费用。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175" w:type="dxa"/>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8</w:t>
            </w:r>
          </w:p>
        </w:tc>
        <w:tc>
          <w:tcPr>
            <w:tcW w:w="15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土方回填</w:t>
            </w:r>
          </w:p>
        </w:tc>
        <w:tc>
          <w:tcPr>
            <w:tcW w:w="712"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m</w:t>
            </w:r>
            <w:r>
              <w:rPr>
                <w:rFonts w:hint="eastAsia" w:ascii="宋体" w:hAnsi="宋体" w:eastAsia="宋体" w:cs="宋体"/>
                <w:i w:val="0"/>
                <w:color w:val="000000"/>
                <w:kern w:val="0"/>
                <w:sz w:val="24"/>
                <w:szCs w:val="24"/>
                <w:u w:val="none"/>
                <w:vertAlign w:val="superscript"/>
                <w:lang w:val="en-US" w:eastAsia="zh-CN" w:bidi="ar"/>
              </w:rPr>
              <w:t>3</w:t>
            </w:r>
          </w:p>
        </w:tc>
        <w:tc>
          <w:tcPr>
            <w:tcW w:w="97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single"/>
                <w:lang w:bidi="ar"/>
              </w:rPr>
            </w:pPr>
            <w:r>
              <w:rPr>
                <w:rFonts w:hint="eastAsia" w:ascii="宋体" w:hAnsi="宋体" w:eastAsia="宋体" w:cs="宋体"/>
                <w:i w:val="0"/>
                <w:iCs w:val="0"/>
                <w:color w:val="000000"/>
                <w:kern w:val="0"/>
                <w:sz w:val="22"/>
                <w:szCs w:val="22"/>
                <w:u w:val="none"/>
                <w:lang w:val="en-US" w:eastAsia="zh-CN" w:bidi="ar"/>
              </w:rPr>
              <w:t>25</w:t>
            </w:r>
            <w:r>
              <w:rPr>
                <w:rFonts w:hint="eastAsia" w:ascii="宋体" w:hAnsi="宋体" w:eastAsia="宋体" w:cs="宋体"/>
                <w:color w:val="000000"/>
                <w:kern w:val="0"/>
                <w:sz w:val="22"/>
                <w:szCs w:val="22"/>
                <w:lang w:bidi="ar"/>
              </w:rPr>
              <w:t>元/</w:t>
            </w:r>
            <w:r>
              <w:rPr>
                <w:rFonts w:hint="eastAsia" w:ascii="宋体" w:hAnsi="宋体" w:eastAsia="宋体" w:cs="宋体"/>
                <w:i w:val="0"/>
                <w:color w:val="000000"/>
                <w:kern w:val="0"/>
                <w:sz w:val="22"/>
                <w:szCs w:val="22"/>
                <w:u w:val="none"/>
                <w:lang w:val="en-US" w:eastAsia="zh-CN" w:bidi="ar"/>
              </w:rPr>
              <w:t>m</w:t>
            </w:r>
            <w:r>
              <w:rPr>
                <w:rFonts w:hint="eastAsia" w:ascii="宋体" w:hAnsi="宋体" w:eastAsia="宋体" w:cs="宋体"/>
                <w:i w:val="0"/>
                <w:color w:val="000000"/>
                <w:kern w:val="0"/>
                <w:sz w:val="22"/>
                <w:szCs w:val="22"/>
                <w:u w:val="none"/>
                <w:vertAlign w:val="superscript"/>
                <w:lang w:val="en-US" w:eastAsia="zh-CN" w:bidi="ar"/>
              </w:rPr>
              <w:t>3</w:t>
            </w:r>
          </w:p>
        </w:tc>
        <w:tc>
          <w:tcPr>
            <w:tcW w:w="1550" w:type="dxa"/>
            <w:noWrap w:val="0"/>
            <w:vAlign w:val="center"/>
          </w:tcPr>
          <w:p>
            <w:pPr>
              <w:jc w:val="center"/>
              <w:rPr>
                <w:rFonts w:hint="eastAsia" w:ascii="宋体" w:hAnsi="宋体" w:eastAsia="宋体" w:cs="宋体"/>
                <w:color w:val="000000"/>
                <w:kern w:val="0"/>
                <w:sz w:val="21"/>
                <w:szCs w:val="21"/>
                <w:u w:val="single"/>
                <w:lang w:bidi="ar"/>
              </w:rPr>
            </w:pP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val="en-US" w:eastAsia="zh-CN" w:bidi="ar"/>
              </w:rPr>
              <w:t xml:space="preserve"> </w:t>
            </w:r>
            <w:r>
              <w:rPr>
                <w:rFonts w:hint="eastAsia" w:ascii="宋体" w:hAnsi="宋体" w:eastAsia="宋体" w:cs="宋体"/>
                <w:color w:val="000000"/>
                <w:kern w:val="0"/>
                <w:sz w:val="21"/>
                <w:szCs w:val="21"/>
                <w:lang w:bidi="ar"/>
              </w:rPr>
              <w:t>元/</w:t>
            </w:r>
            <w:r>
              <w:rPr>
                <w:rFonts w:hint="eastAsia" w:ascii="宋体" w:hAnsi="宋体" w:eastAsia="宋体" w:cs="宋体"/>
                <w:i w:val="0"/>
                <w:color w:val="000000"/>
                <w:kern w:val="0"/>
                <w:sz w:val="21"/>
                <w:szCs w:val="21"/>
                <w:u w:val="none"/>
                <w:lang w:val="en-US" w:eastAsia="zh-CN" w:bidi="ar"/>
              </w:rPr>
              <w:t>m</w:t>
            </w:r>
            <w:r>
              <w:rPr>
                <w:rFonts w:hint="eastAsia" w:ascii="宋体" w:hAnsi="宋体" w:eastAsia="宋体" w:cs="宋体"/>
                <w:i w:val="0"/>
                <w:color w:val="000000"/>
                <w:kern w:val="0"/>
                <w:sz w:val="21"/>
                <w:szCs w:val="21"/>
                <w:u w:val="none"/>
                <w:vertAlign w:val="superscript"/>
                <w:lang w:val="en-US" w:eastAsia="zh-CN" w:bidi="ar"/>
              </w:rPr>
              <w:t>3</w:t>
            </w:r>
          </w:p>
        </w:tc>
        <w:tc>
          <w:tcPr>
            <w:tcW w:w="6178"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包括回填、平整、夯实等涉及的全部工序及人工费、机械费、材料费、措施费、不可竞争费、税金、水电费等全部费用。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1175" w:type="dxa"/>
            <w:noWrap w:val="0"/>
            <w:vAlign w:val="center"/>
          </w:tcPr>
          <w:p>
            <w:pPr>
              <w:jc w:val="center"/>
              <w:rPr>
                <w:rFonts w:hint="eastAsia" w:ascii="宋体" w:hAnsi="宋体" w:eastAsia="宋体" w:cs="宋体"/>
                <w:sz w:val="20"/>
                <w:szCs w:val="20"/>
                <w:lang w:val="en-US" w:eastAsia="zh-CN"/>
              </w:rPr>
            </w:pPr>
            <w:r>
              <w:rPr>
                <w:rFonts w:hint="eastAsia" w:ascii="宋体" w:hAnsi="宋体" w:eastAsia="宋体" w:cs="宋体"/>
                <w:sz w:val="20"/>
                <w:szCs w:val="20"/>
                <w:lang w:val="en-US" w:eastAsia="zh-CN"/>
              </w:rPr>
              <w:t>9</w:t>
            </w:r>
          </w:p>
        </w:tc>
        <w:tc>
          <w:tcPr>
            <w:tcW w:w="1538" w:type="dxa"/>
            <w:noWrap w:val="0"/>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地坪漆</w:t>
            </w:r>
          </w:p>
        </w:tc>
        <w:tc>
          <w:tcPr>
            <w:tcW w:w="712"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superscript"/>
                <w:lang w:val="en-US" w:eastAsia="zh-CN"/>
              </w:rPr>
            </w:pPr>
            <w:r>
              <w:rPr>
                <w:rFonts w:hint="eastAsia" w:ascii="宋体" w:hAnsi="宋体" w:eastAsia="宋体" w:cs="宋体"/>
                <w:sz w:val="24"/>
                <w:szCs w:val="24"/>
                <w:vertAlign w:val="baseline"/>
                <w:lang w:val="en-US" w:eastAsia="zh-CN"/>
              </w:rPr>
              <w:t>m</w:t>
            </w:r>
            <w:r>
              <w:rPr>
                <w:rFonts w:hint="eastAsia" w:ascii="宋体" w:hAnsi="宋体" w:eastAsia="宋体" w:cs="宋体"/>
                <w:sz w:val="24"/>
                <w:szCs w:val="24"/>
                <w:vertAlign w:val="superscript"/>
                <w:lang w:val="en-US" w:eastAsia="zh-CN"/>
              </w:rPr>
              <w:t>2</w:t>
            </w:r>
          </w:p>
        </w:tc>
        <w:tc>
          <w:tcPr>
            <w:tcW w:w="97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0"/>
                <w:szCs w:val="20"/>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325" w:type="dxa"/>
            <w:noWrap w:val="0"/>
            <w:vAlign w:val="center"/>
          </w:tcPr>
          <w:p>
            <w:pPr>
              <w:keepNext w:val="0"/>
              <w:keepLines w:val="0"/>
              <w:widowControl/>
              <w:suppressLineNumbers w:val="0"/>
              <w:jc w:val="center"/>
              <w:textAlignment w:val="center"/>
              <w:rPr>
                <w:rFonts w:hint="eastAsia" w:ascii="宋体" w:hAnsi="宋体" w:eastAsia="宋体" w:cs="宋体"/>
                <w:color w:val="000000"/>
                <w:kern w:val="0"/>
                <w:sz w:val="22"/>
                <w:szCs w:val="22"/>
                <w:u w:val="single"/>
                <w:lang w:bidi="ar"/>
              </w:rPr>
            </w:pPr>
            <w:r>
              <w:rPr>
                <w:rFonts w:hint="eastAsia" w:ascii="宋体" w:hAnsi="宋体" w:eastAsia="宋体" w:cs="宋体"/>
                <w:i w:val="0"/>
                <w:iCs w:val="0"/>
                <w:color w:val="000000"/>
                <w:kern w:val="0"/>
                <w:sz w:val="22"/>
                <w:szCs w:val="22"/>
                <w:u w:val="none"/>
                <w:lang w:val="en-US" w:eastAsia="zh-CN" w:bidi="ar"/>
              </w:rPr>
              <w:t>70</w:t>
            </w:r>
            <w:r>
              <w:rPr>
                <w:rFonts w:hint="eastAsia" w:ascii="宋体" w:hAnsi="宋体" w:eastAsia="宋体" w:cs="宋体"/>
                <w:color w:val="000000"/>
                <w:kern w:val="0"/>
                <w:sz w:val="22"/>
                <w:szCs w:val="22"/>
                <w:lang w:bidi="ar"/>
              </w:rPr>
              <w:t>元/</w:t>
            </w:r>
            <w:r>
              <w:rPr>
                <w:rFonts w:hint="eastAsia" w:ascii="宋体" w:hAnsi="宋体" w:eastAsia="宋体" w:cs="宋体"/>
                <w:sz w:val="22"/>
                <w:szCs w:val="22"/>
                <w:vertAlign w:val="baseline"/>
                <w:lang w:val="en-US" w:eastAsia="zh-CN"/>
              </w:rPr>
              <w:t>m</w:t>
            </w:r>
            <w:r>
              <w:rPr>
                <w:rFonts w:hint="eastAsia" w:ascii="宋体" w:hAnsi="宋体" w:eastAsia="宋体" w:cs="宋体"/>
                <w:sz w:val="22"/>
                <w:szCs w:val="22"/>
                <w:vertAlign w:val="superscript"/>
                <w:lang w:val="en-US" w:eastAsia="zh-CN"/>
              </w:rPr>
              <w:t>2</w:t>
            </w:r>
          </w:p>
        </w:tc>
        <w:tc>
          <w:tcPr>
            <w:tcW w:w="1550" w:type="dxa"/>
            <w:noWrap w:val="0"/>
            <w:vAlign w:val="center"/>
          </w:tcPr>
          <w:p>
            <w:pPr>
              <w:jc w:val="center"/>
              <w:rPr>
                <w:rFonts w:hint="eastAsia" w:ascii="宋体" w:hAnsi="宋体" w:eastAsia="宋体" w:cs="宋体"/>
                <w:color w:val="000000"/>
                <w:kern w:val="0"/>
                <w:sz w:val="21"/>
                <w:szCs w:val="21"/>
                <w:u w:val="single"/>
                <w:lang w:bidi="ar"/>
              </w:rPr>
            </w:pPr>
            <w:r>
              <w:rPr>
                <w:rFonts w:hint="eastAsia" w:ascii="宋体" w:hAnsi="宋体" w:eastAsia="宋体" w:cs="宋体"/>
                <w:color w:val="000000"/>
                <w:kern w:val="0"/>
                <w:sz w:val="21"/>
                <w:szCs w:val="21"/>
                <w:u w:val="single"/>
                <w:lang w:val="en-US" w:eastAsia="zh-CN" w:bidi="ar"/>
              </w:rPr>
              <w:t xml:space="preserve">       </w:t>
            </w:r>
            <w:r>
              <w:rPr>
                <w:rFonts w:hint="eastAsia" w:ascii="宋体" w:hAnsi="宋体" w:eastAsia="宋体" w:cs="宋体"/>
                <w:color w:val="000000"/>
                <w:kern w:val="0"/>
                <w:sz w:val="21"/>
                <w:szCs w:val="21"/>
                <w:lang w:bidi="ar"/>
              </w:rPr>
              <w:t>元/</w:t>
            </w:r>
            <w:r>
              <w:rPr>
                <w:rFonts w:hint="eastAsia" w:ascii="宋体" w:hAnsi="宋体" w:eastAsia="宋体" w:cs="宋体"/>
                <w:sz w:val="21"/>
                <w:szCs w:val="21"/>
                <w:vertAlign w:val="baseline"/>
                <w:lang w:val="en-US" w:eastAsia="zh-CN"/>
              </w:rPr>
              <w:t>m</w:t>
            </w:r>
            <w:r>
              <w:rPr>
                <w:rFonts w:hint="eastAsia" w:ascii="宋体" w:hAnsi="宋体" w:eastAsia="宋体" w:cs="宋体"/>
                <w:sz w:val="21"/>
                <w:szCs w:val="21"/>
                <w:vertAlign w:val="superscript"/>
                <w:lang w:val="en-US" w:eastAsia="zh-CN"/>
              </w:rPr>
              <w:t>2</w:t>
            </w:r>
          </w:p>
        </w:tc>
        <w:tc>
          <w:tcPr>
            <w:tcW w:w="6178" w:type="dxa"/>
            <w:noWrap w:val="0"/>
            <w:vAlign w:val="center"/>
          </w:tcPr>
          <w:p>
            <w:pPr>
              <w:keepNext w:val="0"/>
              <w:keepLines w:val="0"/>
              <w:widowControl/>
              <w:suppressLineNumbers w:val="0"/>
              <w:jc w:val="left"/>
              <w:textAlignment w:val="center"/>
              <w:rPr>
                <w:rFonts w:hint="eastAsia" w:ascii="宋体" w:hAnsi="宋体" w:eastAsia="宋体" w:cs="宋体"/>
                <w:color w:val="000000"/>
                <w:kern w:val="0"/>
                <w:sz w:val="20"/>
                <w:szCs w:val="20"/>
                <w:lang w:bidi="ar"/>
              </w:rPr>
            </w:pPr>
            <w:r>
              <w:rPr>
                <w:rFonts w:hint="eastAsia" w:ascii="宋体" w:hAnsi="宋体" w:eastAsia="宋体" w:cs="宋体"/>
                <w:i w:val="0"/>
                <w:iCs w:val="0"/>
                <w:color w:val="000000"/>
                <w:kern w:val="0"/>
                <w:sz w:val="20"/>
                <w:szCs w:val="20"/>
                <w:u w:val="none"/>
                <w:lang w:val="en-US" w:eastAsia="zh-CN" w:bidi="ar"/>
              </w:rPr>
              <w:t>包括卸车、运输、倒运、刷涂等涉及的全部工序及人工费、机械费、材料费、措施费、不可竞争费、税金、水电费等全部费用。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13453" w:type="dxa"/>
            <w:gridSpan w:val="7"/>
            <w:noWrap w:val="0"/>
            <w:vAlign w:val="center"/>
          </w:tcPr>
          <w:p>
            <w:pPr>
              <w:jc w:val="left"/>
              <w:rPr>
                <w:rFonts w:hint="eastAsia" w:ascii="宋体" w:hAnsi="宋体" w:eastAsia="宋体" w:cs="宋体"/>
                <w:sz w:val="20"/>
                <w:szCs w:val="20"/>
              </w:rPr>
            </w:pPr>
            <w:r>
              <w:rPr>
                <w:rFonts w:hint="eastAsia" w:ascii="宋体" w:hAnsi="宋体" w:eastAsia="宋体" w:cs="宋体"/>
                <w:sz w:val="20"/>
                <w:szCs w:val="20"/>
              </w:rPr>
              <w:t>二、除单价包干外工作量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75" w:type="dxa"/>
            <w:noWrap w:val="0"/>
            <w:vAlign w:val="center"/>
          </w:tcPr>
          <w:p>
            <w:pPr>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1538" w:type="dxa"/>
            <w:noWrap w:val="0"/>
            <w:vAlign w:val="center"/>
          </w:tcPr>
          <w:p>
            <w:pPr>
              <w:jc w:val="center"/>
              <w:rPr>
                <w:rFonts w:hint="eastAsia" w:ascii="宋体" w:hAnsi="宋体" w:eastAsia="宋体" w:cs="宋体"/>
                <w:sz w:val="20"/>
                <w:szCs w:val="20"/>
              </w:rPr>
            </w:pPr>
            <w:r>
              <w:rPr>
                <w:rFonts w:hint="eastAsia" w:ascii="宋体" w:hAnsi="宋体" w:eastAsia="宋体" w:cs="宋体"/>
                <w:sz w:val="20"/>
                <w:szCs w:val="20"/>
              </w:rPr>
              <w:t>优惠率（不包含材料费）</w:t>
            </w:r>
          </w:p>
        </w:tc>
        <w:tc>
          <w:tcPr>
            <w:tcW w:w="1687" w:type="dxa"/>
            <w:gridSpan w:val="2"/>
            <w:noWrap w:val="0"/>
            <w:vAlign w:val="center"/>
          </w:tcPr>
          <w:p>
            <w:pPr>
              <w:widowControl/>
              <w:jc w:val="center"/>
              <w:textAlignment w:val="center"/>
              <w:rPr>
                <w:rFonts w:hint="eastAsia" w:ascii="宋体" w:hAnsi="宋体" w:eastAsia="宋体" w:cs="宋体"/>
                <w:color w:val="000000"/>
                <w:kern w:val="0"/>
                <w:sz w:val="20"/>
                <w:szCs w:val="20"/>
                <w:lang w:bidi="ar"/>
              </w:rPr>
            </w:pPr>
            <w:r>
              <w:rPr>
                <w:rFonts w:hint="eastAsia" w:ascii="宋体" w:hAnsi="宋体" w:eastAsia="宋体" w:cs="宋体"/>
                <w:sz w:val="20"/>
                <w:szCs w:val="20"/>
              </w:rPr>
              <w:t>暂列金额</w:t>
            </w:r>
            <w:r>
              <w:rPr>
                <w:rFonts w:hint="eastAsia" w:ascii="宋体" w:hAnsi="宋体" w:eastAsia="宋体" w:cs="宋体"/>
                <w:color w:val="auto"/>
                <w:sz w:val="20"/>
                <w:szCs w:val="20"/>
                <w:u w:val="single"/>
                <w:lang w:val="en-US" w:eastAsia="zh-CN"/>
              </w:rPr>
              <w:t>50000</w:t>
            </w:r>
            <w:r>
              <w:rPr>
                <w:rFonts w:hint="eastAsia" w:ascii="宋体" w:hAnsi="宋体" w:eastAsia="宋体" w:cs="宋体"/>
                <w:sz w:val="20"/>
                <w:szCs w:val="20"/>
              </w:rPr>
              <w:t>元</w:t>
            </w:r>
          </w:p>
        </w:tc>
        <w:tc>
          <w:tcPr>
            <w:tcW w:w="1325" w:type="dxa"/>
            <w:noWrap w:val="0"/>
            <w:vAlign w:val="center"/>
          </w:tcPr>
          <w:p>
            <w:pPr>
              <w:spacing w:before="156" w:beforeLines="50" w:after="156" w:afterLines="50"/>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w:t>
            </w:r>
          </w:p>
        </w:tc>
        <w:tc>
          <w:tcPr>
            <w:tcW w:w="1550" w:type="dxa"/>
            <w:noWrap w:val="0"/>
            <w:vAlign w:val="center"/>
          </w:tcPr>
          <w:p>
            <w:pPr>
              <w:spacing w:before="156" w:beforeLines="50" w:after="156" w:afterLines="50"/>
              <w:jc w:val="both"/>
              <w:rPr>
                <w:rFonts w:hint="eastAsia" w:ascii="宋体" w:hAnsi="宋体" w:eastAsia="宋体" w:cs="宋体"/>
                <w:sz w:val="20"/>
                <w:szCs w:val="20"/>
                <w:u w:val="single"/>
              </w:rPr>
            </w:pPr>
            <w:r>
              <w:rPr>
                <w:rFonts w:hint="eastAsia" w:ascii="宋体" w:hAnsi="宋体" w:eastAsia="宋体" w:cs="宋体"/>
                <w:sz w:val="20"/>
                <w:szCs w:val="20"/>
              </w:rPr>
              <w:t>优惠</w:t>
            </w:r>
            <w:r>
              <w:rPr>
                <w:rFonts w:hint="eastAsia" w:ascii="宋体" w:hAnsi="宋体" w:eastAsia="宋体" w:cs="宋体"/>
                <w:sz w:val="20"/>
                <w:szCs w:val="20"/>
                <w:u w:val="single"/>
              </w:rPr>
              <w:t xml:space="preserve">   </w:t>
            </w:r>
            <w:r>
              <w:rPr>
                <w:rFonts w:hint="eastAsia" w:ascii="宋体" w:hAnsi="宋体" w:eastAsia="宋体" w:cs="宋体"/>
                <w:sz w:val="20"/>
                <w:szCs w:val="20"/>
                <w:u w:val="single"/>
                <w:lang w:val="en-US" w:eastAsia="zh-CN"/>
              </w:rPr>
              <w:t xml:space="preserve"> </w:t>
            </w:r>
            <w:r>
              <w:rPr>
                <w:rFonts w:hint="eastAsia" w:ascii="宋体" w:hAnsi="宋体" w:eastAsia="宋体" w:cs="宋体"/>
                <w:sz w:val="20"/>
                <w:szCs w:val="20"/>
                <w:u w:val="single"/>
              </w:rPr>
              <w:t xml:space="preserve">  </w:t>
            </w:r>
            <w:r>
              <w:rPr>
                <w:rFonts w:hint="eastAsia" w:ascii="宋体" w:hAnsi="宋体" w:eastAsia="宋体" w:cs="宋体"/>
                <w:sz w:val="20"/>
                <w:szCs w:val="20"/>
              </w:rPr>
              <w:t>%</w:t>
            </w:r>
          </w:p>
        </w:tc>
        <w:tc>
          <w:tcPr>
            <w:tcW w:w="6178" w:type="dxa"/>
            <w:noWrap w:val="0"/>
            <w:vAlign w:val="top"/>
          </w:tcPr>
          <w:p>
            <w:pPr>
              <w:jc w:val="left"/>
              <w:rPr>
                <w:rFonts w:hint="eastAsia" w:ascii="宋体" w:hAnsi="宋体" w:eastAsia="宋体" w:cs="宋体"/>
                <w:sz w:val="20"/>
                <w:szCs w:val="20"/>
              </w:rPr>
            </w:pPr>
            <w:r>
              <w:rPr>
                <w:rFonts w:hint="eastAsia" w:ascii="宋体" w:hAnsi="宋体" w:eastAsia="宋体" w:cs="宋体"/>
                <w:sz w:val="20"/>
                <w:szCs w:val="20"/>
              </w:rPr>
              <w:t>执行2018版安徽省建设工程计价定额及配套费用定额，材料费不参与总价优惠。措施</w:t>
            </w:r>
            <w:r>
              <w:rPr>
                <w:rFonts w:hint="eastAsia" w:ascii="宋体" w:hAnsi="宋体" w:eastAsia="宋体" w:cs="宋体"/>
                <w:sz w:val="20"/>
                <w:szCs w:val="20"/>
                <w:lang w:val="en-US" w:eastAsia="zh-CN"/>
              </w:rPr>
              <w:t>项目</w:t>
            </w:r>
            <w:r>
              <w:rPr>
                <w:rFonts w:hint="eastAsia" w:ascii="宋体" w:hAnsi="宋体" w:eastAsia="宋体" w:cs="宋体"/>
                <w:sz w:val="20"/>
                <w:szCs w:val="20"/>
              </w:rPr>
              <w:t>费以</w:t>
            </w:r>
            <w:r>
              <w:rPr>
                <w:rFonts w:hint="eastAsia" w:ascii="宋体" w:hAnsi="宋体" w:eastAsia="宋体" w:cs="宋体"/>
                <w:sz w:val="20"/>
                <w:szCs w:val="20"/>
                <w:lang w:val="en-US" w:eastAsia="zh-CN"/>
              </w:rPr>
              <w:t>现场确认</w:t>
            </w:r>
            <w:r>
              <w:rPr>
                <w:rFonts w:hint="eastAsia" w:ascii="宋体" w:hAnsi="宋体" w:eastAsia="宋体" w:cs="宋体"/>
                <w:sz w:val="20"/>
                <w:szCs w:val="20"/>
              </w:rPr>
              <w:t>形式据实计取，二次搬运费不计取。</w:t>
            </w:r>
          </w:p>
        </w:tc>
      </w:tr>
    </w:tbl>
    <w:p>
      <w:pPr>
        <w:spacing w:line="300" w:lineRule="auto"/>
        <w:rPr>
          <w:rFonts w:hint="eastAsia"/>
          <w:b/>
          <w:sz w:val="18"/>
          <w:szCs w:val="18"/>
        </w:rPr>
        <w:sectPr>
          <w:pgSz w:w="16840" w:h="11900" w:orient="landscape"/>
          <w:pgMar w:top="981" w:right="278" w:bottom="1361" w:left="1582" w:header="720" w:footer="720" w:gutter="0"/>
          <w:cols w:space="720" w:num="1"/>
        </w:sectPr>
      </w:pPr>
      <w:r>
        <w:rPr>
          <w:rFonts w:hint="eastAsia" w:ascii="宋体" w:hAnsi="宋体" w:eastAsia="宋体" w:cs="宋体"/>
          <w:color w:val="000000"/>
          <w:sz w:val="21"/>
          <w:szCs w:val="21"/>
        </w:rPr>
        <w:t>注：本报价单需加盖投标单位公章和</w:t>
      </w:r>
      <w:r>
        <w:rPr>
          <w:rFonts w:hint="eastAsia" w:ascii="宋体" w:hAnsi="宋体" w:eastAsia="宋体" w:cs="宋体"/>
          <w:sz w:val="21"/>
          <w:szCs w:val="21"/>
        </w:rPr>
        <w:t>法人代表印章或授权代理人签字</w:t>
      </w:r>
      <w:r>
        <w:rPr>
          <w:rFonts w:hint="eastAsia"/>
          <w:sz w:val="24"/>
          <w:szCs w:val="24"/>
        </w:rPr>
        <w:t>。</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15291886"/>
      <w:bookmarkStart w:id="1" w:name="_Toc15231775"/>
      <w:bookmarkStart w:id="2" w:name="_Toc532887698"/>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序号</w:t>
            </w:r>
          </w:p>
        </w:tc>
        <w:tc>
          <w:tcPr>
            <w:tcW w:w="2394" w:type="dxa"/>
            <w:noWrap w:val="0"/>
            <w:vAlign w:val="top"/>
          </w:tcPr>
          <w:p>
            <w:pPr>
              <w:tabs>
                <w:tab w:val="left" w:pos="509"/>
                <w:tab w:val="left" w:pos="5580"/>
              </w:tabs>
              <w:ind w:firstLine="450" w:firstLineChars="250"/>
              <w:rPr>
                <w:sz w:val="18"/>
                <w:szCs w:val="18"/>
              </w:rPr>
            </w:pPr>
            <w:r>
              <w:rPr>
                <w:sz w:val="18"/>
                <w:szCs w:val="18"/>
              </w:rPr>
              <w:t>证件名称</w:t>
            </w:r>
          </w:p>
        </w:tc>
        <w:tc>
          <w:tcPr>
            <w:tcW w:w="2484" w:type="dxa"/>
            <w:noWrap w:val="0"/>
            <w:vAlign w:val="top"/>
          </w:tcPr>
          <w:p>
            <w:pPr>
              <w:tabs>
                <w:tab w:val="left" w:pos="509"/>
                <w:tab w:val="left" w:pos="5580"/>
              </w:tabs>
              <w:ind w:firstLine="450" w:firstLineChars="250"/>
              <w:rPr>
                <w:sz w:val="18"/>
                <w:szCs w:val="18"/>
              </w:rPr>
            </w:pPr>
            <w:r>
              <w:rPr>
                <w:sz w:val="18"/>
                <w:szCs w:val="18"/>
              </w:rPr>
              <w:t>岗位名称</w:t>
            </w:r>
          </w:p>
        </w:tc>
        <w:tc>
          <w:tcPr>
            <w:tcW w:w="2984" w:type="dxa"/>
            <w:noWrap w:val="0"/>
            <w:vAlign w:val="top"/>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w:t>
            </w:r>
          </w:p>
        </w:tc>
        <w:tc>
          <w:tcPr>
            <w:tcW w:w="2394" w:type="dxa"/>
            <w:noWrap w:val="0"/>
            <w:vAlign w:val="top"/>
          </w:tcPr>
          <w:p>
            <w:pPr>
              <w:tabs>
                <w:tab w:val="left" w:pos="509"/>
                <w:tab w:val="left" w:pos="5580"/>
              </w:tabs>
              <w:rPr>
                <w:sz w:val="18"/>
                <w:szCs w:val="18"/>
              </w:rPr>
            </w:pPr>
            <w:r>
              <w:rPr>
                <w:sz w:val="18"/>
                <w:szCs w:val="18"/>
              </w:rPr>
              <w:t>起重机指挥证</w:t>
            </w:r>
          </w:p>
        </w:tc>
        <w:tc>
          <w:tcPr>
            <w:tcW w:w="2484" w:type="dxa"/>
            <w:noWrap w:val="0"/>
            <w:vAlign w:val="top"/>
          </w:tcPr>
          <w:p>
            <w:pPr>
              <w:tabs>
                <w:tab w:val="left" w:pos="509"/>
                <w:tab w:val="left" w:pos="5580"/>
              </w:tabs>
              <w:rPr>
                <w:sz w:val="18"/>
                <w:szCs w:val="18"/>
              </w:rPr>
            </w:pPr>
            <w:r>
              <w:rPr>
                <w:sz w:val="18"/>
                <w:szCs w:val="18"/>
              </w:rPr>
              <w:t>建筑起重信号司索工</w:t>
            </w:r>
          </w:p>
        </w:tc>
        <w:tc>
          <w:tcPr>
            <w:tcW w:w="2984" w:type="dxa"/>
            <w:noWrap w:val="0"/>
            <w:vAlign w:val="top"/>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2</w:t>
            </w:r>
          </w:p>
        </w:tc>
        <w:tc>
          <w:tcPr>
            <w:tcW w:w="2394" w:type="dxa"/>
            <w:noWrap w:val="0"/>
            <w:vAlign w:val="top"/>
          </w:tcPr>
          <w:p>
            <w:pPr>
              <w:tabs>
                <w:tab w:val="left" w:pos="509"/>
                <w:tab w:val="left" w:pos="5580"/>
              </w:tabs>
              <w:rPr>
                <w:sz w:val="18"/>
                <w:szCs w:val="18"/>
              </w:rPr>
            </w:pPr>
            <w:r>
              <w:rPr>
                <w:sz w:val="18"/>
                <w:szCs w:val="18"/>
              </w:rPr>
              <w:t>塔式起重机司机证/      流动式起重机司机证/    桥门式起重机司机</w:t>
            </w:r>
          </w:p>
        </w:tc>
        <w:tc>
          <w:tcPr>
            <w:tcW w:w="2484" w:type="dxa"/>
            <w:noWrap w:val="0"/>
            <w:vAlign w:val="top"/>
          </w:tcPr>
          <w:p>
            <w:pPr>
              <w:tabs>
                <w:tab w:val="left" w:pos="509"/>
                <w:tab w:val="left" w:pos="5580"/>
              </w:tabs>
              <w:rPr>
                <w:sz w:val="18"/>
                <w:szCs w:val="18"/>
              </w:rPr>
            </w:pPr>
            <w:r>
              <w:rPr>
                <w:sz w:val="18"/>
                <w:szCs w:val="18"/>
              </w:rPr>
              <w:t>建筑起重机械司机</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3</w:t>
            </w:r>
          </w:p>
        </w:tc>
        <w:tc>
          <w:tcPr>
            <w:tcW w:w="2394" w:type="dxa"/>
            <w:noWrap w:val="0"/>
            <w:vAlign w:val="top"/>
          </w:tcPr>
          <w:p>
            <w:pPr>
              <w:tabs>
                <w:tab w:val="left" w:pos="509"/>
                <w:tab w:val="left" w:pos="5580"/>
              </w:tabs>
              <w:rPr>
                <w:sz w:val="18"/>
                <w:szCs w:val="18"/>
              </w:rPr>
            </w:pPr>
            <w:r>
              <w:rPr>
                <w:sz w:val="18"/>
                <w:szCs w:val="18"/>
              </w:rPr>
              <w:t>塔式起重机安装，拆卸证</w:t>
            </w:r>
          </w:p>
        </w:tc>
        <w:tc>
          <w:tcPr>
            <w:tcW w:w="2484" w:type="dxa"/>
            <w:noWrap w:val="0"/>
            <w:vAlign w:val="top"/>
          </w:tcPr>
          <w:p>
            <w:pPr>
              <w:tabs>
                <w:tab w:val="left" w:pos="509"/>
                <w:tab w:val="left" w:pos="5580"/>
              </w:tabs>
              <w:rPr>
                <w:sz w:val="18"/>
                <w:szCs w:val="18"/>
              </w:rPr>
            </w:pPr>
            <w:r>
              <w:rPr>
                <w:sz w:val="18"/>
                <w:szCs w:val="18"/>
              </w:rPr>
              <w:t>建筑起重机械安装拆卸工</w:t>
            </w:r>
          </w:p>
        </w:tc>
        <w:tc>
          <w:tcPr>
            <w:tcW w:w="2984" w:type="dxa"/>
            <w:noWrap w:val="0"/>
            <w:vAlign w:val="top"/>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4</w:t>
            </w:r>
          </w:p>
        </w:tc>
        <w:tc>
          <w:tcPr>
            <w:tcW w:w="2394" w:type="dxa"/>
            <w:noWrap w:val="0"/>
            <w:vAlign w:val="top"/>
          </w:tcPr>
          <w:p>
            <w:pPr>
              <w:tabs>
                <w:tab w:val="left" w:pos="509"/>
                <w:tab w:val="left" w:pos="5580"/>
              </w:tabs>
              <w:rPr>
                <w:sz w:val="18"/>
                <w:szCs w:val="18"/>
              </w:rPr>
            </w:pPr>
            <w:r>
              <w:rPr>
                <w:sz w:val="18"/>
                <w:szCs w:val="18"/>
              </w:rPr>
              <w:t>高处作业证</w:t>
            </w:r>
          </w:p>
        </w:tc>
        <w:tc>
          <w:tcPr>
            <w:tcW w:w="2484" w:type="dxa"/>
            <w:noWrap w:val="0"/>
            <w:vAlign w:val="top"/>
          </w:tcPr>
          <w:p>
            <w:pPr>
              <w:tabs>
                <w:tab w:val="left" w:pos="509"/>
                <w:tab w:val="left" w:pos="5580"/>
              </w:tabs>
              <w:rPr>
                <w:sz w:val="18"/>
                <w:szCs w:val="18"/>
              </w:rPr>
            </w:pPr>
            <w:r>
              <w:rPr>
                <w:sz w:val="18"/>
                <w:szCs w:val="18"/>
              </w:rPr>
              <w:t>高处作业吊篮安装拆卸工</w:t>
            </w:r>
          </w:p>
        </w:tc>
        <w:tc>
          <w:tcPr>
            <w:tcW w:w="2984" w:type="dxa"/>
            <w:noWrap w:val="0"/>
            <w:vAlign w:val="top"/>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5</w:t>
            </w:r>
          </w:p>
        </w:tc>
        <w:tc>
          <w:tcPr>
            <w:tcW w:w="2394" w:type="dxa"/>
            <w:noWrap w:val="0"/>
            <w:vAlign w:val="top"/>
          </w:tcPr>
          <w:p>
            <w:pPr>
              <w:tabs>
                <w:tab w:val="left" w:pos="509"/>
                <w:tab w:val="left" w:pos="5580"/>
              </w:tabs>
              <w:rPr>
                <w:sz w:val="18"/>
                <w:szCs w:val="18"/>
              </w:rPr>
            </w:pPr>
            <w:r>
              <w:rPr>
                <w:sz w:val="18"/>
                <w:szCs w:val="18"/>
              </w:rPr>
              <w:t>架子工证</w:t>
            </w:r>
          </w:p>
        </w:tc>
        <w:tc>
          <w:tcPr>
            <w:tcW w:w="2484" w:type="dxa"/>
            <w:noWrap w:val="0"/>
            <w:vAlign w:val="top"/>
          </w:tcPr>
          <w:p>
            <w:pPr>
              <w:tabs>
                <w:tab w:val="left" w:pos="509"/>
                <w:tab w:val="left" w:pos="5580"/>
              </w:tabs>
              <w:rPr>
                <w:sz w:val="18"/>
                <w:szCs w:val="18"/>
              </w:rPr>
            </w:pPr>
            <w:r>
              <w:rPr>
                <w:sz w:val="18"/>
                <w:szCs w:val="18"/>
              </w:rPr>
              <w:t>建筑架子工（普通脚手架、附着升降脚手架）</w:t>
            </w:r>
          </w:p>
        </w:tc>
        <w:tc>
          <w:tcPr>
            <w:tcW w:w="2984" w:type="dxa"/>
            <w:noWrap w:val="0"/>
            <w:vAlign w:val="top"/>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6</w:t>
            </w:r>
          </w:p>
        </w:tc>
        <w:tc>
          <w:tcPr>
            <w:tcW w:w="2394" w:type="dxa"/>
            <w:noWrap w:val="0"/>
            <w:vAlign w:val="top"/>
          </w:tcPr>
          <w:p>
            <w:pPr>
              <w:tabs>
                <w:tab w:val="left" w:pos="509"/>
                <w:tab w:val="left" w:pos="5580"/>
              </w:tabs>
              <w:rPr>
                <w:sz w:val="18"/>
                <w:szCs w:val="18"/>
              </w:rPr>
            </w:pPr>
            <w:r>
              <w:rPr>
                <w:sz w:val="18"/>
                <w:szCs w:val="18"/>
              </w:rPr>
              <w:t>焊接与热切割证</w:t>
            </w:r>
          </w:p>
        </w:tc>
        <w:tc>
          <w:tcPr>
            <w:tcW w:w="2484" w:type="dxa"/>
            <w:noWrap w:val="0"/>
            <w:vAlign w:val="top"/>
          </w:tcPr>
          <w:p>
            <w:pPr>
              <w:tabs>
                <w:tab w:val="left" w:pos="509"/>
                <w:tab w:val="left" w:pos="5580"/>
              </w:tabs>
              <w:rPr>
                <w:sz w:val="18"/>
                <w:szCs w:val="18"/>
              </w:rPr>
            </w:pPr>
            <w:r>
              <w:rPr>
                <w:sz w:val="18"/>
                <w:szCs w:val="18"/>
              </w:rPr>
              <w:t>建筑焊工（电焊、气焊、切割）：</w:t>
            </w:r>
          </w:p>
        </w:tc>
        <w:tc>
          <w:tcPr>
            <w:tcW w:w="2984" w:type="dxa"/>
            <w:noWrap w:val="0"/>
            <w:vAlign w:val="top"/>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7</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高压电工</w:t>
            </w:r>
          </w:p>
        </w:tc>
        <w:tc>
          <w:tcPr>
            <w:tcW w:w="2984" w:type="dxa"/>
            <w:noWrap w:val="0"/>
            <w:vAlign w:val="top"/>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8</w:t>
            </w:r>
          </w:p>
        </w:tc>
        <w:tc>
          <w:tcPr>
            <w:tcW w:w="2394" w:type="dxa"/>
            <w:noWrap w:val="0"/>
            <w:vAlign w:val="top"/>
          </w:tcPr>
          <w:p>
            <w:pPr>
              <w:tabs>
                <w:tab w:val="left" w:pos="509"/>
                <w:tab w:val="left" w:pos="5580"/>
              </w:tabs>
              <w:rPr>
                <w:sz w:val="18"/>
                <w:szCs w:val="18"/>
              </w:rPr>
            </w:pPr>
            <w:r>
              <w:rPr>
                <w:sz w:val="18"/>
                <w:szCs w:val="18"/>
              </w:rPr>
              <w:t>建筑工程车辆驾驶证</w:t>
            </w:r>
          </w:p>
        </w:tc>
        <w:tc>
          <w:tcPr>
            <w:tcW w:w="2484" w:type="dxa"/>
            <w:noWrap w:val="0"/>
            <w:vAlign w:val="top"/>
          </w:tcPr>
          <w:p>
            <w:pPr>
              <w:tabs>
                <w:tab w:val="left" w:pos="509"/>
                <w:tab w:val="left" w:pos="5580"/>
              </w:tabs>
              <w:rPr>
                <w:sz w:val="18"/>
                <w:szCs w:val="18"/>
              </w:rPr>
            </w:pPr>
            <w:r>
              <w:rPr>
                <w:sz w:val="18"/>
                <w:szCs w:val="18"/>
              </w:rPr>
              <w:t>建筑施工现场内机动车司机</w:t>
            </w:r>
          </w:p>
        </w:tc>
        <w:tc>
          <w:tcPr>
            <w:tcW w:w="2984" w:type="dxa"/>
            <w:noWrap w:val="0"/>
            <w:vAlign w:val="top"/>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9</w:t>
            </w:r>
          </w:p>
        </w:tc>
        <w:tc>
          <w:tcPr>
            <w:tcW w:w="2394" w:type="dxa"/>
            <w:noWrap w:val="0"/>
            <w:vAlign w:val="top"/>
          </w:tcPr>
          <w:p>
            <w:pPr>
              <w:tabs>
                <w:tab w:val="left" w:pos="509"/>
                <w:tab w:val="left" w:pos="5580"/>
              </w:tabs>
              <w:rPr>
                <w:sz w:val="18"/>
                <w:szCs w:val="18"/>
              </w:rPr>
            </w:pPr>
            <w:r>
              <w:rPr>
                <w:sz w:val="18"/>
                <w:szCs w:val="18"/>
              </w:rPr>
              <w:t>电工作业证</w:t>
            </w:r>
          </w:p>
        </w:tc>
        <w:tc>
          <w:tcPr>
            <w:tcW w:w="2484" w:type="dxa"/>
            <w:noWrap w:val="0"/>
            <w:vAlign w:val="top"/>
          </w:tcPr>
          <w:p>
            <w:pPr>
              <w:tabs>
                <w:tab w:val="left" w:pos="509"/>
                <w:tab w:val="left" w:pos="5580"/>
              </w:tabs>
              <w:rPr>
                <w:sz w:val="18"/>
                <w:szCs w:val="18"/>
              </w:rPr>
            </w:pPr>
            <w:r>
              <w:rPr>
                <w:sz w:val="18"/>
                <w:szCs w:val="18"/>
              </w:rPr>
              <w:t>低压电工</w:t>
            </w:r>
          </w:p>
        </w:tc>
        <w:tc>
          <w:tcPr>
            <w:tcW w:w="2984" w:type="dxa"/>
            <w:noWrap w:val="0"/>
            <w:vAlign w:val="top"/>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noWrap w:val="0"/>
            <w:vAlign w:val="top"/>
          </w:tcPr>
          <w:p>
            <w:pPr>
              <w:tabs>
                <w:tab w:val="left" w:pos="509"/>
                <w:tab w:val="left" w:pos="5580"/>
              </w:tabs>
              <w:rPr>
                <w:sz w:val="18"/>
                <w:szCs w:val="18"/>
              </w:rPr>
            </w:pPr>
            <w:r>
              <w:rPr>
                <w:sz w:val="18"/>
                <w:szCs w:val="18"/>
              </w:rPr>
              <w:t>10</w:t>
            </w:r>
          </w:p>
        </w:tc>
        <w:tc>
          <w:tcPr>
            <w:tcW w:w="2394" w:type="dxa"/>
            <w:noWrap w:val="0"/>
            <w:vAlign w:val="top"/>
          </w:tcPr>
          <w:p>
            <w:pPr>
              <w:tabs>
                <w:tab w:val="left" w:pos="509"/>
                <w:tab w:val="left" w:pos="5580"/>
              </w:tabs>
              <w:rPr>
                <w:sz w:val="18"/>
                <w:szCs w:val="18"/>
              </w:rPr>
            </w:pPr>
            <w:r>
              <w:rPr>
                <w:sz w:val="18"/>
                <w:szCs w:val="18"/>
              </w:rPr>
              <w:t>煤气作业证</w:t>
            </w:r>
          </w:p>
        </w:tc>
        <w:tc>
          <w:tcPr>
            <w:tcW w:w="2484" w:type="dxa"/>
            <w:noWrap w:val="0"/>
            <w:vAlign w:val="top"/>
          </w:tcPr>
          <w:p>
            <w:pPr>
              <w:tabs>
                <w:tab w:val="left" w:pos="509"/>
                <w:tab w:val="left" w:pos="5580"/>
              </w:tabs>
              <w:rPr>
                <w:sz w:val="18"/>
                <w:szCs w:val="18"/>
              </w:rPr>
            </w:pPr>
            <w:r>
              <w:rPr>
                <w:sz w:val="18"/>
                <w:szCs w:val="18"/>
              </w:rPr>
              <w:t>冶金（有色）生产安全作业</w:t>
            </w:r>
          </w:p>
        </w:tc>
        <w:tc>
          <w:tcPr>
            <w:tcW w:w="2984" w:type="dxa"/>
            <w:noWrap w:val="0"/>
            <w:vAlign w:val="top"/>
          </w:tcPr>
          <w:p>
            <w:pPr>
              <w:tabs>
                <w:tab w:val="left" w:pos="509"/>
                <w:tab w:val="left" w:pos="5580"/>
              </w:tabs>
              <w:rPr>
                <w:sz w:val="18"/>
                <w:szCs w:val="18"/>
              </w:rPr>
            </w:pPr>
            <w:r>
              <w:rPr>
                <w:sz w:val="18"/>
                <w:szCs w:val="18"/>
              </w:rPr>
              <w:t>指冶金、有色企业内从事煤气生产、储存、输送、使用、维护检修的作业</w:t>
            </w:r>
          </w:p>
        </w:tc>
      </w:tr>
    </w:tbl>
    <w:p>
      <w:pPr>
        <w:pStyle w:val="12"/>
        <w:widowControl/>
        <w:ind w:firstLine="1120" w:firstLineChars="400"/>
        <w:rPr>
          <w:rFonts w:hint="eastAsia" w:ascii="仿宋_GB2312" w:eastAsia="仿宋_GB2312"/>
          <w:sz w:val="28"/>
          <w:szCs w:val="28"/>
        </w:rPr>
      </w:pPr>
      <w:bookmarkStart w:id="3" w:name="_GoBack"/>
      <w:bookmarkEnd w:id="3"/>
    </w:p>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7</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15</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DDC8E9C3"/>
    <w:multiLevelType w:val="singleLevel"/>
    <w:tmpl w:val="DDC8E9C3"/>
    <w:lvl w:ilvl="0" w:tentative="0">
      <w:start w:val="1"/>
      <w:numFmt w:val="decimal"/>
      <w:suff w:val="space"/>
      <w:lvlText w:val="%1."/>
      <w:lvlJc w:val="left"/>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6"/>
  </w:num>
  <w:num w:numId="2">
    <w:abstractNumId w:val="8"/>
  </w:num>
  <w:num w:numId="3">
    <w:abstractNumId w:val="1"/>
  </w:num>
  <w:num w:numId="4">
    <w:abstractNumId w:val="10"/>
  </w:num>
  <w:num w:numId="5">
    <w:abstractNumId w:val="9"/>
  </w:num>
  <w:num w:numId="6">
    <w:abstractNumId w:val="4"/>
  </w:num>
  <w:num w:numId="7">
    <w:abstractNumId w:val="2"/>
  </w:num>
  <w:num w:numId="8">
    <w:abstractNumId w:val="5"/>
  </w:num>
  <w:num w:numId="9">
    <w:abstractNumId w:val="0"/>
    <w:lvlOverride w:ilvl="0">
      <w:startOverride w:val="1"/>
    </w:lvlOverride>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545EC"/>
    <w:rsid w:val="0017435A"/>
    <w:rsid w:val="00193EAB"/>
    <w:rsid w:val="001941D1"/>
    <w:rsid w:val="001F6EDA"/>
    <w:rsid w:val="002052AF"/>
    <w:rsid w:val="002247BE"/>
    <w:rsid w:val="00231707"/>
    <w:rsid w:val="00243369"/>
    <w:rsid w:val="00265333"/>
    <w:rsid w:val="00273E57"/>
    <w:rsid w:val="0027600A"/>
    <w:rsid w:val="0029745B"/>
    <w:rsid w:val="002C1D87"/>
    <w:rsid w:val="002C6DAE"/>
    <w:rsid w:val="002E0181"/>
    <w:rsid w:val="003031D2"/>
    <w:rsid w:val="00316828"/>
    <w:rsid w:val="0032126A"/>
    <w:rsid w:val="00321467"/>
    <w:rsid w:val="00363046"/>
    <w:rsid w:val="003950B9"/>
    <w:rsid w:val="003B7451"/>
    <w:rsid w:val="004108AA"/>
    <w:rsid w:val="004128A9"/>
    <w:rsid w:val="004320C6"/>
    <w:rsid w:val="00450D31"/>
    <w:rsid w:val="004928AC"/>
    <w:rsid w:val="00496DB6"/>
    <w:rsid w:val="004A0D13"/>
    <w:rsid w:val="004A570A"/>
    <w:rsid w:val="004C3BA9"/>
    <w:rsid w:val="004E4749"/>
    <w:rsid w:val="004F3DA0"/>
    <w:rsid w:val="00506CED"/>
    <w:rsid w:val="00506EC6"/>
    <w:rsid w:val="00510547"/>
    <w:rsid w:val="00514AA4"/>
    <w:rsid w:val="005344E4"/>
    <w:rsid w:val="00537A90"/>
    <w:rsid w:val="00556A88"/>
    <w:rsid w:val="00562555"/>
    <w:rsid w:val="00570D69"/>
    <w:rsid w:val="00591DC1"/>
    <w:rsid w:val="005A0DBC"/>
    <w:rsid w:val="005A4AB2"/>
    <w:rsid w:val="005D0BC5"/>
    <w:rsid w:val="005D37BE"/>
    <w:rsid w:val="005E0755"/>
    <w:rsid w:val="00601629"/>
    <w:rsid w:val="00632A28"/>
    <w:rsid w:val="00657827"/>
    <w:rsid w:val="006651CD"/>
    <w:rsid w:val="006701E3"/>
    <w:rsid w:val="0068165A"/>
    <w:rsid w:val="006A2EE5"/>
    <w:rsid w:val="006D7140"/>
    <w:rsid w:val="006E3F79"/>
    <w:rsid w:val="006E58DF"/>
    <w:rsid w:val="006F3316"/>
    <w:rsid w:val="00700DDA"/>
    <w:rsid w:val="007135E8"/>
    <w:rsid w:val="00713A39"/>
    <w:rsid w:val="00742AEA"/>
    <w:rsid w:val="0075658B"/>
    <w:rsid w:val="00756780"/>
    <w:rsid w:val="00792892"/>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B5C3E"/>
    <w:rsid w:val="009D00B2"/>
    <w:rsid w:val="00A005A9"/>
    <w:rsid w:val="00A26D1B"/>
    <w:rsid w:val="00A32965"/>
    <w:rsid w:val="00A63C7F"/>
    <w:rsid w:val="00A64545"/>
    <w:rsid w:val="00A72EA7"/>
    <w:rsid w:val="00A86E9D"/>
    <w:rsid w:val="00A86F1A"/>
    <w:rsid w:val="00AA77C8"/>
    <w:rsid w:val="00AB6AD0"/>
    <w:rsid w:val="00AD2719"/>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E16A6"/>
    <w:rsid w:val="00CE2669"/>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30C7C"/>
    <w:rsid w:val="00F50D70"/>
    <w:rsid w:val="00F64650"/>
    <w:rsid w:val="00FA7FFA"/>
    <w:rsid w:val="00FE0826"/>
    <w:rsid w:val="00FF5DB0"/>
    <w:rsid w:val="00FF6EFE"/>
    <w:rsid w:val="010E5BD1"/>
    <w:rsid w:val="095D5F58"/>
    <w:rsid w:val="0C1420B7"/>
    <w:rsid w:val="282A37D0"/>
    <w:rsid w:val="59B5463E"/>
    <w:rsid w:val="7E2C24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qFormat/>
    <w:uiPriority w:val="0"/>
    <w:rPr>
      <w:rFonts w:hint="eastAsia" w:ascii="宋体" w:hAnsi="宋体" w:eastAsia="宋体" w:cs="宋体"/>
      <w:color w:val="000000"/>
      <w:sz w:val="20"/>
      <w:szCs w:val="20"/>
      <w:u w:val="none"/>
    </w:rPr>
  </w:style>
  <w:style w:type="character" w:customStyle="1" w:styleId="26">
    <w:name w:val="font21"/>
    <w:basedOn w:val="14"/>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15</Pages>
  <Words>1684</Words>
  <Characters>9601</Characters>
  <Lines>80</Lines>
  <Paragraphs>22</Paragraphs>
  <TotalTime>0</TotalTime>
  <ScaleCrop>false</ScaleCrop>
  <LinksUpToDate>false</LinksUpToDate>
  <CharactersWithSpaces>11263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2021-04-15T09:26:13Z</dcterms:modified>
  <cp:revision>101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