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炼铁部3#高炉炉前除尘扩容改造土建工程、炼铁部供料3#转运站除尘扩容改造土建工程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30</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5</w:t>
      </w:r>
      <w:r>
        <w:rPr>
          <w:rFonts w:ascii="宋体" w:hAnsi="宋体" w:eastAsia="宋体" w:cs="宋体"/>
          <w:bCs/>
          <w:color w:val="2A2A2A"/>
          <w:kern w:val="0"/>
          <w:sz w:val="28"/>
          <w:szCs w:val="28"/>
        </w:rPr>
        <w:t>00</w:t>
      </w:r>
      <w:r>
        <w:rPr>
          <w:rFonts w:hint="eastAsia" w:ascii="宋体" w:hAnsi="宋体" w:eastAsia="宋体" w:cs="宋体"/>
          <w:bCs/>
          <w:color w:val="2A2A2A"/>
          <w:kern w:val="0"/>
          <w:sz w:val="28"/>
          <w:szCs w:val="28"/>
          <w:lang w:val="en-US" w:eastAsia="zh-CN"/>
        </w:rPr>
        <w:t>4LTBCCKRTJGC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cs="宋体" w:eastAsiaTheme="minorEastAsia"/>
          <w:bCs/>
          <w:color w:val="2A2A2A"/>
          <w:kern w:val="0"/>
          <w:sz w:val="24"/>
          <w:szCs w:val="24"/>
          <w:lang w:val="en-US"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炼铁部3#高炉炉前除尘扩容改造土建工程、炼铁部供料3#转运站除尘扩容改造土建工程</w:t>
      </w:r>
      <w:r>
        <w:rPr>
          <w:rFonts w:hint="eastAsia"/>
          <w:color w:val="FF0000"/>
          <w:sz w:val="24"/>
          <w:szCs w:val="24"/>
          <w:lang w:eastAsia="zh-CN"/>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int="eastAsia" w:hAnsi="宋体"/>
          <w:sz w:val="24"/>
          <w:szCs w:val="24"/>
        </w:rPr>
      </w:pPr>
      <w:r>
        <w:rPr>
          <w:rFonts w:hint="eastAsia" w:ascii="宋体" w:hAnsi="宋体"/>
          <w:bCs/>
          <w:sz w:val="24"/>
          <w:szCs w:val="24"/>
        </w:rPr>
        <w:t>投标人须具有国家建设部门颁发的</w:t>
      </w:r>
      <w:r>
        <w:rPr>
          <w:rFonts w:hint="eastAsia" w:hAnsi="宋体"/>
          <w:color w:val="FF0000"/>
          <w:sz w:val="24"/>
          <w:szCs w:val="24"/>
          <w:lang w:val="en-US" w:eastAsia="zh-CN"/>
        </w:rPr>
        <w:t>建筑</w:t>
      </w:r>
      <w:r>
        <w:rPr>
          <w:rFonts w:hint="eastAsia" w:hAnsi="宋体"/>
          <w:color w:val="FF0000"/>
          <w:sz w:val="24"/>
          <w:szCs w:val="24"/>
        </w:rPr>
        <w:t>工程施工总承包叁级及以上资质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建筑工程类</w:t>
      </w:r>
      <w:r>
        <w:rPr>
          <w:rFonts w:hint="eastAsia" w:hAnsi="宋体"/>
          <w:color w:val="FF0000"/>
          <w:sz w:val="24"/>
          <w:szCs w:val="24"/>
        </w:rPr>
        <w:t>二级建造师</w:t>
      </w:r>
      <w:r>
        <w:rPr>
          <w:rFonts w:hint="eastAsia" w:hAnsi="宋体"/>
          <w:sz w:val="24"/>
          <w:szCs w:val="24"/>
        </w:rPr>
        <w:t>注册人员。</w:t>
      </w:r>
    </w:p>
    <w:p>
      <w:pPr>
        <w:pStyle w:val="2"/>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rPr>
        <w:t>30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5</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14</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rPr>
        <w:t>09：30，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炼铁部3#高炉炉前除尘扩容改造土建工程、炼铁部供料3#转运站除尘扩容改造土建工程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eastAsia"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sz w:val="24"/>
          <w:lang w:val="en-US" w:eastAsia="zh-CN"/>
        </w:rPr>
        <w:t>王  恺</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18155336813</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 xml:space="preserve">    </w:t>
      </w:r>
      <w:r>
        <w:rPr>
          <w:rFonts w:hint="eastAsia" w:ascii="宋体" w:hAnsi="宋体"/>
          <w:sz w:val="24"/>
          <w:lang w:val="en-US" w:eastAsia="zh-CN"/>
        </w:rPr>
        <w:t>孙  言        17756527646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炼铁部3#高炉炉前除尘扩容改造土建工程、炼铁部供料3#转运站除尘扩容改造土建工程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炼铁部3#高炉炉前除尘扩容改造土建工程、炼铁部供料3#转运站除尘扩容改造土建工程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w:t>
      </w:r>
      <w:r>
        <w:rPr>
          <w:rFonts w:hint="eastAsia" w:ascii="宋体" w:hAnsi="宋体" w:cs="宋体"/>
          <w:bCs/>
          <w:color w:val="FF0000"/>
          <w:kern w:val="36"/>
          <w:u w:val="single"/>
          <w:lang w:val="en-US" w:eastAsia="zh-CN"/>
        </w:rPr>
        <w:t>贰</w:t>
      </w:r>
      <w:bookmarkStart w:id="3" w:name="_GoBack"/>
      <w:bookmarkEnd w:id="3"/>
      <w:r>
        <w:rPr>
          <w:rFonts w:hint="eastAsia" w:ascii="宋体" w:hAnsi="宋体" w:cs="宋体"/>
          <w:bCs/>
          <w:color w:val="FF0000"/>
          <w:kern w:val="36"/>
          <w:u w:val="single"/>
        </w:rPr>
        <w:t>万元整（电汇，基本账户汇款）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5</w:t>
      </w:r>
      <w:r>
        <w:rPr>
          <w:rFonts w:hint="eastAsia" w:ascii="宋体" w:hAnsi="宋体" w:cs="宋体"/>
          <w:bCs/>
          <w:color w:val="FF0000"/>
          <w:kern w:val="36"/>
        </w:rPr>
        <w:t>月</w:t>
      </w:r>
      <w:r>
        <w:rPr>
          <w:rFonts w:hint="eastAsia" w:ascii="宋体" w:hAnsi="宋体" w:cs="宋体"/>
          <w:bCs/>
          <w:color w:val="FF0000"/>
          <w:kern w:val="36"/>
          <w:u w:val="single"/>
          <w:lang w:val="en-US" w:eastAsia="zh-CN"/>
        </w:rPr>
        <w:t>12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容详见发包人确认下发的图纸</w:t>
      </w:r>
      <w:r>
        <w:rPr>
          <w:rFonts w:hint="eastAsia"/>
          <w:szCs w:val="21"/>
          <w:lang w:val="en-US" w:eastAsia="zh-CN"/>
        </w:rPr>
        <w:t>和投标方现场踏勘</w:t>
      </w:r>
      <w:r>
        <w:rPr>
          <w:rFonts w:hint="eastAsia"/>
          <w:szCs w:val="21"/>
        </w:rPr>
        <w:t>。</w:t>
      </w:r>
    </w:p>
    <w:p>
      <w:pPr>
        <w:spacing w:line="240" w:lineRule="auto"/>
        <w:rPr>
          <w:rFonts w:ascii="宋体" w:hAnsi="宋体"/>
          <w:color w:val="auto"/>
          <w:sz w:val="24"/>
          <w:szCs w:val="22"/>
        </w:rPr>
      </w:pPr>
      <w:r>
        <w:rPr>
          <w:rFonts w:hint="eastAsia" w:ascii="宋体" w:hAnsi="宋体"/>
        </w:rPr>
        <w:t>2</w:t>
      </w:r>
      <w:r>
        <w:rPr>
          <w:rFonts w:ascii="宋体" w:hAnsi="宋体"/>
        </w:rPr>
        <w:t>.</w:t>
      </w:r>
      <w:r>
        <w:rPr>
          <w:rFonts w:hint="eastAsia" w:ascii="宋体" w:hAnsi="宋体"/>
        </w:rPr>
        <w:t xml:space="preserve"> </w:t>
      </w:r>
      <w:r>
        <w:rPr>
          <w:rFonts w:hint="eastAsia" w:ascii="宋体" w:hAnsi="宋体"/>
          <w:lang w:val="en-US" w:eastAsia="zh-CN"/>
        </w:rPr>
        <w:t xml:space="preserve"> </w:t>
      </w:r>
      <w:r>
        <w:rPr>
          <w:rFonts w:hint="eastAsia"/>
          <w:szCs w:val="21"/>
        </w:rPr>
        <w:t xml:space="preserve">工程概况和估算工作量： </w:t>
      </w:r>
    </w:p>
    <w:p>
      <w:pPr>
        <w:spacing w:line="240" w:lineRule="auto"/>
        <w:ind w:firstLine="210" w:firstLineChars="100"/>
        <w:rPr>
          <w:rFonts w:hint="eastAsia"/>
          <w:szCs w:val="21"/>
        </w:rPr>
      </w:pPr>
      <w:r>
        <w:rPr>
          <w:rFonts w:hint="eastAsia"/>
          <w:szCs w:val="21"/>
          <w:lang w:val="en-US" w:eastAsia="zh-CN"/>
        </w:rPr>
        <w:t>2.1炼铁部3#高炉炉前除尘扩容改造土建工程</w:t>
      </w:r>
      <w:r>
        <w:rPr>
          <w:rFonts w:hint="eastAsia"/>
          <w:szCs w:val="21"/>
        </w:rPr>
        <w:t>，</w:t>
      </w:r>
      <w:r>
        <w:rPr>
          <w:rFonts w:hint="eastAsia"/>
          <w:szCs w:val="21"/>
          <w:lang w:eastAsia="zh-CN"/>
        </w:rPr>
        <w:t>包含</w:t>
      </w:r>
      <w:r>
        <w:rPr>
          <w:rFonts w:hint="eastAsia"/>
          <w:szCs w:val="21"/>
          <w:lang w:val="en-US" w:eastAsia="zh-CN"/>
        </w:rPr>
        <w:t>除尘器基础、支架基础、风机基础、烟囱基础、地坪破除及恢复</w:t>
      </w:r>
      <w:r>
        <w:rPr>
          <w:rFonts w:hint="eastAsia"/>
          <w:szCs w:val="21"/>
          <w:lang w:eastAsia="zh-CN"/>
        </w:rPr>
        <w:t>等施工。主要工作量：</w:t>
      </w:r>
      <w:r>
        <w:rPr>
          <w:rFonts w:hint="eastAsia"/>
          <w:szCs w:val="21"/>
          <w:lang w:val="en-US" w:eastAsia="zh-CN"/>
        </w:rPr>
        <w:t>土方开挖约2300m3，土方回填约1800m3，砼浇筑约500m3，钢筋制安约65t等。</w:t>
      </w:r>
    </w:p>
    <w:p>
      <w:pPr>
        <w:spacing w:line="240" w:lineRule="auto"/>
        <w:ind w:firstLine="210" w:firstLineChars="100"/>
        <w:rPr>
          <w:rFonts w:ascii="宋体" w:hAnsi="宋体"/>
        </w:rPr>
      </w:pPr>
      <w:r>
        <w:rPr>
          <w:rFonts w:hint="eastAsia"/>
          <w:szCs w:val="21"/>
          <w:lang w:val="en-US" w:eastAsia="zh-CN"/>
        </w:rPr>
        <w:t>2.2炼铁部供料3#转运站除尘扩容改造土建工程</w:t>
      </w:r>
      <w:r>
        <w:rPr>
          <w:rFonts w:hint="eastAsia" w:ascii="宋体" w:hAnsi="宋体"/>
          <w:lang w:val="en-US" w:eastAsia="zh-CN"/>
        </w:rPr>
        <w:t>，包含除尘器基础、支架基础、风机基础、烟囱基础、配电室、地坪破除及恢复等施工。主要工</w:t>
      </w:r>
      <w:r>
        <w:rPr>
          <w:rFonts w:hint="eastAsia"/>
          <w:szCs w:val="21"/>
          <w:lang w:val="en-US" w:eastAsia="zh-CN"/>
        </w:rPr>
        <w:t>作量：土方开挖约900m3，土方回填约700m3，砼浇筑约170m3，钢筋制安约10t等。</w:t>
      </w:r>
    </w:p>
    <w:p>
      <w:pPr>
        <w:spacing w:line="360" w:lineRule="exact"/>
        <w:rPr>
          <w:rFonts w:ascii="宋体" w:hAnsi="宋体"/>
        </w:rPr>
      </w:pPr>
      <w:r>
        <w:rPr>
          <w:rFonts w:hint="eastAsia" w:ascii="宋体" w:hAnsi="宋体"/>
        </w:rPr>
        <w:t>3.  投标有效期:90天。</w:t>
      </w:r>
    </w:p>
    <w:p>
      <w:pPr>
        <w:spacing w:line="360" w:lineRule="exact"/>
        <w:rPr>
          <w:rFonts w:ascii="宋体" w:hAnsi="宋体"/>
        </w:rPr>
      </w:pPr>
      <w:r>
        <w:rPr>
          <w:rFonts w:hint="eastAsia" w:ascii="宋体" w:hAnsi="宋体"/>
        </w:rPr>
        <w:t>4.  本次统一招标，按项目分别签订合同。</w:t>
      </w:r>
    </w:p>
    <w:p>
      <w:pPr>
        <w:spacing w:beforeLines="50" w:afterLines="50" w:line="360" w:lineRule="exact"/>
        <w:rPr>
          <w:rFonts w:hint="eastAsia" w:ascii="宋体" w:hAnsi="宋体"/>
          <w:b/>
        </w:rPr>
      </w:pPr>
      <w:r>
        <w:rPr>
          <w:rFonts w:hint="eastAsia" w:ascii="宋体" w:hAnsi="宋体"/>
          <w:b/>
        </w:rPr>
        <w:t>四、工期：</w:t>
      </w:r>
    </w:p>
    <w:p>
      <w:pPr>
        <w:spacing w:line="360" w:lineRule="exact"/>
        <w:rPr>
          <w:rFonts w:hint="eastAsia" w:ascii="宋体" w:hAnsi="宋体"/>
          <w:lang w:val="en-US" w:eastAsia="zh-CN"/>
        </w:rPr>
      </w:pPr>
      <w:r>
        <w:rPr>
          <w:rFonts w:hint="eastAsia" w:ascii="宋体" w:hAnsi="宋体"/>
          <w:lang w:val="en-US" w:eastAsia="zh-CN"/>
        </w:rPr>
        <w:t>1、炼铁部3#高炉炉前除尘扩容改造土建工程</w:t>
      </w:r>
    </w:p>
    <w:p>
      <w:pPr>
        <w:spacing w:line="360" w:lineRule="exact"/>
        <w:rPr>
          <w:rFonts w:hint="eastAsia" w:ascii="宋体" w:hAnsi="宋体"/>
          <w:lang w:val="en-US" w:eastAsia="zh-CN"/>
        </w:rPr>
      </w:pPr>
      <w:r>
        <w:rPr>
          <w:rFonts w:hint="eastAsia" w:ascii="宋体" w:hAnsi="宋体" w:cs="宋体"/>
          <w:color w:val="auto"/>
          <w:sz w:val="24"/>
          <w:szCs w:val="24"/>
        </w:rPr>
        <w:t xml:space="preserve">    </w:t>
      </w:r>
      <w:r>
        <w:rPr>
          <w:rFonts w:hint="eastAsia" w:ascii="宋体" w:hAnsi="宋体"/>
          <w:lang w:val="en-US" w:eastAsia="zh-CN"/>
        </w:rPr>
        <w:t xml:space="preserve">开工日期： 2021-5-16  （暂定）                                          </w:t>
      </w:r>
    </w:p>
    <w:p>
      <w:pPr>
        <w:spacing w:line="360" w:lineRule="exact"/>
        <w:rPr>
          <w:rFonts w:hint="eastAsia" w:ascii="宋体" w:hAnsi="宋体"/>
          <w:lang w:val="en-US" w:eastAsia="zh-CN"/>
        </w:rPr>
      </w:pPr>
      <w:r>
        <w:rPr>
          <w:rFonts w:hint="eastAsia" w:ascii="宋体" w:hAnsi="宋体"/>
          <w:lang w:val="en-US" w:eastAsia="zh-CN"/>
        </w:rPr>
        <w:t xml:space="preserve">    竣工日期： 2021-7-15                                                </w:t>
      </w:r>
    </w:p>
    <w:p>
      <w:pPr>
        <w:spacing w:line="360" w:lineRule="exact"/>
        <w:ind w:firstLine="420" w:firstLineChars="200"/>
        <w:rPr>
          <w:rFonts w:hint="eastAsia" w:ascii="宋体" w:hAnsi="宋体"/>
          <w:lang w:val="en-US" w:eastAsia="zh-CN"/>
        </w:rPr>
      </w:pPr>
      <w:r>
        <w:rPr>
          <w:rFonts w:hint="eastAsia" w:ascii="宋体" w:hAnsi="宋体"/>
          <w:lang w:val="en-US" w:eastAsia="zh-CN"/>
        </w:rPr>
        <w:t>合同工期总日历天数 60 天。</w:t>
      </w:r>
    </w:p>
    <w:p>
      <w:pPr>
        <w:spacing w:line="360" w:lineRule="exact"/>
        <w:rPr>
          <w:rFonts w:hint="eastAsia" w:ascii="宋体" w:hAnsi="宋体"/>
          <w:lang w:val="en-US" w:eastAsia="zh-CN"/>
        </w:rPr>
      </w:pPr>
      <w:r>
        <w:rPr>
          <w:rFonts w:hint="eastAsia" w:ascii="宋体" w:hAnsi="宋体"/>
          <w:lang w:val="en-US" w:eastAsia="zh-CN"/>
        </w:rPr>
        <w:t>2、炼铁部供料3#转运站除尘扩容改造土建工程</w:t>
      </w:r>
    </w:p>
    <w:p>
      <w:pPr>
        <w:spacing w:line="360" w:lineRule="exact"/>
        <w:ind w:firstLine="480" w:firstLineChars="200"/>
        <w:rPr>
          <w:rFonts w:hint="eastAsia" w:ascii="宋体" w:hAnsi="宋体"/>
          <w:lang w:val="en-US" w:eastAsia="zh-CN"/>
        </w:rPr>
      </w:pPr>
      <w:r>
        <w:rPr>
          <w:rFonts w:hint="eastAsia" w:ascii="宋体" w:hAnsi="宋体" w:cs="宋体"/>
          <w:color w:val="auto"/>
          <w:sz w:val="24"/>
          <w:szCs w:val="24"/>
        </w:rPr>
        <w:t xml:space="preserve"> </w:t>
      </w:r>
      <w:r>
        <w:rPr>
          <w:rFonts w:hint="eastAsia" w:ascii="宋体" w:hAnsi="宋体"/>
          <w:lang w:val="en-US" w:eastAsia="zh-CN"/>
        </w:rPr>
        <w:t xml:space="preserve">开工日期： 2021-5-16    （暂定）                                          </w:t>
      </w:r>
    </w:p>
    <w:p>
      <w:pPr>
        <w:spacing w:line="360" w:lineRule="exact"/>
        <w:rPr>
          <w:rFonts w:hint="eastAsia" w:ascii="宋体" w:hAnsi="宋体"/>
          <w:lang w:val="en-US" w:eastAsia="zh-CN"/>
        </w:rPr>
      </w:pPr>
      <w:r>
        <w:rPr>
          <w:rFonts w:hint="eastAsia" w:ascii="宋体" w:hAnsi="宋体"/>
          <w:lang w:val="en-US" w:eastAsia="zh-CN"/>
        </w:rPr>
        <w:t xml:space="preserve">      竣工日期： 2021-6-25                                                  </w:t>
      </w:r>
    </w:p>
    <w:p>
      <w:pPr>
        <w:spacing w:line="360" w:lineRule="exact"/>
        <w:ind w:firstLine="630" w:firstLineChars="300"/>
        <w:rPr>
          <w:rFonts w:hint="eastAsia" w:ascii="宋体" w:hAnsi="宋体"/>
          <w:lang w:val="en-US" w:eastAsia="zh-CN"/>
        </w:rPr>
      </w:pPr>
      <w:r>
        <w:rPr>
          <w:rFonts w:hint="eastAsia" w:ascii="宋体" w:hAnsi="宋体"/>
          <w:lang w:val="en-US" w:eastAsia="zh-CN"/>
        </w:rPr>
        <w:t>合同工期总日历天数 40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本工程预结算执行《建设工程预结算管理暂行办法》。</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该工程除钢筋由发包人提供，其他所有材料由承包人提供。</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单价包干部分钢材价格以2021年4月芜湖市市场信息价为基准，芜湖市市场信息价没有的以合肥市市场信息价为基准，结算时若施工期间材料波动超过±5%据实调整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工程内容按合同约定执行，开具增值税发票执行9%税率。</w:t>
      </w:r>
    </w:p>
    <w:p>
      <w:pPr>
        <w:numPr>
          <w:ilvl w:val="0"/>
          <w:numId w:val="3"/>
        </w:numPr>
        <w:spacing w:before="156" w:beforeLines="50" w:after="156" w:afterLines="50"/>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发包人在指定位置提供施工电源及水源，之外部分承包人自行承担，现场施工水电费结算时按合同总价的７‰扣除或装表据实扣除。</w:t>
      </w:r>
    </w:p>
    <w:p>
      <w:pPr>
        <w:snapToGrid w:val="0"/>
        <w:spacing w:line="360" w:lineRule="auto"/>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七、本工程评标办法见下表，投标单位需对表内要求内容在投标书中如实反馈。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3"/>
        <w:gridCol w:w="968"/>
        <w:gridCol w:w="1210"/>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评分标准</w:t>
            </w:r>
          </w:p>
        </w:tc>
        <w:tc>
          <w:tcPr>
            <w:tcW w:w="580"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标价（40分）</w:t>
            </w:r>
          </w:p>
        </w:tc>
        <w:tc>
          <w:tcPr>
            <w:tcW w:w="4130" w:type="pct"/>
            <w:gridSpan w:val="3"/>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施工现场概况：2分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施工方案及技术措施：共20分</w:t>
            </w: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施工存在难度（4分）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采取的措施（4分）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人力投入计划（4分）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材料、机械投入计划（4分）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725"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1454"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工期计划（4分）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现场安全隐患及防范措施，安全措施：5分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现场质量保证措施及文明施工措施： 3分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restar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企业信誉  （30分）</w:t>
            </w: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企业资金状况及信用等级： 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项目经理资质及业绩共4分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二级建造师证书1分，一级建造师证书2分；对应业绩每项1分，最高得2分。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企业类似项目业绩共12分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履约能力综合评估（财务信誉、工程履约信誉、结算信誉）共计6分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580" w:type="pct"/>
            <w:vMerge w:val="continue"/>
            <w:vAlign w:val="center"/>
          </w:tcPr>
          <w:p>
            <w:pPr>
              <w:rPr>
                <w:rFonts w:hint="eastAsia" w:asciiTheme="minorHAnsi" w:hAnsiTheme="minorHAnsi" w:eastAsiaTheme="minorEastAsia" w:cstheme="minorBidi"/>
                <w:kern w:val="36"/>
                <w:sz w:val="21"/>
                <w:szCs w:val="22"/>
                <w:lang w:val="en-US" w:eastAsia="zh-CN" w:bidi="ar-SA"/>
              </w:rPr>
            </w:pPr>
          </w:p>
        </w:tc>
        <w:tc>
          <w:tcPr>
            <w:tcW w:w="2179" w:type="pct"/>
            <w:gridSpan w:val="2"/>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体系认证共计4分</w:t>
            </w:r>
          </w:p>
        </w:tc>
        <w:tc>
          <w:tcPr>
            <w:tcW w:w="1951" w:type="pct"/>
            <w:vAlign w:val="center"/>
          </w:tcPr>
          <w:p>
            <w:pPr>
              <w:rPr>
                <w:rFonts w:hint="eastAsia" w:asciiTheme="minorHAnsi" w:hAnsiTheme="minorHAnsi" w:eastAsiaTheme="minorEastAsia" w:cstheme="minorBidi"/>
                <w:kern w:val="36"/>
                <w:sz w:val="21"/>
                <w:szCs w:val="22"/>
                <w:lang w:val="en-US" w:eastAsia="zh-CN" w:bidi="ar-SA"/>
              </w:rPr>
            </w:pPr>
            <w:r>
              <w:rPr>
                <w:rFonts w:hint="eastAsia" w:asciiTheme="minorHAnsi" w:hAnsiTheme="minorHAnsi" w:eastAsiaTheme="minorEastAsia" w:cstheme="minorBidi"/>
                <w:kern w:val="36"/>
                <w:sz w:val="21"/>
                <w:szCs w:val="22"/>
                <w:lang w:val="en-US" w:eastAsia="zh-CN" w:bidi="ar-SA"/>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ind w:firstLine="210" w:firstLineChars="100"/>
        <w:rPr>
          <w:rFonts w:ascii="宋体" w:hAnsi="宋体" w:cs="宋体"/>
        </w:rPr>
      </w:pPr>
      <w:r>
        <w:rPr>
          <w:rFonts w:hint="eastAsia" w:ascii="宋体" w:hAnsi="宋体" w:cs="宋体"/>
        </w:rPr>
        <w:t>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w:t>
      </w:r>
      <w:r>
        <w:rPr>
          <w:rFonts w:hint="eastAsia" w:ascii="宋体" w:hAnsi="宋体"/>
          <w:bCs/>
          <w:lang w:val="en-US" w:eastAsia="zh-CN"/>
        </w:rPr>
        <w:t>详见报价单，超过综合单价拦标价及低于优惠率拦标价的做废标处理</w:t>
      </w:r>
      <w:r>
        <w:rPr>
          <w:rFonts w:hint="eastAsia"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cs="Times New Roman"/>
          <w:b/>
          <w:bCs/>
          <w:sz w:val="36"/>
          <w:szCs w:val="36"/>
        </w:rPr>
        <w:t xml:space="preserve"> </w:t>
      </w:r>
      <w:r>
        <w:rPr>
          <w:rFonts w:hint="eastAsia" w:ascii="宋体" w:hAnsi="宋体"/>
          <w:b/>
          <w:bCs/>
          <w:sz w:val="36"/>
          <w:szCs w:val="36"/>
          <w:lang w:val="en-US" w:eastAsia="zh-CN"/>
        </w:rPr>
        <w:t>炼铁部3#高炉炉前除尘扩容改造土建工程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543" w:type="pct"/>
        <w:tblInd w:w="0" w:type="dxa"/>
        <w:tblLayout w:type="fixed"/>
        <w:tblCellMar>
          <w:top w:w="0" w:type="dxa"/>
          <w:left w:w="108" w:type="dxa"/>
          <w:bottom w:w="0" w:type="dxa"/>
          <w:right w:w="108" w:type="dxa"/>
        </w:tblCellMar>
      </w:tblPr>
      <w:tblGrid>
        <w:gridCol w:w="518"/>
        <w:gridCol w:w="148"/>
        <w:gridCol w:w="1174"/>
        <w:gridCol w:w="13"/>
        <w:gridCol w:w="552"/>
        <w:gridCol w:w="747"/>
        <w:gridCol w:w="1071"/>
        <w:gridCol w:w="32"/>
        <w:gridCol w:w="1287"/>
        <w:gridCol w:w="15"/>
        <w:gridCol w:w="5279"/>
      </w:tblGrid>
      <w:tr>
        <w:tblPrEx>
          <w:tblCellMar>
            <w:top w:w="0" w:type="dxa"/>
            <w:left w:w="108" w:type="dxa"/>
            <w:bottom w:w="0" w:type="dxa"/>
            <w:right w:w="108" w:type="dxa"/>
          </w:tblCellMar>
        </w:tblPrEx>
        <w:trPr>
          <w:trHeight w:val="616" w:hRule="atLeast"/>
        </w:trPr>
        <w:tc>
          <w:tcPr>
            <w:tcW w:w="30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47"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5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4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49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43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4"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673"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1</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土方开挖</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2300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30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68"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2</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18"/>
                <w:szCs w:val="18"/>
                <w:u w:val="none"/>
                <w:lang w:val="en-US" w:eastAsia="zh-CN" w:bidi="ar"/>
              </w:rPr>
              <w:t>土方回填</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1800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cs="宋体"/>
                <w:i w:val="0"/>
                <w:iCs w:val="0"/>
                <w:color w:val="000000"/>
                <w:kern w:val="0"/>
                <w:sz w:val="21"/>
                <w:szCs w:val="21"/>
                <w:u w:val="none"/>
                <w:lang w:val="en-US" w:eastAsia="zh-CN" w:bidi="ar"/>
              </w:rPr>
              <w:t>30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包括装车、</w:t>
            </w:r>
            <w:r>
              <w:rPr>
                <w:rFonts w:hint="eastAsia" w:ascii="宋体" w:hAnsi="宋体" w:cs="宋体"/>
                <w:i w:val="0"/>
                <w:iCs w:val="0"/>
                <w:color w:val="000000"/>
                <w:kern w:val="0"/>
                <w:sz w:val="20"/>
                <w:szCs w:val="20"/>
                <w:u w:val="none"/>
                <w:lang w:val="en-US" w:eastAsia="zh-CN" w:bidi="ar"/>
              </w:rPr>
              <w:t>回运、</w:t>
            </w:r>
            <w:r>
              <w:rPr>
                <w:rFonts w:hint="eastAsia" w:ascii="宋体" w:hAnsi="宋体" w:eastAsia="宋体" w:cs="宋体"/>
                <w:i w:val="0"/>
                <w:iCs w:val="0"/>
                <w:color w:val="000000"/>
                <w:kern w:val="0"/>
                <w:sz w:val="20"/>
                <w:szCs w:val="20"/>
                <w:u w:val="none"/>
                <w:lang w:val="en-US" w:eastAsia="zh-CN" w:bidi="ar"/>
              </w:rPr>
              <w:t>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73"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3</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color w:val="000000"/>
                <w:kern w:val="0"/>
                <w:sz w:val="22"/>
                <w:szCs w:val="22"/>
                <w:lang w:val="en-US" w:eastAsia="zh-CN"/>
              </w:rPr>
            </w:pPr>
            <w:r>
              <w:rPr>
                <w:rFonts w:hint="eastAsia"/>
                <w:color w:val="000000"/>
                <w:kern w:val="0"/>
                <w:sz w:val="22"/>
                <w:szCs w:val="22"/>
                <w:lang w:val="en-US" w:eastAsia="zh-CN"/>
              </w:rPr>
              <w:t>凿除钢筋砼</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150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6"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68"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砂石垫层</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68"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color w:val="000000"/>
                <w:sz w:val="22"/>
                <w:szCs w:val="22"/>
                <w:lang w:val="en-US" w:eastAsia="zh-CN"/>
              </w:rPr>
            </w:pPr>
            <w:r>
              <w:rPr>
                <w:rFonts w:hint="eastAsia" w:ascii="宋体" w:hAnsi="宋体" w:cs="宋体"/>
                <w:i w:val="0"/>
                <w:color w:val="000000"/>
                <w:kern w:val="0"/>
                <w:sz w:val="20"/>
                <w:szCs w:val="20"/>
                <w:u w:val="none"/>
                <w:lang w:val="en-US" w:eastAsia="zh-CN" w:bidi="ar"/>
              </w:rPr>
              <w:t>5</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砼垫层</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68"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6</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砼浇筑</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cs="宋体"/>
                <w:i w:val="0"/>
                <w:iCs w:val="0"/>
                <w:color w:val="000000"/>
                <w:kern w:val="0"/>
                <w:sz w:val="24"/>
                <w:szCs w:val="24"/>
                <w:u w:val="none"/>
                <w:lang w:val="en-US" w:eastAsia="zh-CN" w:bidi="ar"/>
              </w:rPr>
              <w:t>500</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cs="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436"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68"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7</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钢筋制安</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eastAsia="宋体" w:cs="宋体"/>
                <w:i w:val="0"/>
                <w:color w:val="000000"/>
                <w:kern w:val="0"/>
                <w:sz w:val="24"/>
                <w:szCs w:val="24"/>
                <w:u w:val="none"/>
                <w:lang w:val="en-US" w:eastAsia="zh-CN" w:bidi="ar"/>
              </w:rPr>
              <w:t>t</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5</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FF0000"/>
                <w:kern w:val="0"/>
                <w:sz w:val="21"/>
                <w:szCs w:val="21"/>
                <w:u w:val="none"/>
                <w:lang w:val="en-US" w:eastAsia="zh-CN" w:bidi="ar"/>
              </w:rPr>
              <w:t>1</w:t>
            </w:r>
            <w:r>
              <w:rPr>
                <w:rFonts w:hint="eastAsia" w:ascii="宋体" w:hAnsi="宋体" w:cs="宋体"/>
                <w:i w:val="0"/>
                <w:iCs w:val="0"/>
                <w:color w:val="FF0000"/>
                <w:kern w:val="0"/>
                <w:sz w:val="21"/>
                <w:szCs w:val="21"/>
                <w:u w:val="none"/>
                <w:lang w:val="en-US" w:eastAsia="zh-CN" w:bidi="ar"/>
              </w:rPr>
              <w:t>5</w:t>
            </w:r>
            <w:r>
              <w:rPr>
                <w:rFonts w:hint="eastAsia" w:ascii="宋体" w:hAnsi="宋体" w:eastAsia="宋体" w:cs="宋体"/>
                <w:i w:val="0"/>
                <w:iCs w:val="0"/>
                <w:color w:val="FF0000"/>
                <w:kern w:val="0"/>
                <w:sz w:val="21"/>
                <w:szCs w:val="21"/>
                <w:u w:val="none"/>
                <w:lang w:val="en-US" w:eastAsia="zh-CN" w:bidi="ar"/>
              </w:rPr>
              <w:t>00</w:t>
            </w:r>
            <w:r>
              <w:rPr>
                <w:rFonts w:hint="eastAsia" w:ascii="宋体" w:hAnsi="宋体" w:cs="宋体"/>
                <w:color w:val="FF0000"/>
                <w:kern w:val="0"/>
                <w:sz w:val="21"/>
                <w:szCs w:val="21"/>
                <w:lang w:bidi="ar"/>
              </w:rPr>
              <w:t>元</w:t>
            </w:r>
            <w:r>
              <w:rPr>
                <w:rFonts w:hint="eastAsia" w:ascii="宋体" w:hAnsi="宋体" w:cs="宋体"/>
                <w:color w:val="000000"/>
                <w:kern w:val="0"/>
                <w:sz w:val="21"/>
                <w:szCs w:val="21"/>
                <w:lang w:bidi="ar"/>
              </w:rPr>
              <w:t>/</w:t>
            </w:r>
            <w:r>
              <w:rPr>
                <w:rFonts w:hint="eastAsia" w:ascii="宋体" w:hAnsi="宋体" w:cs="宋体"/>
                <w:i w:val="0"/>
                <w:color w:val="000000"/>
                <w:kern w:val="0"/>
                <w:sz w:val="21"/>
                <w:szCs w:val="21"/>
                <w:u w:val="none"/>
                <w:lang w:val="en-US" w:eastAsia="zh-CN" w:bidi="ar"/>
              </w:rPr>
              <w:t>t</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4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cs="宋体"/>
                <w:i w:val="0"/>
                <w:iCs w:val="0"/>
                <w:color w:val="FF0000"/>
                <w:kern w:val="0"/>
                <w:sz w:val="20"/>
                <w:szCs w:val="20"/>
                <w:u w:val="none"/>
                <w:lang w:val="en-US" w:eastAsia="zh-CN" w:bidi="ar"/>
              </w:rPr>
              <w:t>不含钢筋材料费。</w:t>
            </w: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768"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sz w:val="22"/>
                <w:szCs w:val="22"/>
                <w:lang w:val="en-US" w:eastAsia="zh-CN"/>
              </w:rPr>
            </w:pPr>
            <w:r>
              <w:rPr>
                <w:rFonts w:hint="eastAsia" w:ascii="宋体" w:hAnsi="宋体" w:cs="宋体"/>
                <w:i w:val="0"/>
                <w:color w:val="000000"/>
                <w:kern w:val="0"/>
                <w:sz w:val="20"/>
                <w:szCs w:val="20"/>
                <w:u w:val="none"/>
                <w:lang w:val="en-US" w:eastAsia="zh-CN" w:bidi="ar"/>
              </w:rPr>
              <w:t>8</w:t>
            </w:r>
          </w:p>
        </w:tc>
        <w:tc>
          <w:tcPr>
            <w:tcW w:w="54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kern w:val="0"/>
                <w:sz w:val="22"/>
                <w:szCs w:val="22"/>
              </w:rPr>
            </w:pPr>
            <w:r>
              <w:rPr>
                <w:rFonts w:hint="eastAsia" w:ascii="宋体" w:hAnsi="宋体" w:eastAsia="宋体" w:cs="宋体"/>
                <w:i w:val="0"/>
                <w:iCs w:val="0"/>
                <w:color w:val="000000"/>
                <w:kern w:val="0"/>
                <w:sz w:val="20"/>
                <w:szCs w:val="20"/>
                <w:u w:val="none"/>
                <w:lang w:val="en-US" w:eastAsia="zh-CN" w:bidi="ar"/>
              </w:rPr>
              <w:t>预埋件、螺栓</w:t>
            </w:r>
          </w:p>
        </w:tc>
        <w:tc>
          <w:tcPr>
            <w:tcW w:w="254"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kern w:val="0"/>
                <w:sz w:val="22"/>
                <w:szCs w:val="22"/>
                <w:lang w:val="en-US" w:eastAsia="zh-CN"/>
              </w:rPr>
            </w:pPr>
            <w:r>
              <w:rPr>
                <w:rFonts w:hint="eastAsia" w:ascii="宋体" w:hAnsi="宋体" w:eastAsia="宋体" w:cs="宋体"/>
                <w:i w:val="0"/>
                <w:color w:val="000000"/>
                <w:kern w:val="0"/>
                <w:sz w:val="24"/>
                <w:szCs w:val="24"/>
                <w:u w:val="none"/>
                <w:lang w:val="en-US" w:eastAsia="zh-CN" w:bidi="ar"/>
              </w:rPr>
              <w:t>t</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宋体"/>
                <w:sz w:val="21"/>
                <w:szCs w:val="21"/>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4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kern w:val="0"/>
                <w:sz w:val="24"/>
                <w:lang w:val="en-US"/>
              </w:rPr>
            </w:pPr>
            <w:r>
              <w:rPr>
                <w:rFonts w:hint="eastAsia" w:ascii="宋体" w:hAnsi="宋体" w:eastAsia="宋体" w:cs="宋体"/>
                <w:i w:val="0"/>
                <w:iCs w:val="0"/>
                <w:color w:val="000000"/>
                <w:kern w:val="0"/>
                <w:sz w:val="21"/>
                <w:szCs w:val="21"/>
                <w:u w:val="none"/>
                <w:lang w:val="en-US" w:eastAsia="zh-CN" w:bidi="ar"/>
              </w:rPr>
              <w:t>11000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436" w:type="pct"/>
            <w:tcBorders>
              <w:top w:val="single" w:color="auto" w:sz="4" w:space="0"/>
              <w:left w:val="single" w:color="auto" w:sz="4" w:space="0"/>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421" w:hRule="atLeast"/>
        </w:trPr>
        <w:tc>
          <w:tcPr>
            <w:tcW w:w="5000" w:type="pct"/>
            <w:gridSpan w:val="11"/>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57" w:hRule="atLeast"/>
        </w:trPr>
        <w:tc>
          <w:tcPr>
            <w:tcW w:w="30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547" w:type="pct"/>
            <w:gridSpan w:val="2"/>
            <w:tcBorders>
              <w:top w:val="nil"/>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599" w:type="pct"/>
            <w:gridSpan w:val="2"/>
            <w:tcBorders>
              <w:top w:val="nil"/>
              <w:left w:val="nil"/>
              <w:bottom w:val="nil"/>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暂列金额</w:t>
            </w:r>
            <w:r>
              <w:rPr>
                <w:rFonts w:hint="eastAsia" w:ascii="宋体" w:hAnsi="宋体" w:cs="宋体"/>
                <w:i w:val="0"/>
                <w:color w:val="FF0000"/>
                <w:kern w:val="0"/>
                <w:sz w:val="20"/>
                <w:szCs w:val="20"/>
                <w:u w:val="single"/>
                <w:lang w:val="en-US" w:eastAsia="zh-CN" w:bidi="ar"/>
              </w:rPr>
              <w:t>200</w:t>
            </w:r>
            <w:r>
              <w:rPr>
                <w:rFonts w:hint="eastAsia" w:ascii="宋体" w:hAnsi="宋体" w:eastAsia="宋体" w:cs="宋体"/>
                <w:i w:val="0"/>
                <w:color w:val="FF0000"/>
                <w:kern w:val="0"/>
                <w:sz w:val="20"/>
                <w:szCs w:val="20"/>
                <w:u w:val="single"/>
                <w:lang w:val="en-US" w:eastAsia="zh-CN" w:bidi="ar"/>
              </w:rPr>
              <w:t>000</w:t>
            </w:r>
            <w:r>
              <w:rPr>
                <w:rFonts w:hint="eastAsia" w:ascii="宋体" w:hAnsi="宋体" w:eastAsia="宋体" w:cs="宋体"/>
                <w:i w:val="0"/>
                <w:color w:val="FF0000"/>
                <w:kern w:val="0"/>
                <w:sz w:val="20"/>
                <w:szCs w:val="20"/>
                <w:u w:val="none"/>
                <w:lang w:val="en-US" w:eastAsia="zh-CN" w:bidi="ar"/>
              </w:rPr>
              <w:t>元</w:t>
            </w:r>
          </w:p>
        </w:tc>
        <w:tc>
          <w:tcPr>
            <w:tcW w:w="494" w:type="pct"/>
            <w:tcBorders>
              <w:top w:val="nil"/>
              <w:left w:val="nil"/>
              <w:bottom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15"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优惠 </w:t>
            </w:r>
            <w:r>
              <w:rPr>
                <w:rFonts w:hint="eastAsia" w:ascii="宋体" w:hAnsi="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2436"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r>
        <w:tblPrEx>
          <w:tblCellMar>
            <w:top w:w="0" w:type="dxa"/>
            <w:left w:w="108" w:type="dxa"/>
            <w:bottom w:w="0" w:type="dxa"/>
            <w:right w:w="108" w:type="dxa"/>
          </w:tblCellMar>
        </w:tblPrEx>
        <w:trPr>
          <w:trHeight w:val="714" w:hRule="atLeast"/>
        </w:trPr>
        <w:tc>
          <w:tcPr>
            <w:tcW w:w="5000" w:type="pct"/>
            <w:gridSpan w:val="11"/>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0"/>
              </w:rPr>
              <w:t>三、</w:t>
            </w:r>
            <w:r>
              <w:rPr>
                <w:rFonts w:hint="eastAsia" w:ascii="宋体" w:hAnsi="宋体" w:cs="宋体"/>
                <w:color w:val="000000"/>
                <w:kern w:val="0"/>
                <w:sz w:val="22"/>
              </w:rPr>
              <w:t>此价格只做参考且不参与评分</w:t>
            </w:r>
          </w:p>
        </w:tc>
      </w:tr>
      <w:tr>
        <w:tblPrEx>
          <w:tblCellMar>
            <w:top w:w="0" w:type="dxa"/>
            <w:left w:w="108" w:type="dxa"/>
            <w:bottom w:w="0" w:type="dxa"/>
            <w:right w:w="108" w:type="dxa"/>
          </w:tblCellMar>
        </w:tblPrEx>
        <w:trPr>
          <w:trHeight w:val="967" w:hRule="atLeast"/>
        </w:trPr>
        <w:tc>
          <w:tcPr>
            <w:tcW w:w="23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2"/>
              </w:rPr>
              <w:t>1</w:t>
            </w:r>
          </w:p>
        </w:tc>
        <w:tc>
          <w:tcPr>
            <w:tcW w:w="609"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2"/>
              </w:rPr>
              <w:t>基坑支护</w:t>
            </w:r>
          </w:p>
        </w:tc>
        <w:tc>
          <w:tcPr>
            <w:tcW w:w="1114" w:type="pct"/>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2"/>
              </w:rPr>
              <w:t>工程量：</w:t>
            </w:r>
            <w:r>
              <w:rPr>
                <w:rFonts w:hint="eastAsia" w:ascii="宋体" w:hAnsi="宋体" w:cs="宋体"/>
                <w:color w:val="000000"/>
                <w:kern w:val="0"/>
                <w:sz w:val="22"/>
                <w:u w:val="single"/>
              </w:rPr>
              <w:t>周长约</w:t>
            </w:r>
            <w:r>
              <w:rPr>
                <w:rFonts w:hint="eastAsia" w:ascii="宋体" w:hAnsi="宋体" w:cs="宋体"/>
                <w:color w:val="000000"/>
                <w:kern w:val="0"/>
                <w:sz w:val="22"/>
                <w:u w:val="single"/>
                <w:lang w:val="en-US" w:eastAsia="zh-CN"/>
              </w:rPr>
              <w:t>90</w:t>
            </w:r>
            <w:r>
              <w:rPr>
                <w:rFonts w:hint="eastAsia" w:ascii="宋体" w:hAnsi="宋体" w:cs="宋体"/>
                <w:color w:val="000000"/>
                <w:kern w:val="0"/>
                <w:sz w:val="22"/>
                <w:u w:val="single"/>
              </w:rPr>
              <w:t>m，深约</w:t>
            </w:r>
            <w:r>
              <w:rPr>
                <w:rFonts w:hint="eastAsia" w:ascii="宋体" w:hAnsi="宋体" w:cs="宋体"/>
                <w:color w:val="000000"/>
                <w:kern w:val="0"/>
                <w:sz w:val="22"/>
                <w:u w:val="single"/>
                <w:lang w:val="en-US" w:eastAsia="zh-CN"/>
              </w:rPr>
              <w:t>3.8</w:t>
            </w:r>
            <w:r>
              <w:rPr>
                <w:rFonts w:hint="eastAsia" w:ascii="宋体" w:hAnsi="宋体" w:cs="宋体"/>
                <w:color w:val="000000"/>
                <w:kern w:val="0"/>
                <w:sz w:val="22"/>
                <w:u w:val="single"/>
              </w:rPr>
              <w:t>m</w:t>
            </w:r>
          </w:p>
        </w:tc>
        <w:tc>
          <w:tcPr>
            <w:tcW w:w="593"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2"/>
              </w:rPr>
              <w:t>报价</w:t>
            </w:r>
            <w:r>
              <w:rPr>
                <w:rFonts w:hint="eastAsia" w:ascii="宋体" w:hAnsi="宋体" w:cs="宋体"/>
                <w:color w:val="000000"/>
                <w:kern w:val="0"/>
                <w:sz w:val="22"/>
                <w:u w:val="single"/>
              </w:rPr>
              <w:t xml:space="preserve">  </w:t>
            </w:r>
            <w:r>
              <w:rPr>
                <w:rFonts w:hint="eastAsia" w:ascii="宋体" w:hAnsi="宋体" w:cs="宋体"/>
                <w:color w:val="000000"/>
                <w:kern w:val="0"/>
                <w:sz w:val="22"/>
                <w:u w:val="single"/>
                <w:lang w:val="en-US" w:eastAsia="zh-CN"/>
              </w:rPr>
              <w:t xml:space="preserve"> </w:t>
            </w:r>
            <w:r>
              <w:rPr>
                <w:rFonts w:hint="eastAsia" w:ascii="宋体" w:hAnsi="宋体" w:cs="宋体"/>
                <w:color w:val="000000"/>
                <w:kern w:val="0"/>
                <w:sz w:val="22"/>
                <w:u w:val="single"/>
              </w:rPr>
              <w:t xml:space="preserve"> </w:t>
            </w:r>
            <w:r>
              <w:rPr>
                <w:rFonts w:hint="eastAsia" w:ascii="宋体" w:hAnsi="宋体" w:cs="宋体"/>
                <w:color w:val="000000"/>
                <w:kern w:val="0"/>
                <w:sz w:val="22"/>
                <w:u w:val="none"/>
              </w:rPr>
              <w:t>万元</w:t>
            </w:r>
          </w:p>
        </w:tc>
        <w:tc>
          <w:tcPr>
            <w:tcW w:w="2443"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kern w:val="0"/>
                <w:sz w:val="22"/>
              </w:rPr>
              <w:t>本工程中基坑</w:t>
            </w:r>
            <w:r>
              <w:rPr>
                <w:rFonts w:hint="eastAsia" w:ascii="宋体" w:hAnsi="宋体" w:cs="宋体"/>
                <w:color w:val="000000"/>
                <w:kern w:val="0"/>
                <w:sz w:val="22"/>
                <w:lang w:val="en-US" w:eastAsia="zh-CN"/>
              </w:rPr>
              <w:t>支护</w:t>
            </w:r>
            <w:r>
              <w:rPr>
                <w:rFonts w:hint="eastAsia" w:ascii="宋体" w:hAnsi="宋体" w:cs="宋体"/>
                <w:color w:val="000000"/>
                <w:kern w:val="0"/>
                <w:sz w:val="22"/>
              </w:rPr>
              <w:t>需要施工单位在施工前组织专业工程技术人员编制专项施工方案，并经</w:t>
            </w:r>
            <w:r>
              <w:rPr>
                <w:rFonts w:hint="eastAsia" w:ascii="宋体" w:hAnsi="宋体" w:cs="宋体"/>
                <w:color w:val="000000"/>
                <w:kern w:val="0"/>
                <w:sz w:val="22"/>
                <w:lang w:val="en-US" w:eastAsia="zh-CN"/>
              </w:rPr>
              <w:t>批准</w:t>
            </w:r>
            <w:r>
              <w:rPr>
                <w:rFonts w:hint="eastAsia" w:ascii="宋体" w:hAnsi="宋体" w:cs="宋体"/>
                <w:color w:val="000000"/>
                <w:kern w:val="0"/>
                <w:sz w:val="22"/>
              </w:rPr>
              <w:t>后方可施工。以招标方批准的专项施工方案为结算依据。</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widowControl/>
        <w:jc w:val="left"/>
        <w:rPr>
          <w:rFonts w:hint="default" w:eastAsia="宋体"/>
          <w:sz w:val="24"/>
          <w:szCs w:val="24"/>
          <w:lang w:val="en-US" w:eastAsia="zh-CN"/>
        </w:rPr>
      </w:pPr>
      <w:r>
        <w:rPr>
          <w:sz w:val="24"/>
          <w:szCs w:val="24"/>
        </w:rPr>
        <w:br w:type="page"/>
      </w:r>
    </w:p>
    <w:p>
      <w:pPr>
        <w:spacing w:line="300" w:lineRule="auto"/>
        <w:jc w:val="center"/>
        <w:rPr>
          <w:rFonts w:ascii="宋体" w:hAnsi="宋体"/>
          <w:b/>
          <w:bCs/>
          <w:sz w:val="36"/>
          <w:szCs w:val="36"/>
        </w:rPr>
      </w:pPr>
      <w:r>
        <w:rPr>
          <w:rFonts w:hint="eastAsia" w:ascii="宋体" w:hAnsi="宋体"/>
          <w:b/>
          <w:bCs/>
          <w:sz w:val="36"/>
          <w:szCs w:val="36"/>
          <w:lang w:val="en-US" w:eastAsia="zh-CN"/>
        </w:rPr>
        <w:t>炼铁部供料3#转运站除尘扩容改造土建工程</w:t>
      </w:r>
      <w:r>
        <w:rPr>
          <w:rFonts w:hint="eastAsia" w:ascii="宋体" w:hAnsi="宋体"/>
          <w:b/>
          <w:bCs/>
          <w:sz w:val="36"/>
          <w:szCs w:val="36"/>
        </w:rPr>
        <w:t>报价单</w:t>
      </w:r>
    </w:p>
    <w:tbl>
      <w:tblPr>
        <w:tblStyle w:val="13"/>
        <w:tblpPr w:leftFromText="180" w:rightFromText="180" w:vertAnchor="text" w:horzAnchor="page" w:tblpX="512" w:tblpY="345"/>
        <w:tblOverlap w:val="never"/>
        <w:tblW w:w="5554" w:type="pct"/>
        <w:tblInd w:w="0" w:type="dxa"/>
        <w:tblLayout w:type="fixed"/>
        <w:tblCellMar>
          <w:top w:w="0" w:type="dxa"/>
          <w:left w:w="108" w:type="dxa"/>
          <w:bottom w:w="0" w:type="dxa"/>
          <w:right w:w="108" w:type="dxa"/>
        </w:tblCellMar>
      </w:tblPr>
      <w:tblGrid>
        <w:gridCol w:w="498"/>
        <w:gridCol w:w="1275"/>
        <w:gridCol w:w="879"/>
        <w:gridCol w:w="776"/>
        <w:gridCol w:w="1245"/>
        <w:gridCol w:w="1320"/>
        <w:gridCol w:w="4864"/>
      </w:tblGrid>
      <w:tr>
        <w:tblPrEx>
          <w:tblCellMar>
            <w:top w:w="0" w:type="dxa"/>
            <w:left w:w="108" w:type="dxa"/>
            <w:bottom w:w="0" w:type="dxa"/>
            <w:right w:w="108" w:type="dxa"/>
          </w:tblCellMar>
        </w:tblPrEx>
        <w:trPr>
          <w:trHeight w:val="759" w:hRule="atLeast"/>
        </w:trPr>
        <w:tc>
          <w:tcPr>
            <w:tcW w:w="2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8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4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5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5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4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0"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sz w:val="24"/>
                <w:szCs w:val="24"/>
              </w:rPr>
            </w:pPr>
            <w:r>
              <w:rPr>
                <w:rFonts w:hint="eastAsia" w:ascii="宋体" w:hAnsi="宋体" w:cs="宋体"/>
                <w:color w:val="000000"/>
                <w:kern w:val="0"/>
                <w:sz w:val="24"/>
                <w:szCs w:val="24"/>
              </w:rPr>
              <w:t>一、单价</w:t>
            </w:r>
            <w:r>
              <w:rPr>
                <w:rFonts w:hint="eastAsia" w:ascii="宋体" w:hAnsi="宋体" w:cs="宋体"/>
                <w:color w:val="000000"/>
                <w:kern w:val="0"/>
                <w:sz w:val="24"/>
                <w:szCs w:val="24"/>
                <w:lang w:val="en-US" w:eastAsia="zh-CN"/>
              </w:rPr>
              <w:t>包干</w:t>
            </w:r>
            <w:r>
              <w:rPr>
                <w:rFonts w:hint="eastAsia" w:ascii="宋体" w:hAnsi="宋体" w:cs="宋体"/>
                <w:color w:val="000000"/>
                <w:kern w:val="0"/>
                <w:sz w:val="24"/>
                <w:szCs w:val="24"/>
              </w:rPr>
              <w:t>部分</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900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30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700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cs="宋体"/>
                <w:i w:val="0"/>
                <w:iCs w:val="0"/>
                <w:color w:val="000000"/>
                <w:kern w:val="0"/>
                <w:sz w:val="21"/>
                <w:szCs w:val="21"/>
                <w:u w:val="none"/>
                <w:lang w:val="en-US" w:eastAsia="zh-CN" w:bidi="ar"/>
              </w:rPr>
              <w:t>30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包括装车、</w:t>
            </w:r>
            <w:r>
              <w:rPr>
                <w:rFonts w:hint="eastAsia" w:ascii="宋体" w:hAnsi="宋体" w:cs="宋体"/>
                <w:i w:val="0"/>
                <w:iCs w:val="0"/>
                <w:color w:val="000000"/>
                <w:kern w:val="0"/>
                <w:sz w:val="20"/>
                <w:szCs w:val="20"/>
                <w:u w:val="none"/>
                <w:lang w:val="en-US" w:eastAsia="zh-CN" w:bidi="ar"/>
              </w:rPr>
              <w:t>回运、</w:t>
            </w:r>
            <w:r>
              <w:rPr>
                <w:rFonts w:hint="eastAsia" w:ascii="宋体" w:hAnsi="宋体" w:eastAsia="宋体" w:cs="宋体"/>
                <w:i w:val="0"/>
                <w:iCs w:val="0"/>
                <w:color w:val="000000"/>
                <w:kern w:val="0"/>
                <w:sz w:val="20"/>
                <w:szCs w:val="20"/>
                <w:u w:val="none"/>
                <w:lang w:val="en-US" w:eastAsia="zh-CN" w:bidi="ar"/>
              </w:rPr>
              <w:t>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olor w:val="000000"/>
                <w:kern w:val="0"/>
                <w:sz w:val="22"/>
                <w:szCs w:val="22"/>
                <w:lang w:val="en-US" w:eastAsia="zh-CN"/>
              </w:rPr>
              <w:t>凿除钢筋砼</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40"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包括凿除、装车、外排等涉及的全部工序及人工费、机械费、材料费、措施费、不可竞争费、税金、水电费等全部费用。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砂石垫层</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400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40"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砼垫层</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650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vertAlign w:val="baseline"/>
                <w:lang w:val="en-US" w:eastAsia="zh-CN" w:bidi="ar"/>
              </w:rPr>
              <w:t>m</w:t>
            </w:r>
            <w:r>
              <w:rPr>
                <w:rFonts w:hint="eastAsia" w:ascii="宋体" w:hAnsi="宋体" w:cs="宋体"/>
                <w:i w:val="0"/>
                <w:color w:val="000000"/>
                <w:kern w:val="0"/>
                <w:sz w:val="24"/>
                <w:szCs w:val="24"/>
                <w:u w:val="none"/>
                <w:vertAlign w:val="superscript"/>
                <w:lang w:val="en-US" w:eastAsia="zh-CN" w:bidi="ar"/>
              </w:rPr>
              <w:t>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170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cs="宋体"/>
                <w:i w:val="0"/>
                <w:iCs w:val="0"/>
                <w:color w:val="000000"/>
                <w:kern w:val="0"/>
                <w:sz w:val="21"/>
                <w:szCs w:val="21"/>
                <w:u w:val="none"/>
                <w:lang w:val="en-US" w:eastAsia="zh-CN" w:bidi="ar"/>
              </w:rPr>
              <w:t>80</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2240"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FF0000"/>
                <w:kern w:val="0"/>
                <w:sz w:val="21"/>
                <w:szCs w:val="21"/>
                <w:u w:val="none"/>
                <w:lang w:val="en-US" w:eastAsia="zh-CN" w:bidi="ar"/>
              </w:rPr>
              <w:t>1</w:t>
            </w:r>
            <w:r>
              <w:rPr>
                <w:rFonts w:hint="eastAsia" w:ascii="宋体" w:hAnsi="宋体" w:cs="宋体"/>
                <w:i w:val="0"/>
                <w:iCs w:val="0"/>
                <w:color w:val="FF0000"/>
                <w:kern w:val="0"/>
                <w:sz w:val="21"/>
                <w:szCs w:val="21"/>
                <w:u w:val="none"/>
                <w:lang w:val="en-US" w:eastAsia="zh-CN" w:bidi="ar"/>
              </w:rPr>
              <w:t>5</w:t>
            </w:r>
            <w:r>
              <w:rPr>
                <w:rFonts w:hint="eastAsia" w:ascii="宋体" w:hAnsi="宋体" w:eastAsia="宋体" w:cs="宋体"/>
                <w:i w:val="0"/>
                <w:iCs w:val="0"/>
                <w:color w:val="FF0000"/>
                <w:kern w:val="0"/>
                <w:sz w:val="21"/>
                <w:szCs w:val="21"/>
                <w:u w:val="none"/>
                <w:lang w:val="en-US" w:eastAsia="zh-CN" w:bidi="ar"/>
              </w:rPr>
              <w:t>00</w:t>
            </w:r>
            <w:r>
              <w:rPr>
                <w:rFonts w:hint="eastAsia" w:ascii="宋体" w:hAnsi="宋体" w:cs="宋体"/>
                <w:color w:val="FF0000"/>
                <w:kern w:val="0"/>
                <w:sz w:val="21"/>
                <w:szCs w:val="21"/>
                <w:lang w:bidi="ar"/>
              </w:rPr>
              <w:t>元</w:t>
            </w:r>
            <w:r>
              <w:rPr>
                <w:rFonts w:hint="eastAsia" w:ascii="宋体" w:hAnsi="宋体" w:cs="宋体"/>
                <w:color w:val="000000"/>
                <w:kern w:val="0"/>
                <w:sz w:val="21"/>
                <w:szCs w:val="21"/>
                <w:lang w:bidi="ar"/>
              </w:rPr>
              <w:t>/</w:t>
            </w:r>
            <w:r>
              <w:rPr>
                <w:rFonts w:hint="eastAsia" w:ascii="宋体" w:hAnsi="宋体" w:cs="宋体"/>
                <w:i w:val="0"/>
                <w:color w:val="000000"/>
                <w:kern w:val="0"/>
                <w:sz w:val="21"/>
                <w:szCs w:val="21"/>
                <w:u w:val="none"/>
                <w:lang w:val="en-US" w:eastAsia="zh-CN" w:bidi="ar"/>
              </w:rPr>
              <w:t>t</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2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cs="宋体"/>
                <w:i w:val="0"/>
                <w:iCs w:val="0"/>
                <w:color w:val="FF0000"/>
                <w:kern w:val="0"/>
                <w:sz w:val="20"/>
                <w:szCs w:val="20"/>
                <w:u w:val="none"/>
                <w:lang w:val="en-US" w:eastAsia="zh-CN" w:bidi="ar"/>
              </w:rPr>
              <w:t>不含钢筋材料费。</w:t>
            </w: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7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预埋件、螺栓</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color w:val="000000"/>
                <w:kern w:val="0"/>
                <w:sz w:val="24"/>
                <w:szCs w:val="24"/>
                <w:u w:val="none"/>
                <w:vertAlign w:val="superscript"/>
                <w:lang w:val="en-US" w:eastAsia="zh-CN" w:bidi="ar"/>
              </w:rPr>
            </w:pPr>
            <w:r>
              <w:rPr>
                <w:rFonts w:hint="eastAsia" w:ascii="宋体" w:hAnsi="宋体" w:eastAsia="宋体" w:cs="宋体"/>
                <w:i w:val="0"/>
                <w:color w:val="000000"/>
                <w:kern w:val="0"/>
                <w:sz w:val="24"/>
                <w:szCs w:val="24"/>
                <w:u w:val="none"/>
                <w:lang w:val="en-US" w:eastAsia="zh-CN" w:bidi="ar"/>
              </w:rPr>
              <w:t>t</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kern w:val="0"/>
                <w:sz w:val="21"/>
                <w:szCs w:val="21"/>
              </w:rPr>
            </w:pPr>
            <w:r>
              <w:rPr>
                <w:rFonts w:hint="eastAsia" w:ascii="宋体" w:hAnsi="宋体" w:eastAsia="宋体" w:cs="宋体"/>
                <w:i w:val="0"/>
                <w:iCs w:val="0"/>
                <w:color w:val="000000"/>
                <w:kern w:val="0"/>
                <w:sz w:val="21"/>
                <w:szCs w:val="21"/>
                <w:u w:val="none"/>
                <w:lang w:val="en-US" w:eastAsia="zh-CN" w:bidi="ar"/>
              </w:rPr>
              <w:t>11000</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color w:val="000000"/>
                <w:sz w:val="22"/>
                <w:szCs w:val="22"/>
              </w:rPr>
            </w:pP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w:t>
            </w:r>
            <w:r>
              <w:rPr>
                <w:rFonts w:hint="eastAsia" w:ascii="宋体" w:hAnsi="宋体" w:cs="宋体"/>
                <w:i w:val="0"/>
                <w:color w:val="000000"/>
                <w:kern w:val="0"/>
                <w:sz w:val="21"/>
                <w:szCs w:val="21"/>
                <w:u w:val="none"/>
                <w:lang w:val="en-US" w:eastAsia="zh-CN" w:bidi="ar"/>
              </w:rPr>
              <w:t>t</w:t>
            </w:r>
          </w:p>
        </w:tc>
        <w:tc>
          <w:tcPr>
            <w:tcW w:w="2240" w:type="pct"/>
            <w:tcBorders>
              <w:top w:val="single" w:color="auto" w:sz="4" w:space="0"/>
              <w:left w:val="nil"/>
              <w:bottom w:val="single" w:color="auto" w:sz="4" w:space="0"/>
              <w:right w:val="single" w:color="auto" w:sz="4" w:space="0"/>
            </w:tcBorders>
            <w:vAlign w:val="center"/>
          </w:tcPr>
          <w:p>
            <w:pPr>
              <w:rPr>
                <w:sz w:val="22"/>
                <w:szCs w:val="22"/>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1261"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顶棚及墙体表面杂物清理、抹灰、刮腻子、粉刷涂料</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i w:val="0"/>
                <w:iCs w:val="0"/>
                <w:color w:val="000000"/>
                <w:kern w:val="0"/>
                <w:sz w:val="21"/>
                <w:szCs w:val="21"/>
                <w:u w:val="none"/>
                <w:lang w:val="en-US" w:eastAsia="zh-CN" w:bidi="ar"/>
              </w:rPr>
              <w:t>75</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imes New Roman" w:hAnsi="Times New Roman" w:eastAsia="宋体" w:cs="Times New Roman"/>
                <w:kern w:val="0"/>
                <w:sz w:val="24"/>
                <w:szCs w:val="22"/>
                <w:lang w:val="en-US" w:eastAsia="zh-CN" w:bidi="ar-SA"/>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2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0"/>
                <w:szCs w:val="20"/>
                <w:u w:val="none"/>
                <w:lang w:val="en-US" w:eastAsia="zh-CN" w:bidi="ar"/>
              </w:rPr>
              <w:t>包括卸车、运输、倒运、杂物清理、刮腻子及粉刷涂料（或乳胶漆）等涉及的全部工序及人工费、机械费、材料费、措施费、不可竞争费、税金、水电费等全部费用。</w:t>
            </w:r>
          </w:p>
        </w:tc>
      </w:tr>
      <w:tr>
        <w:tblPrEx>
          <w:tblCellMar>
            <w:top w:w="0" w:type="dxa"/>
            <w:left w:w="108" w:type="dxa"/>
            <w:bottom w:w="0" w:type="dxa"/>
            <w:right w:w="108" w:type="dxa"/>
          </w:tblCellMar>
        </w:tblPrEx>
        <w:trPr>
          <w:trHeight w:val="1019"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5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砖墙砌筑</w:t>
            </w:r>
          </w:p>
        </w:tc>
        <w:tc>
          <w:tcPr>
            <w:tcW w:w="4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 w:val="0"/>
                <w:color w:val="000000"/>
                <w:kern w:val="0"/>
                <w:sz w:val="24"/>
                <w:szCs w:val="24"/>
                <w:u w:val="none"/>
                <w:vertAlign w:val="baseline"/>
                <w:lang w:val="en-US" w:eastAsia="zh-CN" w:bidi="ar"/>
              </w:rPr>
            </w:pPr>
            <w:r>
              <w:rPr>
                <w:rFonts w:hint="eastAsia" w:ascii="宋体" w:hAnsi="宋体" w:cs="宋体"/>
                <w:i w:val="0"/>
                <w:color w:val="000000"/>
                <w:kern w:val="0"/>
                <w:sz w:val="24"/>
                <w:szCs w:val="24"/>
                <w:u w:val="none"/>
                <w:lang w:val="en-US" w:eastAsia="zh-CN" w:bidi="ar"/>
              </w:rPr>
              <w:t>m</w:t>
            </w:r>
            <w:r>
              <w:rPr>
                <w:rFonts w:hint="eastAsia" w:ascii="宋体" w:hAnsi="宋体" w:cs="宋体"/>
                <w:i w:val="0"/>
                <w:color w:val="000000"/>
                <w:kern w:val="0"/>
                <w:sz w:val="24"/>
                <w:szCs w:val="24"/>
                <w:u w:val="none"/>
                <w:vertAlign w:val="superscript"/>
                <w:lang w:val="en-US" w:eastAsia="zh-CN" w:bidi="ar"/>
              </w:rPr>
              <w:t>2</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57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700</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607" w:type="pct"/>
            <w:tcBorders>
              <w:top w:val="single" w:color="auto" w:sz="4" w:space="0"/>
              <w:left w:val="single" w:color="auto" w:sz="4" w:space="0"/>
              <w:bottom w:val="single" w:color="auto" w:sz="4" w:space="0"/>
              <w:right w:val="single" w:color="auto" w:sz="4" w:space="0"/>
            </w:tcBorders>
            <w:vAlign w:val="center"/>
          </w:tcPr>
          <w:p>
            <w:pPr>
              <w:widowControl/>
              <w:jc w:val="right"/>
              <w:rPr>
                <w:kern w:val="0"/>
                <w:sz w:val="24"/>
                <w:szCs w:val="22"/>
              </w:rPr>
            </w:pP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22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kern w:val="0"/>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418"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24"/>
                <w:szCs w:val="24"/>
              </w:rPr>
              <w:t>二、除单价</w:t>
            </w:r>
            <w:r>
              <w:rPr>
                <w:rFonts w:hint="eastAsia"/>
                <w:color w:val="000000"/>
                <w:sz w:val="24"/>
                <w:szCs w:val="24"/>
                <w:lang w:val="en-US" w:eastAsia="zh-CN"/>
              </w:rPr>
              <w:t>包干</w:t>
            </w:r>
            <w:r>
              <w:rPr>
                <w:rFonts w:hint="eastAsia"/>
                <w:color w:val="000000"/>
                <w:sz w:val="24"/>
                <w:szCs w:val="24"/>
              </w:rPr>
              <w:t>外工作量</w:t>
            </w:r>
          </w:p>
        </w:tc>
      </w:tr>
      <w:tr>
        <w:tblPrEx>
          <w:tblCellMar>
            <w:top w:w="0" w:type="dxa"/>
            <w:left w:w="108" w:type="dxa"/>
            <w:bottom w:w="0" w:type="dxa"/>
            <w:right w:w="108" w:type="dxa"/>
          </w:tblCellMar>
        </w:tblPrEx>
        <w:trPr>
          <w:trHeight w:val="958" w:hRule="atLeast"/>
        </w:trPr>
        <w:tc>
          <w:tcPr>
            <w:tcW w:w="229"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2"/>
                <w:szCs w:val="22"/>
              </w:rPr>
            </w:pPr>
            <w:r>
              <w:rPr>
                <w:rFonts w:hint="eastAsia" w:ascii="宋体" w:hAnsi="宋体" w:cs="宋体"/>
                <w:i w:val="0"/>
                <w:color w:val="000000"/>
                <w:kern w:val="0"/>
                <w:sz w:val="20"/>
                <w:szCs w:val="20"/>
                <w:u w:val="none"/>
                <w:lang w:val="en-US" w:eastAsia="zh-CN" w:bidi="ar"/>
              </w:rPr>
              <w:t>1</w:t>
            </w:r>
          </w:p>
        </w:tc>
        <w:tc>
          <w:tcPr>
            <w:tcW w:w="587" w:type="pct"/>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优惠率（不包含材料费）</w:t>
            </w:r>
          </w:p>
        </w:tc>
        <w:tc>
          <w:tcPr>
            <w:tcW w:w="762" w:type="pct"/>
            <w:gridSpan w:val="2"/>
            <w:tcBorders>
              <w:top w:val="nil"/>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暂列金额</w:t>
            </w:r>
            <w:r>
              <w:rPr>
                <w:rFonts w:hint="eastAsia" w:ascii="宋体" w:hAnsi="宋体" w:cs="宋体"/>
                <w:i w:val="0"/>
                <w:color w:val="000000"/>
                <w:kern w:val="0"/>
                <w:sz w:val="20"/>
                <w:szCs w:val="20"/>
                <w:u w:val="single"/>
                <w:lang w:val="en-US" w:eastAsia="zh-CN" w:bidi="ar"/>
              </w:rPr>
              <w:t>10</w:t>
            </w:r>
            <w:r>
              <w:rPr>
                <w:rFonts w:hint="eastAsia" w:ascii="宋体" w:hAnsi="宋体" w:eastAsia="宋体" w:cs="宋体"/>
                <w:i w:val="0"/>
                <w:color w:val="000000"/>
                <w:kern w:val="0"/>
                <w:sz w:val="20"/>
                <w:szCs w:val="20"/>
                <w:u w:val="single"/>
                <w:lang w:val="en-US" w:eastAsia="zh-CN" w:bidi="ar"/>
              </w:rPr>
              <w:t>0000</w:t>
            </w:r>
            <w:r>
              <w:rPr>
                <w:rFonts w:hint="eastAsia" w:ascii="宋体" w:hAnsi="宋体" w:eastAsia="宋体" w:cs="宋体"/>
                <w:i w:val="0"/>
                <w:color w:val="000000"/>
                <w:kern w:val="0"/>
                <w:sz w:val="20"/>
                <w:szCs w:val="20"/>
                <w:u w:val="none"/>
                <w:lang w:val="en-US" w:eastAsia="zh-CN" w:bidi="ar"/>
              </w:rPr>
              <w:t>元</w:t>
            </w:r>
          </w:p>
        </w:tc>
        <w:tc>
          <w:tcPr>
            <w:tcW w:w="573" w:type="pct"/>
            <w:tcBorders>
              <w:top w:val="nil"/>
              <w:left w:val="nil"/>
              <w:bottom w:val="single" w:color="auto" w:sz="4" w:space="0"/>
              <w:right w:val="single" w:color="auto" w:sz="4" w:space="0"/>
            </w:tcBorders>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0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优惠</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p>
        </w:tc>
        <w:tc>
          <w:tcPr>
            <w:tcW w:w="2240"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执行2018版安徽省建设工程计价定额及配套费用定额，材料费不参与总价优惠。措施项目费以现场确认形式据实计取，二次搬运费不计取。</w:t>
            </w:r>
          </w:p>
        </w:tc>
      </w:tr>
    </w:tbl>
    <w:p>
      <w:pPr>
        <w:spacing w:line="30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b/>
          <w:sz w:val="11"/>
          <w:szCs w:val="11"/>
        </w:rPr>
      </w:pPr>
    </w:p>
    <w:p>
      <w:pPr>
        <w:ind w:left="720"/>
        <w:rPr>
          <w:sz w:val="11"/>
          <w:szCs w:val="11"/>
        </w:rPr>
      </w:pPr>
    </w:p>
    <w:p>
      <w:pPr>
        <w:spacing w:line="360" w:lineRule="auto"/>
        <w:rPr>
          <w:sz w:val="24"/>
          <w:szCs w:val="24"/>
        </w:rPr>
      </w:pPr>
    </w:p>
    <w:p>
      <w:pPr>
        <w:spacing w:line="360" w:lineRule="auto"/>
        <w:rPr>
          <w:sz w:val="24"/>
          <w:szCs w:val="24"/>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Light"/>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17</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94E63"/>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97B8B"/>
    <w:rsid w:val="004A0D13"/>
    <w:rsid w:val="004A570A"/>
    <w:rsid w:val="004C3BA9"/>
    <w:rsid w:val="004E4749"/>
    <w:rsid w:val="004F3DA0"/>
    <w:rsid w:val="00506CED"/>
    <w:rsid w:val="00506EC6"/>
    <w:rsid w:val="00510547"/>
    <w:rsid w:val="00514AA4"/>
    <w:rsid w:val="005169E1"/>
    <w:rsid w:val="005344E4"/>
    <w:rsid w:val="00537A90"/>
    <w:rsid w:val="00556A88"/>
    <w:rsid w:val="00562555"/>
    <w:rsid w:val="00570D69"/>
    <w:rsid w:val="00591DC1"/>
    <w:rsid w:val="005A0DBC"/>
    <w:rsid w:val="005A4AB2"/>
    <w:rsid w:val="005B0D25"/>
    <w:rsid w:val="005D0BC5"/>
    <w:rsid w:val="005D37BE"/>
    <w:rsid w:val="005E0755"/>
    <w:rsid w:val="00601629"/>
    <w:rsid w:val="00632A28"/>
    <w:rsid w:val="00642762"/>
    <w:rsid w:val="00657827"/>
    <w:rsid w:val="006651CD"/>
    <w:rsid w:val="006701E3"/>
    <w:rsid w:val="0068165A"/>
    <w:rsid w:val="006A2EE5"/>
    <w:rsid w:val="006D7140"/>
    <w:rsid w:val="006E3F79"/>
    <w:rsid w:val="006E58DF"/>
    <w:rsid w:val="006F3316"/>
    <w:rsid w:val="00700DDA"/>
    <w:rsid w:val="007135E8"/>
    <w:rsid w:val="00713A39"/>
    <w:rsid w:val="00742AEA"/>
    <w:rsid w:val="0075580A"/>
    <w:rsid w:val="0075658B"/>
    <w:rsid w:val="00756780"/>
    <w:rsid w:val="00792892"/>
    <w:rsid w:val="007B205F"/>
    <w:rsid w:val="007D66E0"/>
    <w:rsid w:val="007D6CF5"/>
    <w:rsid w:val="007D7EC1"/>
    <w:rsid w:val="007F1C7B"/>
    <w:rsid w:val="007F5DBB"/>
    <w:rsid w:val="007F6F85"/>
    <w:rsid w:val="008053D5"/>
    <w:rsid w:val="0081292B"/>
    <w:rsid w:val="0083094B"/>
    <w:rsid w:val="0084353C"/>
    <w:rsid w:val="00861C68"/>
    <w:rsid w:val="00870A31"/>
    <w:rsid w:val="00873C15"/>
    <w:rsid w:val="00874F9B"/>
    <w:rsid w:val="008A2B76"/>
    <w:rsid w:val="008A3799"/>
    <w:rsid w:val="008A7AC2"/>
    <w:rsid w:val="008B276A"/>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95471"/>
    <w:rsid w:val="00AA77C8"/>
    <w:rsid w:val="00AB2FF2"/>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A6456"/>
    <w:rsid w:val="00BB3045"/>
    <w:rsid w:val="00BD0FF1"/>
    <w:rsid w:val="00BD264D"/>
    <w:rsid w:val="00BE4DDB"/>
    <w:rsid w:val="00C06D5D"/>
    <w:rsid w:val="00C12EA1"/>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C9C7911"/>
    <w:rsid w:val="0D805719"/>
    <w:rsid w:val="0E47777B"/>
    <w:rsid w:val="151B5F6E"/>
    <w:rsid w:val="25464B5B"/>
    <w:rsid w:val="262F1A54"/>
    <w:rsid w:val="2BD231B6"/>
    <w:rsid w:val="41EE7309"/>
    <w:rsid w:val="48743B19"/>
    <w:rsid w:val="5E846B03"/>
    <w:rsid w:val="624E2575"/>
    <w:rsid w:val="6BF86C9F"/>
    <w:rsid w:val="70515D78"/>
    <w:rsid w:val="71912D4A"/>
    <w:rsid w:val="75B50465"/>
    <w:rsid w:val="785920B8"/>
    <w:rsid w:val="786F76E0"/>
    <w:rsid w:val="79BE47A1"/>
    <w:rsid w:val="7D0A0D0C"/>
    <w:rsid w:val="7F62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1947</Words>
  <Characters>11099</Characters>
  <Lines>92</Lines>
  <Paragraphs>26</Paragraphs>
  <TotalTime>0</TotalTime>
  <ScaleCrop>false</ScaleCrop>
  <LinksUpToDate>false</LinksUpToDate>
  <CharactersWithSpaces>13020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2021-04-30T08:59:33Z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2E7D733EC29E408DA22B1DDE6EC0CB58</vt:lpwstr>
  </property>
</Properties>
</file>