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临江路铁路沿线增设绿植网墙土建</w:t>
      </w:r>
      <w:r>
        <w:rPr>
          <w:rFonts w:hint="eastAsia"/>
          <w:b/>
          <w:sz w:val="36"/>
          <w:szCs w:val="36"/>
          <w:lang w:val="en-US" w:eastAsia="zh-CN"/>
        </w:rPr>
        <w:t>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08</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12LJTLTJ</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临江路铁路沿线增设绿植网墙土建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FF0000"/>
          <w:sz w:val="24"/>
          <w:szCs w:val="24"/>
        </w:rPr>
        <w:t>国家建设部门颁发的建筑工程施工总承包叁级及以上资质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建筑工程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09</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15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临江路铁路沿线增设绿植网墙土建</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临江路铁路沿线增设绿植网墙土建</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临江路铁路沿线增设绿植网墙土建</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柒仟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05</w:t>
      </w:r>
      <w:r>
        <w:rPr>
          <w:rFonts w:hint="eastAsia" w:ascii="宋体" w:hAnsi="宋体" w:cs="宋体"/>
          <w:bCs/>
          <w:color w:val="FF0000"/>
          <w:kern w:val="36"/>
        </w:rPr>
        <w:t>月</w:t>
      </w:r>
      <w:r>
        <w:rPr>
          <w:rFonts w:hint="eastAsia" w:ascii="宋体" w:hAnsi="宋体" w:cs="宋体"/>
          <w:bCs/>
          <w:color w:val="FF0000"/>
          <w:kern w:val="36"/>
          <w:u w:val="single"/>
          <w:lang w:val="en-US" w:eastAsia="zh-CN"/>
        </w:rPr>
        <w:t>16</w:t>
      </w:r>
      <w:bookmarkStart w:id="4" w:name="_GoBack"/>
      <w:bookmarkEnd w:id="4"/>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p>
    <w:p>
      <w:pPr>
        <w:spacing w:line="360" w:lineRule="exact"/>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val="en-US" w:eastAsia="zh-CN"/>
        </w:rPr>
        <w:t>包含：</w:t>
      </w:r>
      <w:r>
        <w:rPr>
          <w:rFonts w:hint="eastAsia" w:ascii="宋体" w:hAnsi="宋体"/>
        </w:rPr>
        <w:t>机械开挖土方</w:t>
      </w:r>
      <w:r>
        <w:rPr>
          <w:rFonts w:hint="eastAsia" w:ascii="宋体" w:hAnsi="宋体"/>
          <w:lang w:eastAsia="zh-CN"/>
        </w:rPr>
        <w:t>约520</w:t>
      </w:r>
      <w:r>
        <w:rPr>
          <w:rFonts w:hint="eastAsia" w:ascii="宋体" w:hAnsi="宋体"/>
          <w:lang w:val="en-US" w:eastAsia="zh-CN"/>
        </w:rPr>
        <w:t>m3，碎石垫层约130m3，基础浇筑约25m3，网墙安装约2880m2，砖墙砌筑约90m3，混凝土及墙体表面杂物清理、抹灰约1600m2，耕植土回填约600m3等工程量</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lang w:val="en-US" w:eastAsia="zh-CN"/>
        </w:rPr>
      </w:pPr>
      <w:r>
        <w:rPr>
          <w:rFonts w:hint="eastAsia" w:ascii="宋体" w:hAnsi="宋体"/>
          <w:lang w:val="en-US" w:eastAsia="zh-CN"/>
        </w:rPr>
        <w:t xml:space="preserve">开工日期：2021年5月20日（暂定）                                          </w:t>
      </w:r>
    </w:p>
    <w:p>
      <w:pPr>
        <w:spacing w:line="360" w:lineRule="exact"/>
        <w:rPr>
          <w:rFonts w:hint="eastAsia" w:ascii="宋体" w:hAnsi="宋体"/>
          <w:lang w:val="en-US" w:eastAsia="zh-CN"/>
        </w:rPr>
      </w:pPr>
      <w:r>
        <w:rPr>
          <w:rFonts w:hint="eastAsia" w:ascii="宋体" w:hAnsi="宋体"/>
          <w:lang w:val="en-US" w:eastAsia="zh-CN"/>
        </w:rPr>
        <w:t xml:space="preserve">竣工日期：2021年7月19日                                              </w:t>
      </w:r>
    </w:p>
    <w:p>
      <w:pPr>
        <w:spacing w:line="360" w:lineRule="exact"/>
        <w:rPr>
          <w:rFonts w:hint="eastAsia" w:ascii="宋体" w:hAnsi="宋体" w:cs="宋体"/>
          <w:sz w:val="24"/>
          <w:szCs w:val="24"/>
        </w:rPr>
      </w:pPr>
      <w:r>
        <w:rPr>
          <w:rFonts w:hint="eastAsia" w:ascii="宋体" w:hAnsi="宋体"/>
          <w:lang w:val="en-US" w:eastAsia="zh-CN"/>
        </w:rPr>
        <w:t>合同工期总日历天数60天。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该工程所有材料（除钢筋、铸管、阀门、电缆外）由承包人提供。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发包人提供的钢筋和铸管的厂内倒运费用按照报价单执行，若发包人不能及时提供所需材料，承包方上报自购证明报告，经发包人同意后可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b/>
          <w:bCs/>
          <w:sz w:val="36"/>
          <w:szCs w:val="36"/>
          <w:u w:val="single"/>
        </w:rPr>
        <w:t>临江路铁路沿线增设绿植网墙土建</w:t>
      </w:r>
      <w:r>
        <w:rPr>
          <w:rFonts w:hint="eastAsia" w:ascii="宋体" w:hAnsi="宋体"/>
          <w:b/>
          <w:bCs/>
          <w:sz w:val="36"/>
          <w:szCs w:val="36"/>
        </w:rPr>
        <w:t>工程报价单</w:t>
      </w:r>
    </w:p>
    <w:tbl>
      <w:tblPr>
        <w:tblStyle w:val="13"/>
        <w:tblW w:w="13976" w:type="dxa"/>
        <w:tblInd w:w="93" w:type="dxa"/>
        <w:shd w:val="clear" w:color="auto" w:fill="auto"/>
        <w:tblLayout w:type="fixed"/>
        <w:tblCellMar>
          <w:top w:w="0" w:type="dxa"/>
          <w:left w:w="108" w:type="dxa"/>
          <w:bottom w:w="0" w:type="dxa"/>
          <w:right w:w="108" w:type="dxa"/>
        </w:tblCellMar>
      </w:tblPr>
      <w:tblGrid>
        <w:gridCol w:w="522"/>
        <w:gridCol w:w="1387"/>
        <w:gridCol w:w="813"/>
        <w:gridCol w:w="1262"/>
        <w:gridCol w:w="900"/>
        <w:gridCol w:w="1596"/>
        <w:gridCol w:w="7496"/>
      </w:tblGrid>
      <w:tr>
        <w:tblPrEx>
          <w:shd w:val="clear" w:color="auto" w:fill="auto"/>
          <w:tblCellMar>
            <w:top w:w="0" w:type="dxa"/>
            <w:left w:w="108" w:type="dxa"/>
            <w:bottom w:w="0" w:type="dxa"/>
            <w:right w:w="108" w:type="dxa"/>
          </w:tblCellMar>
        </w:tblPrEx>
        <w:trPr>
          <w:trHeight w:val="28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报价</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285" w:hRule="atLeast"/>
        </w:trPr>
        <w:tc>
          <w:tcPr>
            <w:tcW w:w="1397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tblCellMar>
            <w:top w:w="0" w:type="dxa"/>
            <w:left w:w="108" w:type="dxa"/>
            <w:bottom w:w="0" w:type="dxa"/>
            <w:right w:w="108" w:type="dxa"/>
          </w:tblCellMar>
        </w:tblPrEx>
        <w:trPr>
          <w:trHeight w:val="47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机械开挖土方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元/m3</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包括开挖、装车、外排（外运5km）等涉及的全部工序及人工费、机械费、材料费、措施费、不可竞争费、税金、水电费等全部费用。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32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土方回填</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元/m3</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包括装车、回运、回填、平整、夯实等涉及的全部工序及人工费、机械费、材料费、措施费、不可竞争费、税金、水电费等全部费用。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37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碎石垫层</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元/m3</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41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垫层浇筑</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元/m3</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41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钢筋制安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39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基础浇筑</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元/m3</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65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网墙安装</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包括网墙、膨胀螺丝、预埋件的卸车、运输、倒运、安装、除锈、刷漆（含油漆）等涉及的全部工序及人工费、机械费、材料费、措施费、不可竞争费、税金、水电费等全部费用。</w:t>
            </w:r>
          </w:p>
        </w:tc>
      </w:tr>
      <w:tr>
        <w:tblPrEx>
          <w:tblCellMar>
            <w:top w:w="0" w:type="dxa"/>
            <w:left w:w="108" w:type="dxa"/>
            <w:bottom w:w="0" w:type="dxa"/>
            <w:right w:w="108" w:type="dxa"/>
          </w:tblCellMar>
        </w:tblPrEx>
        <w:trPr>
          <w:trHeight w:val="34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砖墙砌筑</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元/m3</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44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混凝土及墙体表面杂物清理、抹灰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37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耕植土回填</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元/m3</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包括装车、回运、回填、平整等涉及的全部工序及人工费、机械费、材料费、措施费、不可竞争费、税金、水电费等全部费用。</w:t>
            </w:r>
          </w:p>
        </w:tc>
      </w:tr>
      <w:tr>
        <w:tblPrEx>
          <w:tblCellMar>
            <w:top w:w="0" w:type="dxa"/>
            <w:left w:w="108" w:type="dxa"/>
            <w:bottom w:w="0" w:type="dxa"/>
            <w:right w:w="108" w:type="dxa"/>
          </w:tblCellMar>
        </w:tblPrEx>
        <w:trPr>
          <w:trHeight w:val="18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钢筋在厂内的倒运费用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t</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元/t</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包括发包人提供的钢筋在厂内的提料、运输、卸车等涉及的全部工序及人工费、机械费、材料费、措施费、不可竞争费、税金、水电费等全部费用。</w:t>
            </w:r>
          </w:p>
        </w:tc>
      </w:tr>
      <w:tr>
        <w:tblPrEx>
          <w:tblCellMar>
            <w:top w:w="0" w:type="dxa"/>
            <w:left w:w="108" w:type="dxa"/>
            <w:bottom w:w="0" w:type="dxa"/>
            <w:right w:w="108" w:type="dxa"/>
          </w:tblCellMar>
        </w:tblPrEx>
        <w:trPr>
          <w:trHeight w:val="285" w:hRule="atLeast"/>
        </w:trPr>
        <w:tc>
          <w:tcPr>
            <w:tcW w:w="1397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tblCellMar>
            <w:top w:w="0" w:type="dxa"/>
            <w:left w:w="108" w:type="dxa"/>
            <w:bottom w:w="0" w:type="dxa"/>
            <w:right w:w="108" w:type="dxa"/>
          </w:tblCellMar>
        </w:tblPrEx>
        <w:trPr>
          <w:trHeight w:val="4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暂列金额</w:t>
            </w:r>
            <w:r>
              <w:rPr>
                <w:rStyle w:val="29"/>
                <w:sz w:val="21"/>
                <w:szCs w:val="21"/>
                <w:lang w:val="en-US" w:eastAsia="zh-CN" w:bidi="ar"/>
              </w:rPr>
              <w:t xml:space="preserve"> 40000 </w:t>
            </w:r>
            <w:r>
              <w:rPr>
                <w:rStyle w:val="31"/>
                <w:sz w:val="21"/>
                <w:szCs w:val="21"/>
                <w:lang w:val="en-US" w:eastAsia="zh-CN" w:bidi="ar"/>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39" w:leftChars="114" w:firstLine="420" w:firstLineChars="200"/>
              <w:jc w:val="both"/>
              <w:textAlignment w:val="center"/>
              <w:rPr>
                <w:rFonts w:hint="default" w:ascii="Times New Roman" w:hAnsi="Times New Roman" w:eastAsia="宋体" w:cs="Times New Roman"/>
                <w:i w:val="0"/>
                <w:iCs w:val="0"/>
                <w:color w:val="000000"/>
                <w:sz w:val="21"/>
                <w:szCs w:val="21"/>
                <w:u w:val="none"/>
              </w:rPr>
            </w:pPr>
            <w:r>
              <w:rPr>
                <w:rFonts w:hint="eastAsia"/>
                <w:kern w:val="0"/>
                <w:sz w:val="21"/>
                <w:szCs w:val="21"/>
              </w:rPr>
              <w:t>%</w:t>
            </w:r>
          </w:p>
        </w:tc>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sz w:val="21"/>
                <w:szCs w:val="21"/>
              </w:rPr>
              <w:t>执行2018版安徽省建设工程计价定额及配套费用定额，材料费不参与总价优惠。措施项目费以现场确认形式据实计取，二次搬运费不计取。</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DC136C9"/>
    <w:rsid w:val="214D2E1E"/>
    <w:rsid w:val="21F73AF2"/>
    <w:rsid w:val="282A37D0"/>
    <w:rsid w:val="34481C4C"/>
    <w:rsid w:val="59A06F0E"/>
    <w:rsid w:val="66296C18"/>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21</TotalTime>
  <ScaleCrop>false</ScaleCrop>
  <LinksUpToDate>false</LinksUpToDate>
  <CharactersWithSpaces>11263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2021-05-08T01:38:57Z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