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厂区道路刚改柔</w:t>
      </w:r>
      <w:r>
        <w:rPr>
          <w:rFonts w:hint="eastAsia"/>
          <w:b/>
          <w:sz w:val="36"/>
          <w:szCs w:val="36"/>
          <w:lang w:eastAsia="zh-CN"/>
        </w:rPr>
        <w:t>（</w:t>
      </w:r>
      <w:r>
        <w:rPr>
          <w:rFonts w:hint="eastAsia"/>
          <w:b/>
          <w:sz w:val="36"/>
          <w:szCs w:val="36"/>
          <w:lang w:val="en-US" w:eastAsia="zh-CN"/>
        </w:rPr>
        <w:t>二标段</w:t>
      </w:r>
      <w:r>
        <w:rPr>
          <w:rFonts w:hint="eastAsia"/>
          <w:b/>
          <w:sz w:val="36"/>
          <w:szCs w:val="36"/>
          <w:lang w:eastAsia="zh-CN"/>
        </w:rPr>
        <w:t>）</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02CQDLGGR</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厂区道路刚改柔</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FF0000"/>
          <w:sz w:val="24"/>
          <w:szCs w:val="24"/>
        </w:rPr>
        <w:t>国家建设部门颁发的市政公用工程专业承包二级及以上资质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市政</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21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07</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厂区道路刚改柔</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周剑波</w:t>
      </w:r>
      <w:r>
        <w:rPr>
          <w:rFonts w:hint="eastAsia" w:ascii="宋体" w:hAnsi="宋体" w:eastAsia="宋体" w:cs="宋体"/>
          <w:color w:val="2A2A2A"/>
          <w:kern w:val="0"/>
          <w:sz w:val="24"/>
          <w:szCs w:val="24"/>
        </w:rPr>
        <w:t xml:space="preserve">        13155338076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w:t>
      </w:r>
      <w:bookmarkStart w:id="4" w:name="_GoBack"/>
      <w:bookmarkEnd w:id="4"/>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厂区道路刚改柔</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厂区道路刚改柔</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伍万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08</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具体内容详见发包人确认下发的图纸工程量及做法。</w:t>
      </w:r>
    </w:p>
    <w:p>
      <w:pPr>
        <w:spacing w:line="360" w:lineRule="exact"/>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rPr>
        <w:t>包括厂区道路原砼路面修复、铺设沥青、道路划线、道牙加高等图纸内全部工作内容。</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sz w:val="24"/>
          <w:szCs w:val="24"/>
        </w:rPr>
        <w:t xml:space="preserve"> </w:t>
      </w:r>
      <w:r>
        <w:rPr>
          <w:rFonts w:hint="eastAsia" w:ascii="宋体" w:hAnsi="宋体" w:cs="宋体"/>
          <w:kern w:val="36"/>
        </w:rPr>
        <w:t xml:space="preserve">开工日期： 2021年6月25日 （暂定）                                          </w:t>
      </w:r>
    </w:p>
    <w:p>
      <w:pPr>
        <w:spacing w:line="360" w:lineRule="exact"/>
        <w:rPr>
          <w:rFonts w:hint="eastAsia" w:ascii="宋体" w:hAnsi="宋体" w:cs="宋体"/>
          <w:kern w:val="36"/>
        </w:rPr>
      </w:pPr>
      <w:r>
        <w:rPr>
          <w:rFonts w:hint="eastAsia" w:ascii="宋体" w:hAnsi="宋体" w:cs="宋体"/>
          <w:kern w:val="36"/>
        </w:rPr>
        <w:t xml:space="preserve"> 竣工日期： 2021年9月24日                                             </w:t>
      </w:r>
    </w:p>
    <w:p>
      <w:pPr>
        <w:spacing w:line="360" w:lineRule="exact"/>
        <w:rPr>
          <w:rFonts w:hint="eastAsia" w:ascii="宋体" w:hAnsi="宋体" w:cs="宋体"/>
          <w:kern w:val="36"/>
        </w:rPr>
      </w:pPr>
      <w:r>
        <w:rPr>
          <w:rFonts w:hint="eastAsia" w:ascii="宋体" w:hAnsi="宋体" w:cs="宋体"/>
          <w:kern w:val="36"/>
        </w:rPr>
        <w:t>合同工期总日历天数   92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综合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p>
    <w:p>
      <w:pPr>
        <w:pStyle w:val="18"/>
        <w:numPr>
          <w:ilvl w:val="0"/>
          <w:numId w:val="3"/>
        </w:numPr>
        <w:spacing w:beforeLines="50"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 xml:space="preserve">该工程所有材料由承包人提供。 </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发包人提供的钢筋和铸管的厂内倒运费用按照报价单执行，若发包人不能及时提供所需材料，承包方上报自购证明报告，经发包人同意后可由承包人提供。</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w:t>
      </w:r>
      <w:r>
        <w:rPr>
          <w:rFonts w:hint="eastAsia" w:ascii="宋体" w:hAnsi="宋体" w:cs="宋体"/>
          <w:color w:val="FF0000"/>
        </w:rPr>
        <w:t>伍仟圆整</w:t>
      </w:r>
      <w:r>
        <w:rPr>
          <w:rFonts w:hint="eastAsia" w:ascii="宋体" w:hAnsi="宋体" w:cs="宋体"/>
          <w:color w:val="000000"/>
        </w:rPr>
        <w:t>（¥：5000元整）。竣工工期每延误1天，承包人向发包人支付违约金</w:t>
      </w:r>
      <w:r>
        <w:rPr>
          <w:rFonts w:hint="eastAsia" w:ascii="宋体" w:hAnsi="宋体" w:cs="宋体"/>
          <w:color w:val="FF0000"/>
        </w:rPr>
        <w:t>壹万圆整</w:t>
      </w:r>
      <w:r>
        <w:rPr>
          <w:rFonts w:hint="eastAsia" w:ascii="宋体" w:hAnsi="宋体" w:cs="宋体"/>
          <w:color w:val="000000"/>
        </w:rPr>
        <w:t>（¥：10000元整）。因承包人原因，工期延误7天以上或施工质量达不到要求，发包人有权终止合同，另行选择施工队伍。</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2"/>
          <w:szCs w:val="32"/>
        </w:rPr>
      </w:pPr>
      <w:r>
        <w:rPr>
          <w:rFonts w:hint="eastAsia" w:ascii="宋体" w:hAnsi="宋体"/>
          <w:b/>
          <w:bCs/>
          <w:sz w:val="32"/>
          <w:szCs w:val="32"/>
        </w:rPr>
        <w:t>厂区道路刚改柔工程（二标段）报价单</w:t>
      </w:r>
    </w:p>
    <w:tbl>
      <w:tblPr>
        <w:tblStyle w:val="13"/>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812"/>
        <w:gridCol w:w="2467"/>
        <w:gridCol w:w="942"/>
        <w:gridCol w:w="987"/>
        <w:gridCol w:w="76"/>
        <w:gridCol w:w="1518"/>
        <w:gridCol w:w="1652"/>
        <w:gridCol w:w="6790"/>
      </w:tblGrid>
      <w:tr>
        <w:tblPrEx>
          <w:tblCellMar>
            <w:top w:w="0" w:type="dxa"/>
            <w:left w:w="108" w:type="dxa"/>
            <w:bottom w:w="0" w:type="dxa"/>
            <w:right w:w="108" w:type="dxa"/>
          </w:tblCellMar>
        </w:tblPrEx>
        <w:trPr>
          <w:trHeight w:val="557"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分项名称</w:t>
            </w:r>
          </w:p>
        </w:tc>
        <w:tc>
          <w:tcPr>
            <w:tcW w:w="3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349"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暂估工程量</w:t>
            </w:r>
          </w:p>
        </w:tc>
        <w:tc>
          <w:tcPr>
            <w:tcW w:w="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拦标价</w:t>
            </w: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w:t>
            </w:r>
          </w:p>
        </w:tc>
        <w:tc>
          <w:tcPr>
            <w:tcW w:w="222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w:t>
            </w:r>
          </w:p>
        </w:tc>
      </w:tr>
      <w:tr>
        <w:tblPrEx>
          <w:tblCellMar>
            <w:top w:w="0" w:type="dxa"/>
            <w:left w:w="108" w:type="dxa"/>
            <w:bottom w:w="0" w:type="dxa"/>
            <w:right w:w="108" w:type="dxa"/>
          </w:tblCellMar>
        </w:tblPrEx>
        <w:trPr>
          <w:trHeight w:val="366"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一、单价包干部分</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sz w:val="18"/>
                <w:szCs w:val="18"/>
              </w:rPr>
              <w:t>1</w:t>
            </w:r>
          </w:p>
        </w:tc>
        <w:tc>
          <w:tcPr>
            <w:tcW w:w="809" w:type="pct"/>
            <w:tcBorders>
              <w:top w:val="nil"/>
              <w:left w:val="nil"/>
              <w:bottom w:val="single" w:color="auto" w:sz="4" w:space="0"/>
              <w:right w:val="single" w:color="auto" w:sz="4" w:space="0"/>
            </w:tcBorders>
            <w:vAlign w:val="center"/>
          </w:tcPr>
          <w:p>
            <w:pPr>
              <w:widowControl/>
              <w:jc w:val="left"/>
              <w:rPr>
                <w:rFonts w:ascii="宋体" w:hAnsi="宋体"/>
                <w:color w:val="000000"/>
                <w:kern w:val="0"/>
                <w:sz w:val="18"/>
                <w:szCs w:val="18"/>
              </w:rPr>
            </w:pPr>
            <w:r>
              <w:rPr>
                <w:rFonts w:hint="eastAsia" w:ascii="宋体" w:hAnsi="宋体"/>
                <w:b/>
                <w:color w:val="000000"/>
                <w:kern w:val="0"/>
                <w:sz w:val="18"/>
                <w:szCs w:val="18"/>
              </w:rPr>
              <w:t>铺设沥青（厚度≤10cm）</w:t>
            </w:r>
          </w:p>
        </w:tc>
        <w:tc>
          <w:tcPr>
            <w:tcW w:w="309" w:type="pct"/>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ascii="宋体" w:hAnsi="宋体"/>
                <w:b/>
                <w:color w:val="000000"/>
                <w:sz w:val="18"/>
                <w:szCs w:val="18"/>
              </w:rPr>
              <w:t>m</w:t>
            </w:r>
            <w:r>
              <w:rPr>
                <w:rFonts w:ascii="宋体" w:hAnsi="宋体"/>
                <w:b/>
                <w:color w:val="000000"/>
                <w:sz w:val="18"/>
                <w:szCs w:val="18"/>
                <w:vertAlign w:val="superscript"/>
              </w:rPr>
              <w:t>2</w:t>
            </w:r>
          </w:p>
        </w:tc>
        <w:tc>
          <w:tcPr>
            <w:tcW w:w="324" w:type="pct"/>
            <w:tcBorders>
              <w:top w:val="nil"/>
              <w:left w:val="nil"/>
              <w:bottom w:val="single" w:color="auto" w:sz="4" w:space="0"/>
              <w:right w:val="single" w:color="auto" w:sz="4" w:space="0"/>
            </w:tcBorders>
            <w:vAlign w:val="center"/>
          </w:tcPr>
          <w:p>
            <w:pPr>
              <w:widowControl/>
              <w:jc w:val="center"/>
              <w:rPr>
                <w:rFonts w:ascii="宋体" w:hAnsi="宋体"/>
                <w:b/>
                <w:sz w:val="18"/>
                <w:szCs w:val="18"/>
              </w:rPr>
            </w:pPr>
            <w:r>
              <w:rPr>
                <w:rFonts w:hint="eastAsia" w:ascii="宋体" w:hAnsi="宋体"/>
                <w:b/>
                <w:sz w:val="18"/>
                <w:szCs w:val="18"/>
              </w:rPr>
              <w:t>约2.5万</w:t>
            </w:r>
          </w:p>
        </w:tc>
        <w:tc>
          <w:tcPr>
            <w:tcW w:w="523" w:type="pct"/>
            <w:gridSpan w:val="2"/>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color w:val="000000"/>
                <w:sz w:val="18"/>
                <w:szCs w:val="18"/>
              </w:rPr>
              <w:t>1</w:t>
            </w:r>
            <w:r>
              <w:rPr>
                <w:rFonts w:ascii="宋体" w:hAnsi="宋体"/>
                <w:b/>
                <w:color w:val="000000"/>
                <w:sz w:val="18"/>
                <w:szCs w:val="18"/>
              </w:rPr>
              <w:t>0</w:t>
            </w:r>
            <w:r>
              <w:rPr>
                <w:rFonts w:hint="eastAsia" w:ascii="宋体" w:hAnsi="宋体"/>
                <w:b/>
                <w:color w:val="000000"/>
                <w:sz w:val="18"/>
                <w:szCs w:val="18"/>
              </w:rPr>
              <w:t>元/</w:t>
            </w:r>
            <w:r>
              <w:rPr>
                <w:rFonts w:ascii="宋体" w:hAnsi="宋体"/>
                <w:b/>
                <w:color w:val="000000"/>
                <w:sz w:val="18"/>
                <w:szCs w:val="18"/>
              </w:rPr>
              <w:t>m</w:t>
            </w:r>
            <w:r>
              <w:rPr>
                <w:rFonts w:ascii="宋体" w:hAnsi="宋体"/>
                <w:b/>
                <w:color w:val="000000"/>
                <w:sz w:val="18"/>
                <w:szCs w:val="18"/>
                <w:vertAlign w:val="superscript"/>
              </w:rPr>
              <w:t>2</w:t>
            </w:r>
            <w:r>
              <w:rPr>
                <w:rFonts w:ascii="宋体" w:hAnsi="宋体"/>
                <w:b/>
                <w:color w:val="000000"/>
                <w:sz w:val="18"/>
                <w:szCs w:val="18"/>
              </w:rPr>
              <w:t>·cm</w:t>
            </w:r>
          </w:p>
        </w:tc>
        <w:tc>
          <w:tcPr>
            <w:tcW w:w="542" w:type="pct"/>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sz w:val="18"/>
                <w:szCs w:val="18"/>
              </w:rPr>
            </w:pPr>
            <w:r>
              <w:rPr>
                <w:rFonts w:hint="eastAsia" w:ascii="宋体" w:hAnsi="宋体"/>
                <w:b/>
                <w:color w:val="000000"/>
                <w:sz w:val="18"/>
                <w:szCs w:val="18"/>
              </w:rPr>
              <w:t>-----</w:t>
            </w:r>
            <w:r>
              <w:rPr>
                <w:rFonts w:ascii="宋体" w:hAnsi="宋体"/>
                <w:b/>
                <w:color w:val="000000"/>
                <w:sz w:val="18"/>
                <w:szCs w:val="18"/>
              </w:rPr>
              <w:t>元/ m</w:t>
            </w:r>
            <w:r>
              <w:rPr>
                <w:rFonts w:ascii="宋体" w:hAnsi="宋体"/>
                <w:b/>
                <w:color w:val="000000"/>
                <w:sz w:val="18"/>
                <w:szCs w:val="18"/>
                <w:vertAlign w:val="superscript"/>
              </w:rPr>
              <w:t>2</w:t>
            </w:r>
            <w:r>
              <w:rPr>
                <w:rFonts w:ascii="宋体" w:hAnsi="宋体"/>
                <w:b/>
                <w:color w:val="000000"/>
                <w:sz w:val="18"/>
                <w:szCs w:val="18"/>
              </w:rPr>
              <w:t>·cm</w:t>
            </w:r>
          </w:p>
        </w:tc>
        <w:tc>
          <w:tcPr>
            <w:tcW w:w="2227"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拉毛、基层处理、沥青混凝土面层铺设、伸缩缝等图纸内相应做法全部工作内容涉及的人工费、机械费、主辅材料费、措施费、税金、管理费、利润、不可竞争费等全部费用。因施工需要，经发包人确认，修补铺设沥青工作量亦执行此单价。</w:t>
            </w:r>
          </w:p>
        </w:tc>
      </w:tr>
      <w:tr>
        <w:tblPrEx>
          <w:tblCellMar>
            <w:top w:w="0" w:type="dxa"/>
            <w:left w:w="108" w:type="dxa"/>
            <w:bottom w:w="0" w:type="dxa"/>
            <w:right w:w="108" w:type="dxa"/>
          </w:tblCellMar>
        </w:tblPrEx>
        <w:trPr>
          <w:trHeight w:val="680" w:hRule="atLeast"/>
        </w:trPr>
        <w:tc>
          <w:tcPr>
            <w:tcW w:w="266" w:type="pct"/>
            <w:tcBorders>
              <w:top w:val="nil"/>
              <w:left w:val="single" w:color="auto" w:sz="4" w:space="0"/>
              <w:bottom w:val="nil"/>
              <w:right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2</w:t>
            </w:r>
          </w:p>
        </w:tc>
        <w:tc>
          <w:tcPr>
            <w:tcW w:w="809" w:type="pct"/>
            <w:tcBorders>
              <w:top w:val="nil"/>
              <w:left w:val="nil"/>
              <w:bottom w:val="single" w:color="auto" w:sz="4" w:space="0"/>
              <w:right w:val="single" w:color="auto" w:sz="4" w:space="0"/>
            </w:tcBorders>
            <w:vAlign w:val="center"/>
          </w:tcPr>
          <w:p>
            <w:pPr>
              <w:rPr>
                <w:rFonts w:ascii="宋体" w:hAnsi="宋体"/>
                <w:color w:val="000000"/>
                <w:sz w:val="18"/>
                <w:szCs w:val="18"/>
              </w:rPr>
            </w:pPr>
            <w:r>
              <w:rPr>
                <w:rFonts w:hint="eastAsia" w:ascii="宋体" w:hAnsi="宋体"/>
                <w:b/>
                <w:color w:val="000000"/>
                <w:sz w:val="18"/>
                <w:szCs w:val="18"/>
              </w:rPr>
              <w:t>道路标志线</w:t>
            </w:r>
          </w:p>
        </w:tc>
        <w:tc>
          <w:tcPr>
            <w:tcW w:w="30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b/>
                <w:color w:val="000000"/>
                <w:sz w:val="18"/>
                <w:szCs w:val="18"/>
              </w:rPr>
              <w:t>m</w:t>
            </w:r>
          </w:p>
        </w:tc>
        <w:tc>
          <w:tcPr>
            <w:tcW w:w="324"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约1.1万</w:t>
            </w:r>
          </w:p>
        </w:tc>
        <w:tc>
          <w:tcPr>
            <w:tcW w:w="523" w:type="pct"/>
            <w:gridSpan w:val="2"/>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sz w:val="18"/>
                <w:szCs w:val="18"/>
              </w:rPr>
              <w:t>15元/m</w:t>
            </w: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color w:val="000000"/>
                <w:sz w:val="18"/>
                <w:szCs w:val="18"/>
              </w:rPr>
              <w:t>-----元/m</w:t>
            </w:r>
          </w:p>
        </w:tc>
        <w:tc>
          <w:tcPr>
            <w:tcW w:w="2227"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包含：按市政道路标准做法施工涉及的人工费、机械费、主辅材料费、措施费、税金、管理费、利润、不可竞争费等全部费用。本单价包括斑马线、缓冲线等各类标志线。长度按单线长度累计计算。</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3</w:t>
            </w:r>
          </w:p>
        </w:tc>
        <w:tc>
          <w:tcPr>
            <w:tcW w:w="809" w:type="pct"/>
            <w:tcBorders>
              <w:top w:val="nil"/>
              <w:left w:val="nil"/>
              <w:bottom w:val="single" w:color="auto" w:sz="4" w:space="0"/>
              <w:right w:val="single" w:color="auto" w:sz="4" w:space="0"/>
            </w:tcBorders>
            <w:vAlign w:val="center"/>
          </w:tcPr>
          <w:p>
            <w:pPr>
              <w:rPr>
                <w:rFonts w:ascii="宋体" w:hAnsi="宋体"/>
                <w:color w:val="000000"/>
                <w:sz w:val="18"/>
                <w:szCs w:val="18"/>
              </w:rPr>
            </w:pPr>
            <w:r>
              <w:rPr>
                <w:rFonts w:hint="eastAsia" w:ascii="宋体" w:hAnsi="宋体"/>
                <w:b/>
                <w:color w:val="000000"/>
                <w:sz w:val="18"/>
                <w:szCs w:val="18"/>
              </w:rPr>
              <w:t>路面修复</w:t>
            </w:r>
          </w:p>
        </w:tc>
        <w:tc>
          <w:tcPr>
            <w:tcW w:w="30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ascii="宋体" w:hAnsi="宋体"/>
                <w:b/>
                <w:color w:val="000000"/>
                <w:sz w:val="18"/>
                <w:szCs w:val="18"/>
              </w:rPr>
              <w:t>m³</w:t>
            </w:r>
          </w:p>
        </w:tc>
        <w:tc>
          <w:tcPr>
            <w:tcW w:w="324"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约400</w:t>
            </w:r>
          </w:p>
        </w:tc>
        <w:tc>
          <w:tcPr>
            <w:tcW w:w="523" w:type="pct"/>
            <w:gridSpan w:val="2"/>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sz w:val="18"/>
                <w:szCs w:val="18"/>
              </w:rPr>
              <w:t>1600元/</w:t>
            </w:r>
            <w:r>
              <w:rPr>
                <w:rFonts w:ascii="宋体" w:hAnsi="宋体"/>
                <w:b/>
                <w:sz w:val="18"/>
                <w:szCs w:val="18"/>
              </w:rPr>
              <w:t>m³</w:t>
            </w: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color w:val="000000"/>
                <w:sz w:val="18"/>
                <w:szCs w:val="18"/>
              </w:rPr>
              <w:t>-----元/</w:t>
            </w:r>
            <w:r>
              <w:rPr>
                <w:rFonts w:ascii="宋体" w:hAnsi="宋体"/>
                <w:b/>
                <w:color w:val="000000"/>
                <w:sz w:val="18"/>
                <w:szCs w:val="18"/>
              </w:rPr>
              <w:t>m³</w:t>
            </w:r>
          </w:p>
        </w:tc>
        <w:tc>
          <w:tcPr>
            <w:tcW w:w="2227"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包含：切缝、砼破除、钢筋切割、渣土运输、垫层修复、钢筋绑扎、砼浇筑等图纸内相应做法全部工作内容涉及的人工费、机械费、主辅材料费、措施费、税金、管理费、利润、不可竞争费等全部费用。</w:t>
            </w:r>
            <w:r>
              <w:rPr>
                <w:rFonts w:hint="eastAsia" w:ascii="宋体" w:hAnsi="宋体"/>
                <w:b/>
                <w:sz w:val="18"/>
                <w:szCs w:val="18"/>
              </w:rPr>
              <w:t>拆下的废钢筋送至发包方废钢库。</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4</w:t>
            </w:r>
          </w:p>
        </w:tc>
        <w:tc>
          <w:tcPr>
            <w:tcW w:w="809" w:type="pct"/>
            <w:tcBorders>
              <w:top w:val="nil"/>
              <w:left w:val="nil"/>
              <w:bottom w:val="single" w:color="auto" w:sz="4" w:space="0"/>
              <w:right w:val="single" w:color="auto" w:sz="4" w:space="0"/>
            </w:tcBorders>
            <w:vAlign w:val="center"/>
          </w:tcPr>
          <w:p>
            <w:pPr>
              <w:rPr>
                <w:rFonts w:ascii="宋体" w:hAnsi="宋体"/>
                <w:b/>
                <w:color w:val="000000"/>
                <w:sz w:val="18"/>
                <w:szCs w:val="18"/>
              </w:rPr>
            </w:pPr>
            <w:r>
              <w:rPr>
                <w:rFonts w:hint="eastAsia" w:ascii="宋体" w:hAnsi="宋体"/>
                <w:b/>
                <w:color w:val="000000"/>
                <w:sz w:val="18"/>
                <w:szCs w:val="18"/>
              </w:rPr>
              <w:t>路牙修复</w:t>
            </w:r>
          </w:p>
        </w:tc>
        <w:tc>
          <w:tcPr>
            <w:tcW w:w="30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b/>
                <w:color w:val="000000"/>
                <w:sz w:val="18"/>
                <w:szCs w:val="18"/>
              </w:rPr>
              <w:t>m</w:t>
            </w:r>
          </w:p>
        </w:tc>
        <w:tc>
          <w:tcPr>
            <w:tcW w:w="324"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约4800</w:t>
            </w:r>
          </w:p>
        </w:tc>
        <w:tc>
          <w:tcPr>
            <w:tcW w:w="523" w:type="pct"/>
            <w:gridSpan w:val="2"/>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sz w:val="18"/>
                <w:szCs w:val="18"/>
              </w:rPr>
              <w:t>1</w:t>
            </w:r>
            <w:r>
              <w:rPr>
                <w:rFonts w:ascii="宋体" w:hAnsi="宋体"/>
                <w:b/>
                <w:sz w:val="18"/>
                <w:szCs w:val="18"/>
              </w:rPr>
              <w:t>00</w:t>
            </w:r>
            <w:r>
              <w:rPr>
                <w:rFonts w:hint="eastAsia" w:ascii="宋体" w:hAnsi="宋体"/>
                <w:b/>
                <w:sz w:val="18"/>
                <w:szCs w:val="18"/>
              </w:rPr>
              <w:t>元/m</w:t>
            </w: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color w:val="000000"/>
                <w:sz w:val="18"/>
                <w:szCs w:val="18"/>
              </w:rPr>
              <w:t>------元/m</w:t>
            </w:r>
          </w:p>
        </w:tc>
        <w:tc>
          <w:tcPr>
            <w:tcW w:w="2227"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包含：破损路牙的植筋、、砼浇筑等图纸内相应做法全部工作内容涉及的人工费、机械费、主辅材料费、措施费、税金、管理费、利润、不可竞争费等全部费用。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5</w:t>
            </w:r>
          </w:p>
        </w:tc>
        <w:tc>
          <w:tcPr>
            <w:tcW w:w="809" w:type="pct"/>
            <w:tcBorders>
              <w:top w:val="nil"/>
              <w:left w:val="nil"/>
              <w:bottom w:val="single" w:color="auto" w:sz="4" w:space="0"/>
              <w:right w:val="single" w:color="auto" w:sz="4" w:space="0"/>
            </w:tcBorders>
            <w:vAlign w:val="center"/>
          </w:tcPr>
          <w:p>
            <w:pPr>
              <w:rPr>
                <w:rFonts w:ascii="宋体" w:hAnsi="宋体"/>
                <w:b/>
                <w:color w:val="000000"/>
                <w:sz w:val="18"/>
                <w:szCs w:val="18"/>
              </w:rPr>
            </w:pPr>
            <w:r>
              <w:rPr>
                <w:rFonts w:hint="eastAsia" w:ascii="宋体" w:hAnsi="宋体"/>
                <w:b/>
                <w:color w:val="000000"/>
                <w:sz w:val="18"/>
                <w:szCs w:val="18"/>
              </w:rPr>
              <w:t>人行道抬高</w:t>
            </w:r>
          </w:p>
        </w:tc>
        <w:tc>
          <w:tcPr>
            <w:tcW w:w="309" w:type="pct"/>
            <w:tcBorders>
              <w:top w:val="nil"/>
              <w:left w:val="nil"/>
              <w:bottom w:val="single" w:color="auto" w:sz="4" w:space="0"/>
              <w:right w:val="single" w:color="auto" w:sz="4" w:space="0"/>
            </w:tcBorders>
            <w:vAlign w:val="center"/>
          </w:tcPr>
          <w:p>
            <w:pPr>
              <w:jc w:val="center"/>
              <w:rPr>
                <w:rFonts w:ascii="宋体" w:hAnsi="宋体"/>
                <w:b/>
                <w:color w:val="000000"/>
                <w:sz w:val="18"/>
                <w:szCs w:val="18"/>
              </w:rPr>
            </w:pPr>
            <w:r>
              <w:rPr>
                <w:rFonts w:ascii="宋体" w:hAnsi="宋体"/>
                <w:b/>
                <w:color w:val="000000"/>
                <w:sz w:val="18"/>
                <w:szCs w:val="18"/>
              </w:rPr>
              <w:t>m</w:t>
            </w:r>
            <w:r>
              <w:rPr>
                <w:rFonts w:ascii="宋体" w:hAnsi="宋体"/>
                <w:b/>
                <w:color w:val="000000"/>
                <w:sz w:val="18"/>
                <w:szCs w:val="18"/>
                <w:vertAlign w:val="superscript"/>
              </w:rPr>
              <w:t>2</w:t>
            </w:r>
          </w:p>
        </w:tc>
        <w:tc>
          <w:tcPr>
            <w:tcW w:w="324"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约7600</w:t>
            </w:r>
          </w:p>
        </w:tc>
        <w:tc>
          <w:tcPr>
            <w:tcW w:w="523" w:type="pct"/>
            <w:gridSpan w:val="2"/>
            <w:tcBorders>
              <w:top w:val="single" w:color="auto" w:sz="4" w:space="0"/>
              <w:left w:val="nil"/>
              <w:bottom w:val="single" w:color="auto" w:sz="4" w:space="0"/>
              <w:right w:val="single" w:color="auto" w:sz="4" w:space="0"/>
            </w:tcBorders>
            <w:vAlign w:val="center"/>
          </w:tcPr>
          <w:p>
            <w:pPr>
              <w:widowControl/>
              <w:jc w:val="right"/>
              <w:rPr>
                <w:rFonts w:ascii="宋体" w:hAnsi="宋体"/>
                <w:b/>
                <w:sz w:val="18"/>
                <w:szCs w:val="18"/>
              </w:rPr>
            </w:pPr>
            <w:r>
              <w:rPr>
                <w:rFonts w:hint="eastAsia" w:ascii="宋体" w:hAnsi="宋体"/>
                <w:b/>
                <w:sz w:val="18"/>
                <w:szCs w:val="18"/>
              </w:rPr>
              <w:t>100</w:t>
            </w:r>
            <w:r>
              <w:rPr>
                <w:rFonts w:ascii="宋体" w:hAnsi="宋体"/>
                <w:b/>
                <w:color w:val="000000"/>
                <w:sz w:val="18"/>
                <w:szCs w:val="18"/>
              </w:rPr>
              <w:t>元/ m</w:t>
            </w:r>
            <w:r>
              <w:rPr>
                <w:rFonts w:ascii="宋体" w:hAnsi="宋体"/>
                <w:b/>
                <w:color w:val="000000"/>
                <w:sz w:val="18"/>
                <w:szCs w:val="18"/>
                <w:vertAlign w:val="superscript"/>
              </w:rPr>
              <w:t>2</w:t>
            </w: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b/>
                <w:color w:val="000000"/>
                <w:sz w:val="18"/>
                <w:szCs w:val="18"/>
              </w:rPr>
            </w:pPr>
            <w:r>
              <w:rPr>
                <w:rFonts w:hint="eastAsia" w:ascii="宋体" w:hAnsi="宋体"/>
                <w:b/>
                <w:color w:val="000000"/>
                <w:sz w:val="18"/>
                <w:szCs w:val="18"/>
              </w:rPr>
              <w:t>-----</w:t>
            </w:r>
            <w:r>
              <w:rPr>
                <w:rFonts w:ascii="宋体" w:hAnsi="宋体"/>
                <w:b/>
                <w:color w:val="000000"/>
                <w:sz w:val="18"/>
                <w:szCs w:val="18"/>
              </w:rPr>
              <w:t>元/ m</w:t>
            </w:r>
            <w:r>
              <w:rPr>
                <w:rFonts w:ascii="宋体" w:hAnsi="宋体"/>
                <w:b/>
                <w:color w:val="000000"/>
                <w:sz w:val="18"/>
                <w:szCs w:val="18"/>
                <w:vertAlign w:val="superscript"/>
              </w:rPr>
              <w:t>2</w:t>
            </w:r>
          </w:p>
        </w:tc>
        <w:tc>
          <w:tcPr>
            <w:tcW w:w="2227"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包含：水泥砂浆找平层、人行道砖铺设等图纸内相应做法全部工作内容涉及的人工费、机械费、主辅材料费、措施费、税金、管理费、利润、不可竞争费等全部费用。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6</w:t>
            </w:r>
          </w:p>
        </w:tc>
        <w:tc>
          <w:tcPr>
            <w:tcW w:w="809" w:type="pct"/>
            <w:tcBorders>
              <w:top w:val="nil"/>
              <w:left w:val="nil"/>
              <w:bottom w:val="single" w:color="auto" w:sz="4" w:space="0"/>
              <w:right w:val="single" w:color="auto" w:sz="4" w:space="0"/>
            </w:tcBorders>
            <w:vAlign w:val="center"/>
          </w:tcPr>
          <w:p>
            <w:pPr>
              <w:rPr>
                <w:rFonts w:ascii="宋体" w:hAnsi="宋体"/>
                <w:b/>
                <w:color w:val="000000"/>
                <w:sz w:val="18"/>
                <w:szCs w:val="18"/>
              </w:rPr>
            </w:pPr>
            <w:r>
              <w:rPr>
                <w:rFonts w:hint="eastAsia" w:ascii="宋体" w:hAnsi="宋体"/>
                <w:b/>
                <w:color w:val="000000"/>
                <w:sz w:val="18"/>
                <w:szCs w:val="18"/>
              </w:rPr>
              <w:t>人行道扩宽</w:t>
            </w:r>
          </w:p>
        </w:tc>
        <w:tc>
          <w:tcPr>
            <w:tcW w:w="309" w:type="pct"/>
            <w:tcBorders>
              <w:top w:val="nil"/>
              <w:left w:val="nil"/>
              <w:bottom w:val="single" w:color="auto" w:sz="4" w:space="0"/>
              <w:right w:val="single" w:color="auto" w:sz="4" w:space="0"/>
            </w:tcBorders>
            <w:vAlign w:val="center"/>
          </w:tcPr>
          <w:p>
            <w:pPr>
              <w:jc w:val="center"/>
              <w:rPr>
                <w:rFonts w:ascii="宋体" w:hAnsi="宋体"/>
                <w:b/>
                <w:color w:val="000000"/>
                <w:sz w:val="18"/>
                <w:szCs w:val="18"/>
              </w:rPr>
            </w:pPr>
            <w:r>
              <w:rPr>
                <w:rFonts w:ascii="宋体" w:hAnsi="宋体"/>
                <w:b/>
                <w:color w:val="000000"/>
                <w:sz w:val="18"/>
                <w:szCs w:val="18"/>
              </w:rPr>
              <w:t>m</w:t>
            </w:r>
            <w:r>
              <w:rPr>
                <w:rFonts w:ascii="宋体" w:hAnsi="宋体"/>
                <w:b/>
                <w:color w:val="000000"/>
                <w:sz w:val="18"/>
                <w:szCs w:val="18"/>
                <w:vertAlign w:val="superscript"/>
              </w:rPr>
              <w:t>2</w:t>
            </w:r>
          </w:p>
        </w:tc>
        <w:tc>
          <w:tcPr>
            <w:tcW w:w="324"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约1400</w:t>
            </w:r>
          </w:p>
        </w:tc>
        <w:tc>
          <w:tcPr>
            <w:tcW w:w="523" w:type="pct"/>
            <w:gridSpan w:val="2"/>
            <w:tcBorders>
              <w:top w:val="single" w:color="auto" w:sz="4" w:space="0"/>
              <w:left w:val="nil"/>
              <w:bottom w:val="single" w:color="auto" w:sz="4" w:space="0"/>
              <w:right w:val="single" w:color="auto" w:sz="4" w:space="0"/>
            </w:tcBorders>
            <w:vAlign w:val="center"/>
          </w:tcPr>
          <w:p>
            <w:pPr>
              <w:widowControl/>
              <w:jc w:val="right"/>
              <w:rPr>
                <w:rFonts w:ascii="宋体" w:hAnsi="宋体"/>
                <w:b/>
                <w:sz w:val="18"/>
                <w:szCs w:val="18"/>
              </w:rPr>
            </w:pPr>
            <w:r>
              <w:rPr>
                <w:rFonts w:hint="eastAsia" w:ascii="宋体" w:hAnsi="宋体"/>
                <w:b/>
                <w:sz w:val="18"/>
                <w:szCs w:val="18"/>
              </w:rPr>
              <w:t>160</w:t>
            </w:r>
            <w:r>
              <w:rPr>
                <w:rFonts w:ascii="宋体" w:hAnsi="宋体"/>
                <w:b/>
                <w:color w:val="000000"/>
                <w:sz w:val="18"/>
                <w:szCs w:val="18"/>
              </w:rPr>
              <w:t>元/ m</w:t>
            </w:r>
            <w:r>
              <w:rPr>
                <w:rFonts w:ascii="宋体" w:hAnsi="宋体"/>
                <w:b/>
                <w:color w:val="000000"/>
                <w:sz w:val="18"/>
                <w:szCs w:val="18"/>
                <w:vertAlign w:val="superscript"/>
              </w:rPr>
              <w:t>2</w:t>
            </w: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b/>
                <w:color w:val="000000"/>
                <w:sz w:val="18"/>
                <w:szCs w:val="18"/>
              </w:rPr>
            </w:pPr>
            <w:r>
              <w:rPr>
                <w:rFonts w:hint="eastAsia" w:ascii="宋体" w:hAnsi="宋体"/>
                <w:b/>
                <w:color w:val="000000"/>
                <w:sz w:val="18"/>
                <w:szCs w:val="18"/>
              </w:rPr>
              <w:t>-----</w:t>
            </w:r>
            <w:r>
              <w:rPr>
                <w:rFonts w:ascii="宋体" w:hAnsi="宋体"/>
                <w:b/>
                <w:color w:val="000000"/>
                <w:sz w:val="18"/>
                <w:szCs w:val="18"/>
              </w:rPr>
              <w:t>元/ m</w:t>
            </w:r>
            <w:r>
              <w:rPr>
                <w:rFonts w:ascii="宋体" w:hAnsi="宋体"/>
                <w:b/>
                <w:color w:val="000000"/>
                <w:sz w:val="18"/>
                <w:szCs w:val="18"/>
                <w:vertAlign w:val="superscript"/>
              </w:rPr>
              <w:t>2</w:t>
            </w:r>
          </w:p>
        </w:tc>
        <w:tc>
          <w:tcPr>
            <w:tcW w:w="2227"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包含：场地平整、夯实、碎石垫层、人行道砼垫层浇筑、模板、人行道砖铺设等图纸内相应做法全部工作内容涉及的人工费、机械费、主辅材料费、措施费、税金、管理费、利润、不可竞争费等全部费用。</w:t>
            </w:r>
          </w:p>
        </w:tc>
      </w:tr>
      <w:tr>
        <w:tblPrEx>
          <w:tblCellMar>
            <w:top w:w="0" w:type="dxa"/>
            <w:left w:w="108" w:type="dxa"/>
            <w:bottom w:w="0" w:type="dxa"/>
            <w:right w:w="108" w:type="dxa"/>
          </w:tblCellMar>
        </w:tblPrEx>
        <w:trPr>
          <w:trHeight w:val="6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7</w:t>
            </w:r>
          </w:p>
        </w:tc>
        <w:tc>
          <w:tcPr>
            <w:tcW w:w="809" w:type="pct"/>
            <w:tcBorders>
              <w:top w:val="nil"/>
              <w:left w:val="nil"/>
              <w:bottom w:val="single" w:color="auto" w:sz="4" w:space="0"/>
              <w:right w:val="single" w:color="auto" w:sz="4" w:space="0"/>
            </w:tcBorders>
            <w:vAlign w:val="center"/>
          </w:tcPr>
          <w:p>
            <w:pPr>
              <w:rPr>
                <w:rFonts w:ascii="宋体" w:hAnsi="宋体"/>
                <w:b/>
                <w:color w:val="000000"/>
                <w:sz w:val="18"/>
                <w:szCs w:val="18"/>
              </w:rPr>
            </w:pPr>
            <w:r>
              <w:rPr>
                <w:rFonts w:hint="eastAsia" w:ascii="宋体" w:hAnsi="宋体"/>
                <w:b/>
                <w:color w:val="000000"/>
                <w:sz w:val="18"/>
                <w:szCs w:val="18"/>
              </w:rPr>
              <w:t>雨水口抬高</w:t>
            </w:r>
          </w:p>
        </w:tc>
        <w:tc>
          <w:tcPr>
            <w:tcW w:w="309"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处</w:t>
            </w:r>
          </w:p>
        </w:tc>
        <w:tc>
          <w:tcPr>
            <w:tcW w:w="324" w:type="pct"/>
            <w:tcBorders>
              <w:top w:val="nil"/>
              <w:left w:val="nil"/>
              <w:bottom w:val="single" w:color="auto" w:sz="4" w:space="0"/>
              <w:right w:val="single" w:color="auto" w:sz="4" w:space="0"/>
            </w:tcBorders>
            <w:vAlign w:val="center"/>
          </w:tcPr>
          <w:p>
            <w:pPr>
              <w:jc w:val="center"/>
              <w:rPr>
                <w:rFonts w:ascii="宋体" w:hAnsi="宋体"/>
                <w:b/>
                <w:sz w:val="18"/>
                <w:szCs w:val="18"/>
              </w:rPr>
            </w:pPr>
            <w:r>
              <w:rPr>
                <w:rFonts w:hint="eastAsia" w:ascii="宋体" w:hAnsi="宋体"/>
                <w:b/>
                <w:sz w:val="18"/>
                <w:szCs w:val="18"/>
              </w:rPr>
              <w:t>约50</w:t>
            </w:r>
          </w:p>
        </w:tc>
        <w:tc>
          <w:tcPr>
            <w:tcW w:w="523" w:type="pct"/>
            <w:gridSpan w:val="2"/>
            <w:tcBorders>
              <w:top w:val="single" w:color="auto" w:sz="4" w:space="0"/>
              <w:left w:val="nil"/>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sz w:val="18"/>
                <w:szCs w:val="18"/>
              </w:rPr>
              <w:t>3</w:t>
            </w:r>
            <w:r>
              <w:rPr>
                <w:rFonts w:ascii="宋体" w:hAnsi="宋体"/>
                <w:b/>
                <w:sz w:val="18"/>
                <w:szCs w:val="18"/>
              </w:rPr>
              <w:t>00</w:t>
            </w:r>
            <w:r>
              <w:rPr>
                <w:rFonts w:hint="eastAsia" w:ascii="宋体" w:hAnsi="宋体"/>
                <w:b/>
                <w:sz w:val="18"/>
                <w:szCs w:val="18"/>
              </w:rPr>
              <w:t>元/处</w:t>
            </w: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kern w:val="0"/>
                <w:sz w:val="18"/>
                <w:szCs w:val="18"/>
              </w:rPr>
            </w:pPr>
            <w:r>
              <w:rPr>
                <w:rFonts w:hint="eastAsia" w:ascii="宋体" w:hAnsi="宋体"/>
                <w:b/>
                <w:color w:val="000000"/>
                <w:sz w:val="18"/>
                <w:szCs w:val="18"/>
              </w:rPr>
              <w:t>------元/处</w:t>
            </w:r>
          </w:p>
        </w:tc>
        <w:tc>
          <w:tcPr>
            <w:tcW w:w="2227" w:type="pct"/>
            <w:tcBorders>
              <w:top w:val="single" w:color="auto" w:sz="4" w:space="0"/>
              <w:left w:val="nil"/>
              <w:bottom w:val="single" w:color="auto" w:sz="4" w:space="0"/>
              <w:right w:val="single" w:color="auto" w:sz="4" w:space="0"/>
            </w:tcBorders>
          </w:tcPr>
          <w:p>
            <w:pPr>
              <w:rPr>
                <w:rFonts w:ascii="宋体" w:hAnsi="宋体"/>
                <w:sz w:val="18"/>
                <w:szCs w:val="18"/>
              </w:rPr>
            </w:pPr>
            <w:r>
              <w:rPr>
                <w:rFonts w:hint="eastAsia" w:ascii="宋体" w:hAnsi="宋体"/>
                <w:sz w:val="18"/>
                <w:szCs w:val="18"/>
              </w:rPr>
              <w:t>雨水口抬高应符合路面铺设要求。单价包含涉及的人工费、机械费、材料费、措施费、税金、管理费、利润、不可竞争费等全部费用。</w:t>
            </w:r>
          </w:p>
        </w:tc>
      </w:tr>
      <w:tr>
        <w:tblPrEx>
          <w:tblCellMar>
            <w:top w:w="0" w:type="dxa"/>
            <w:left w:w="108" w:type="dxa"/>
            <w:bottom w:w="0" w:type="dxa"/>
            <w:right w:w="108" w:type="dxa"/>
          </w:tblCellMar>
        </w:tblPrEx>
        <w:trPr>
          <w:trHeight w:val="529" w:hRule="atLeast"/>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rPr>
                <w:szCs w:val="21"/>
              </w:rPr>
            </w:pPr>
            <w:r>
              <w:rPr>
                <w:rFonts w:hint="eastAsia"/>
                <w:color w:val="000000"/>
                <w:szCs w:val="21"/>
              </w:rPr>
              <w:t>二、除单价包干外工作量</w:t>
            </w:r>
          </w:p>
        </w:tc>
      </w:tr>
      <w:tr>
        <w:tblPrEx>
          <w:tblCellMar>
            <w:top w:w="0" w:type="dxa"/>
            <w:left w:w="108" w:type="dxa"/>
            <w:bottom w:w="0" w:type="dxa"/>
            <w:right w:w="108" w:type="dxa"/>
          </w:tblCellMar>
        </w:tblPrEx>
        <w:trPr>
          <w:trHeight w:val="972"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8</w:t>
            </w:r>
          </w:p>
        </w:tc>
        <w:tc>
          <w:tcPr>
            <w:tcW w:w="809" w:type="pct"/>
            <w:tcBorders>
              <w:top w:val="nil"/>
              <w:left w:val="nil"/>
              <w:bottom w:val="single" w:color="auto" w:sz="4" w:space="0"/>
              <w:right w:val="single" w:color="auto" w:sz="4" w:space="0"/>
            </w:tcBorders>
            <w:vAlign w:val="center"/>
          </w:tcPr>
          <w:p>
            <w:pPr>
              <w:jc w:val="left"/>
              <w:rPr>
                <w:rFonts w:ascii="宋体" w:hAnsi="宋体"/>
                <w:b/>
                <w:color w:val="000000"/>
                <w:sz w:val="18"/>
                <w:szCs w:val="18"/>
                <w:u w:val="single"/>
              </w:rPr>
            </w:pPr>
            <w:r>
              <w:rPr>
                <w:rFonts w:hint="eastAsia" w:ascii="宋体" w:hAnsi="宋体"/>
                <w:b/>
                <w:sz w:val="18"/>
                <w:szCs w:val="18"/>
              </w:rPr>
              <w:t>优惠率（不包含材料费）</w:t>
            </w:r>
          </w:p>
        </w:tc>
        <w:tc>
          <w:tcPr>
            <w:tcW w:w="633" w:type="pct"/>
            <w:gridSpan w:val="2"/>
            <w:tcBorders>
              <w:top w:val="nil"/>
              <w:left w:val="nil"/>
              <w:bottom w:val="single" w:color="auto" w:sz="4" w:space="0"/>
              <w:right w:val="single" w:color="auto" w:sz="4" w:space="0"/>
            </w:tcBorders>
            <w:vAlign w:val="center"/>
          </w:tcPr>
          <w:p>
            <w:pPr>
              <w:ind w:left="181" w:hanging="181" w:hangingChars="100"/>
              <w:jc w:val="left"/>
              <w:rPr>
                <w:rFonts w:ascii="宋体" w:hAnsi="宋体"/>
                <w:b/>
                <w:sz w:val="18"/>
                <w:szCs w:val="18"/>
                <w:u w:val="single"/>
              </w:rPr>
            </w:pPr>
            <w:r>
              <w:rPr>
                <w:rFonts w:hint="eastAsia" w:ascii="宋体" w:hAnsi="宋体"/>
                <w:b/>
                <w:sz w:val="18"/>
                <w:szCs w:val="18"/>
              </w:rPr>
              <w:t>暂列金额100000元</w:t>
            </w:r>
          </w:p>
        </w:tc>
        <w:tc>
          <w:tcPr>
            <w:tcW w:w="523" w:type="pct"/>
            <w:gridSpan w:val="2"/>
            <w:tcBorders>
              <w:top w:val="nil"/>
              <w:left w:val="nil"/>
              <w:bottom w:val="single" w:color="auto" w:sz="4" w:space="0"/>
              <w:right w:val="single" w:color="auto" w:sz="4" w:space="0"/>
            </w:tcBorders>
            <w:vAlign w:val="center"/>
          </w:tcPr>
          <w:p>
            <w:pPr>
              <w:widowControl/>
              <w:jc w:val="center"/>
              <w:rPr>
                <w:rFonts w:ascii="宋体" w:hAnsi="宋体"/>
                <w:b/>
                <w:kern w:val="0"/>
                <w:sz w:val="18"/>
                <w:szCs w:val="18"/>
              </w:rPr>
            </w:pPr>
            <w:r>
              <w:rPr>
                <w:rFonts w:hint="eastAsia" w:ascii="宋体" w:hAnsi="宋体"/>
                <w:b/>
                <w:kern w:val="0"/>
                <w:sz w:val="18"/>
                <w:szCs w:val="18"/>
              </w:rPr>
              <w:t>1%</w:t>
            </w: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kern w:val="0"/>
                <w:sz w:val="18"/>
                <w:szCs w:val="18"/>
              </w:rPr>
            </w:pPr>
            <w:r>
              <w:rPr>
                <w:rFonts w:hint="eastAsia" w:ascii="宋体" w:hAnsi="宋体"/>
                <w:b/>
                <w:kern w:val="0"/>
                <w:sz w:val="18"/>
                <w:szCs w:val="18"/>
              </w:rPr>
              <w:t>优惠</w:t>
            </w:r>
            <w:r>
              <w:rPr>
                <w:rFonts w:hint="eastAsia" w:ascii="宋体" w:hAnsi="宋体"/>
                <w:b/>
                <w:kern w:val="0"/>
                <w:sz w:val="18"/>
                <w:szCs w:val="18"/>
                <w:u w:val="single"/>
              </w:rPr>
              <w:t xml:space="preserve">    </w:t>
            </w:r>
            <w:r>
              <w:rPr>
                <w:rFonts w:hint="eastAsia" w:ascii="宋体" w:hAnsi="宋体"/>
                <w:b/>
                <w:kern w:val="0"/>
                <w:sz w:val="18"/>
                <w:szCs w:val="18"/>
              </w:rPr>
              <w:t>%</w:t>
            </w:r>
          </w:p>
        </w:tc>
        <w:tc>
          <w:tcPr>
            <w:tcW w:w="2227" w:type="pct"/>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执行2018版安徽省建设工程计价定额及配套费用定额，材料费不参与总价优惠。措施项目费以现场确认形式据实计取，二次搬运费不计取。包括绿化带砌筑等工作量。</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b/>
          <w:sz w:val="24"/>
          <w:szCs w:val="24"/>
        </w:rPr>
        <w:t>注：本报价单需加盖投标单位公章和</w:t>
      </w:r>
      <w:r>
        <w:rPr>
          <w:rFonts w:hint="eastAsia"/>
          <w:b/>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532887698"/>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DC136C9"/>
    <w:rsid w:val="214D2E1E"/>
    <w:rsid w:val="21F73AF2"/>
    <w:rsid w:val="23883F50"/>
    <w:rsid w:val="24C93CD8"/>
    <w:rsid w:val="24E835CF"/>
    <w:rsid w:val="282A37D0"/>
    <w:rsid w:val="326329B3"/>
    <w:rsid w:val="34481C4C"/>
    <w:rsid w:val="59A06F0E"/>
    <w:rsid w:val="66296C18"/>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2021-05-21T01:11:15Z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