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三号门及五号门围墙改造工程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24</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03WQGZGC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三号门及五号门围墙改造工程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 w:val="0"/>
          <w:bCs/>
          <w:color w:val="FF0000"/>
          <w:sz w:val="24"/>
          <w:szCs w:val="24"/>
        </w:rPr>
        <w:t>建筑工程施工总承包</w:t>
      </w:r>
      <w:r>
        <w:rPr>
          <w:rFonts w:hint="eastAsia"/>
          <w:b w:val="0"/>
          <w:bCs/>
          <w:color w:val="FF0000"/>
          <w:sz w:val="24"/>
          <w:szCs w:val="24"/>
        </w:rPr>
        <w:t>叁级及以上资质。</w:t>
      </w:r>
      <w:r>
        <w:rPr>
          <w:rFonts w:hint="eastAsia" w:hAnsi="宋体"/>
          <w:sz w:val="24"/>
          <w:szCs w:val="24"/>
        </w:rPr>
        <w:t>项目经理至少具有</w:t>
      </w:r>
      <w:r>
        <w:rPr>
          <w:rFonts w:hint="eastAsia" w:hAnsi="宋体"/>
          <w:color w:val="FF0000"/>
          <w:sz w:val="24"/>
          <w:szCs w:val="24"/>
          <w:lang w:val="en-US" w:eastAsia="zh-CN"/>
        </w:rPr>
        <w:t>建筑工程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三号门及五号门围墙改造工程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周剑波</w:t>
      </w:r>
      <w:r>
        <w:rPr>
          <w:rFonts w:hint="eastAsia" w:ascii="宋体" w:hAnsi="宋体" w:eastAsia="宋体" w:cs="宋体"/>
          <w:color w:val="2A2A2A"/>
          <w:kern w:val="0"/>
          <w:sz w:val="24"/>
          <w:szCs w:val="24"/>
        </w:rPr>
        <w:t xml:space="preserve">        13155338076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三号门及五号门围墙改造工程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三号门及五号门围墙改造工程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01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具体内容详见发包人确认下发的图纸工程量及做法。</w:t>
      </w:r>
    </w:p>
    <w:p>
      <w:pPr>
        <w:numPr>
          <w:ilvl w:val="0"/>
          <w:numId w:val="0"/>
        </w:numPr>
        <w:spacing w:line="360" w:lineRule="auto"/>
        <w:ind w:leftChars="0"/>
        <w:rPr>
          <w:rFonts w:ascii="宋体" w:hAnsi="宋体"/>
          <w:sz w:val="24"/>
          <w:szCs w:val="24"/>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p>
    <w:p>
      <w:pPr>
        <w:numPr>
          <w:ilvl w:val="0"/>
          <w:numId w:val="0"/>
        </w:numPr>
        <w:spacing w:line="360" w:lineRule="auto"/>
        <w:ind w:leftChars="0"/>
        <w:rPr>
          <w:rFonts w:hint="eastAsia" w:ascii="宋体" w:hAnsi="宋体"/>
        </w:rPr>
      </w:pPr>
      <w:r>
        <w:rPr>
          <w:rFonts w:hint="eastAsia" w:ascii="宋体" w:hAnsi="宋体"/>
        </w:rPr>
        <w:t>三号门内侧围墙改造工程：徽派围墙砌筑、水沟抬高、路牙改造、人行道砖铺设、检查井改造、新建人行道等图纸内全部工作内容。</w:t>
      </w:r>
    </w:p>
    <w:p>
      <w:pPr>
        <w:numPr>
          <w:ilvl w:val="0"/>
          <w:numId w:val="0"/>
        </w:numPr>
        <w:spacing w:line="360" w:lineRule="auto"/>
        <w:ind w:leftChars="0"/>
        <w:rPr>
          <w:rFonts w:hint="eastAsia" w:ascii="宋体" w:hAnsi="宋体"/>
        </w:rPr>
      </w:pPr>
      <w:r>
        <w:rPr>
          <w:rFonts w:hint="eastAsia" w:ascii="宋体" w:hAnsi="宋体"/>
        </w:rPr>
        <w:t>五号门外侧围墙改造工程：徽派围墙砌筑、成品铁艺门安装、旧PVC栏杆拆除等图纸内全部工作内容。</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sz w:val="24"/>
          <w:szCs w:val="24"/>
        </w:rPr>
        <w:t xml:space="preserve"> </w:t>
      </w:r>
      <w:r>
        <w:rPr>
          <w:rFonts w:hint="eastAsia" w:ascii="宋体" w:hAnsi="宋体" w:cs="宋体"/>
          <w:kern w:val="36"/>
        </w:rPr>
        <w:t>开工日期： 2021年6月</w:t>
      </w:r>
      <w:r>
        <w:rPr>
          <w:rFonts w:hint="eastAsia" w:ascii="宋体" w:hAnsi="宋体" w:cs="宋体"/>
          <w:kern w:val="36"/>
          <w:lang w:val="en-US" w:eastAsia="zh-CN"/>
        </w:rPr>
        <w:t>01</w:t>
      </w:r>
      <w:r>
        <w:rPr>
          <w:rFonts w:hint="eastAsia" w:ascii="宋体" w:hAnsi="宋体" w:cs="宋体"/>
          <w:kern w:val="36"/>
        </w:rPr>
        <w:t xml:space="preserve">日 （暂定）                                          </w:t>
      </w:r>
    </w:p>
    <w:p>
      <w:pPr>
        <w:spacing w:line="360" w:lineRule="exact"/>
        <w:rPr>
          <w:rFonts w:hint="eastAsia" w:ascii="宋体" w:hAnsi="宋体" w:cs="宋体"/>
          <w:kern w:val="36"/>
        </w:rPr>
      </w:pPr>
      <w:r>
        <w:rPr>
          <w:rFonts w:hint="eastAsia" w:ascii="宋体" w:hAnsi="宋体" w:cs="宋体"/>
          <w:kern w:val="36"/>
        </w:rPr>
        <w:t xml:space="preserve"> 竣工日期： 2021年</w:t>
      </w:r>
      <w:r>
        <w:rPr>
          <w:rFonts w:hint="eastAsia" w:ascii="宋体" w:hAnsi="宋体" w:cs="宋体"/>
          <w:kern w:val="36"/>
          <w:lang w:val="en-US" w:eastAsia="zh-CN"/>
        </w:rPr>
        <w:t>6</w:t>
      </w:r>
      <w:r>
        <w:rPr>
          <w:rFonts w:hint="eastAsia" w:ascii="宋体" w:hAnsi="宋体" w:cs="宋体"/>
          <w:kern w:val="36"/>
        </w:rPr>
        <w:t>月</w:t>
      </w:r>
      <w:r>
        <w:rPr>
          <w:rFonts w:hint="eastAsia" w:ascii="宋体" w:hAnsi="宋体" w:cs="宋体"/>
          <w:kern w:val="36"/>
          <w:lang w:val="en-US" w:eastAsia="zh-CN"/>
        </w:rPr>
        <w:t>30</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 xml:space="preserve">合同工期总日历天数   </w:t>
      </w:r>
      <w:r>
        <w:rPr>
          <w:rFonts w:hint="eastAsia" w:ascii="宋体" w:hAnsi="宋体" w:cs="宋体"/>
          <w:kern w:val="36"/>
          <w:lang w:val="en-US" w:eastAsia="zh-CN"/>
        </w:rPr>
        <w:t>30</w:t>
      </w:r>
      <w:r>
        <w:rPr>
          <w:rFonts w:hint="eastAsia" w:ascii="宋体" w:hAnsi="宋体" w:cs="宋体"/>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Lines="50"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 xml:space="preserve">该工程所有材料（除钢筋、铸管外）由承包人提供。 </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发包人提供的钢筋和铸管的厂内倒运费用按照报价单执行，若发包人不能及时提供所需材料，承包方上报自购证明报告，经发包人同意后可由承包人提供。</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钢材价格以2021年4月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bookmarkStart w:id="4" w:name="_GoBack"/>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bookmarkEnd w:id="4"/>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FF0000"/>
          <w:lang w:val="en-US" w:eastAsia="zh-CN"/>
        </w:rPr>
        <w:t>壹</w:t>
      </w:r>
      <w:r>
        <w:rPr>
          <w:rFonts w:hint="eastAsia" w:ascii="宋体" w:hAnsi="宋体" w:cs="宋体"/>
          <w:color w:val="FF0000"/>
        </w:rPr>
        <w:t>仟圆整</w:t>
      </w:r>
      <w:r>
        <w:rPr>
          <w:rFonts w:hint="eastAsia" w:ascii="宋体" w:hAnsi="宋体" w:cs="宋体"/>
          <w:color w:val="000000"/>
        </w:rPr>
        <w:t>（¥：</w:t>
      </w:r>
      <w:r>
        <w:rPr>
          <w:rFonts w:hint="eastAsia" w:ascii="宋体" w:hAnsi="宋体" w:cs="宋体"/>
          <w:color w:val="000000"/>
          <w:lang w:val="en-US" w:eastAsia="zh-CN"/>
        </w:rPr>
        <w:t>1</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三号门内侧围墙改造工程</w:t>
      </w:r>
      <w:r>
        <w:rPr>
          <w:rFonts w:hint="eastAsia" w:ascii="宋体" w:hAnsi="宋体"/>
          <w:b/>
          <w:bCs/>
          <w:sz w:val="36"/>
          <w:szCs w:val="36"/>
        </w:rPr>
        <w:t>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1"/>
        <w:gridCol w:w="2467"/>
        <w:gridCol w:w="790"/>
        <w:gridCol w:w="1217"/>
        <w:gridCol w:w="1381"/>
        <w:gridCol w:w="1786"/>
        <w:gridCol w:w="6793"/>
      </w:tblGrid>
      <w:tr>
        <w:tblPrEx>
          <w:tblCellMar>
            <w:top w:w="0" w:type="dxa"/>
            <w:left w:w="108" w:type="dxa"/>
            <w:bottom w:w="0" w:type="dxa"/>
            <w:right w:w="108" w:type="dxa"/>
          </w:tblCellMar>
        </w:tblPrEx>
        <w:trPr>
          <w:trHeight w:val="75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5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int="eastAsia"/>
                <w:color w:val="000000"/>
                <w:sz w:val="22"/>
                <w:szCs w:val="22"/>
              </w:rPr>
              <w:t>1</w:t>
            </w:r>
          </w:p>
        </w:tc>
        <w:tc>
          <w:tcPr>
            <w:tcW w:w="809" w:type="pct"/>
            <w:tcBorders>
              <w:top w:val="nil"/>
              <w:left w:val="nil"/>
              <w:bottom w:val="single" w:color="auto" w:sz="4" w:space="0"/>
              <w:righ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徽派围墙</w:t>
            </w:r>
          </w:p>
        </w:tc>
        <w:tc>
          <w:tcPr>
            <w:tcW w:w="259" w:type="pct"/>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m</w:t>
            </w:r>
          </w:p>
        </w:tc>
        <w:tc>
          <w:tcPr>
            <w:tcW w:w="399" w:type="pct"/>
            <w:tcBorders>
              <w:top w:val="nil"/>
              <w:left w:val="nil"/>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约200</w:t>
            </w:r>
          </w:p>
        </w:tc>
        <w:tc>
          <w:tcPr>
            <w:tcW w:w="453"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1800元/m</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元/m</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cs="宋体"/>
                <w:color w:val="000000"/>
                <w:kern w:val="0"/>
                <w:sz w:val="18"/>
                <w:szCs w:val="18"/>
              </w:rPr>
              <w:t>包含：基础、砖墙、砖垛、涂料、盖瓦、伸缩缝、泄水孔、围墙相接等</w:t>
            </w:r>
            <w:r>
              <w:rPr>
                <w:rFonts w:hint="eastAsia" w:ascii="宋体" w:hAnsi="宋体"/>
                <w:sz w:val="18"/>
                <w:szCs w:val="18"/>
              </w:rPr>
              <w:t>图纸内相应做法全部工作内容涉及的人工费、机械费、主辅材料费、措施费、税金、管理费、利润、不可竞争费等全部费用。本单价不含钢筋材料费。</w:t>
            </w:r>
          </w:p>
        </w:tc>
      </w:tr>
      <w:tr>
        <w:tblPrEx>
          <w:tblCellMar>
            <w:top w:w="0" w:type="dxa"/>
            <w:left w:w="108" w:type="dxa"/>
            <w:bottom w:w="0" w:type="dxa"/>
            <w:right w:w="108" w:type="dxa"/>
          </w:tblCellMar>
        </w:tblPrEx>
        <w:trPr>
          <w:trHeight w:val="680" w:hRule="atLeast"/>
        </w:trPr>
        <w:tc>
          <w:tcPr>
            <w:tcW w:w="266" w:type="pct"/>
            <w:tcBorders>
              <w:top w:val="nil"/>
              <w:left w:val="single" w:color="auto" w:sz="4" w:space="0"/>
              <w:bottom w:val="nil"/>
              <w:right w:val="single" w:color="auto" w:sz="4" w:space="0"/>
            </w:tcBorders>
            <w:noWrap/>
            <w:vAlign w:val="center"/>
          </w:tcPr>
          <w:p>
            <w:pPr>
              <w:jc w:val="center"/>
              <w:rPr>
                <w:color w:val="000000"/>
                <w:sz w:val="22"/>
                <w:szCs w:val="22"/>
              </w:rPr>
            </w:pPr>
            <w:r>
              <w:rPr>
                <w:rFonts w:hint="eastAsia"/>
                <w:color w:val="000000"/>
                <w:sz w:val="22"/>
                <w:szCs w:val="22"/>
              </w:rPr>
              <w:t>2</w:t>
            </w:r>
          </w:p>
        </w:tc>
        <w:tc>
          <w:tcPr>
            <w:tcW w:w="809" w:type="pct"/>
            <w:tcBorders>
              <w:top w:val="nil"/>
              <w:left w:val="nil"/>
              <w:bottom w:val="single" w:color="auto" w:sz="4" w:space="0"/>
              <w:right w:val="single" w:color="auto" w:sz="4" w:space="0"/>
            </w:tcBorders>
            <w:vAlign w:val="center"/>
          </w:tcPr>
          <w:p>
            <w:pPr>
              <w:rPr>
                <w:rFonts w:ascii="宋体" w:hAnsi="宋体"/>
                <w:color w:val="000000"/>
                <w:sz w:val="18"/>
                <w:szCs w:val="18"/>
              </w:rPr>
            </w:pPr>
            <w:r>
              <w:rPr>
                <w:rFonts w:hint="eastAsia" w:ascii="宋体" w:hAnsi="宋体"/>
                <w:color w:val="000000"/>
                <w:sz w:val="18"/>
                <w:szCs w:val="18"/>
              </w:rPr>
              <w:t>原有人行道抬高</w:t>
            </w:r>
          </w:p>
        </w:tc>
        <w:tc>
          <w:tcPr>
            <w:tcW w:w="25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kern w:val="0"/>
                <w:sz w:val="18"/>
                <w:szCs w:val="18"/>
              </w:rPr>
              <w:t>m</w:t>
            </w:r>
          </w:p>
        </w:tc>
        <w:tc>
          <w:tcPr>
            <w:tcW w:w="39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约136</w:t>
            </w:r>
          </w:p>
        </w:tc>
        <w:tc>
          <w:tcPr>
            <w:tcW w:w="453"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650元/m</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元/m</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w:t>
            </w:r>
            <w:r>
              <w:rPr>
                <w:rFonts w:hint="eastAsia" w:ascii="宋体" w:hAnsi="宋体"/>
                <w:b/>
                <w:sz w:val="18"/>
                <w:szCs w:val="18"/>
              </w:rPr>
              <w:t>水沟抬高、路牙改造、人行道砖铺设及检查井改造</w:t>
            </w:r>
            <w:r>
              <w:rPr>
                <w:rFonts w:hint="eastAsia" w:ascii="宋体" w:hAnsi="宋体"/>
                <w:sz w:val="18"/>
                <w:szCs w:val="18"/>
              </w:rPr>
              <w:t>等图纸内相应做法全部工作内容涉及的人工费、机械费、主辅材料费、措施费、税金、管理费、利润、不可竞争费等全部费用。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3</w:t>
            </w:r>
          </w:p>
        </w:tc>
        <w:tc>
          <w:tcPr>
            <w:tcW w:w="809" w:type="pct"/>
            <w:tcBorders>
              <w:top w:val="nil"/>
              <w:left w:val="nil"/>
              <w:bottom w:val="single" w:color="auto" w:sz="4" w:space="0"/>
              <w:right w:val="single" w:color="auto" w:sz="4" w:space="0"/>
            </w:tcBorders>
            <w:vAlign w:val="center"/>
          </w:tcPr>
          <w:p>
            <w:pPr>
              <w:rPr>
                <w:rFonts w:ascii="宋体" w:hAnsi="宋体"/>
                <w:color w:val="000000"/>
                <w:sz w:val="18"/>
                <w:szCs w:val="18"/>
              </w:rPr>
            </w:pPr>
            <w:r>
              <w:rPr>
                <w:rFonts w:hint="eastAsia" w:ascii="宋体" w:hAnsi="宋体"/>
                <w:color w:val="000000"/>
                <w:sz w:val="18"/>
                <w:szCs w:val="18"/>
              </w:rPr>
              <w:t>新建人行道</w:t>
            </w:r>
          </w:p>
        </w:tc>
        <w:tc>
          <w:tcPr>
            <w:tcW w:w="25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m</w:t>
            </w:r>
          </w:p>
        </w:tc>
        <w:tc>
          <w:tcPr>
            <w:tcW w:w="39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约18</w:t>
            </w:r>
          </w:p>
        </w:tc>
        <w:tc>
          <w:tcPr>
            <w:tcW w:w="453"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300元/m</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元/m</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包含：水泥砂浆找平层、垫层、人行道砖铺设等图纸内相应做法全部工作内容涉及的人工费、机械费、主辅材料费、措施费、税金、管理费、利润、不可竞争费等全部费用。</w:t>
            </w:r>
          </w:p>
        </w:tc>
      </w:tr>
      <w:tr>
        <w:tblPrEx>
          <w:tblCellMar>
            <w:top w:w="0" w:type="dxa"/>
            <w:left w:w="108" w:type="dxa"/>
            <w:bottom w:w="0" w:type="dxa"/>
            <w:right w:w="108" w:type="dxa"/>
          </w:tblCellMar>
        </w:tblPrEx>
        <w:trPr>
          <w:trHeight w:val="529"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二、除单价包干外工作量</w:t>
            </w:r>
          </w:p>
        </w:tc>
      </w:tr>
      <w:tr>
        <w:tblPrEx>
          <w:tblCellMar>
            <w:top w:w="0" w:type="dxa"/>
            <w:left w:w="108" w:type="dxa"/>
            <w:bottom w:w="0" w:type="dxa"/>
            <w:right w:w="108" w:type="dxa"/>
          </w:tblCellMar>
        </w:tblPrEx>
        <w:trPr>
          <w:trHeight w:val="972"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color w:val="000000"/>
                <w:sz w:val="22"/>
                <w:szCs w:val="22"/>
              </w:rPr>
              <w:t>4</w:t>
            </w:r>
          </w:p>
        </w:tc>
        <w:tc>
          <w:tcPr>
            <w:tcW w:w="809" w:type="pct"/>
            <w:tcBorders>
              <w:top w:val="nil"/>
              <w:left w:val="nil"/>
              <w:bottom w:val="single" w:color="auto" w:sz="4" w:space="0"/>
              <w:right w:val="single" w:color="auto" w:sz="4" w:space="0"/>
            </w:tcBorders>
            <w:vAlign w:val="center"/>
          </w:tcPr>
          <w:p>
            <w:pPr>
              <w:jc w:val="left"/>
              <w:rPr>
                <w:rFonts w:ascii="宋体" w:hAnsi="宋体"/>
                <w:color w:val="000000"/>
                <w:szCs w:val="21"/>
                <w:u w:val="single"/>
              </w:rPr>
            </w:pPr>
            <w:r>
              <w:rPr>
                <w:rFonts w:hint="eastAsia" w:ascii="宋体" w:hAnsi="宋体"/>
                <w:szCs w:val="21"/>
              </w:rPr>
              <w:t>优惠率（不包含材料费）</w:t>
            </w:r>
          </w:p>
        </w:tc>
        <w:tc>
          <w:tcPr>
            <w:tcW w:w="658" w:type="pct"/>
            <w:gridSpan w:val="2"/>
            <w:tcBorders>
              <w:top w:val="nil"/>
              <w:left w:val="nil"/>
              <w:bottom w:val="single" w:color="auto" w:sz="4" w:space="0"/>
              <w:right w:val="single" w:color="auto" w:sz="4" w:space="0"/>
            </w:tcBorders>
            <w:vAlign w:val="center"/>
          </w:tcPr>
          <w:p>
            <w:pPr>
              <w:ind w:left="210" w:hanging="210" w:hangingChars="100"/>
              <w:jc w:val="left"/>
              <w:rPr>
                <w:rFonts w:ascii="宋体" w:hAnsi="宋体"/>
                <w:color w:val="000000"/>
                <w:szCs w:val="21"/>
              </w:rPr>
            </w:pPr>
            <w:r>
              <w:rPr>
                <w:rFonts w:hint="eastAsia" w:ascii="宋体" w:hAnsi="宋体"/>
                <w:szCs w:val="21"/>
              </w:rPr>
              <w:t>暂列金额10000元</w:t>
            </w:r>
          </w:p>
        </w:tc>
        <w:tc>
          <w:tcPr>
            <w:tcW w:w="453" w:type="pct"/>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优惠</w:t>
            </w:r>
            <w:r>
              <w:rPr>
                <w:rFonts w:hint="eastAsia" w:ascii="宋体" w:hAnsi="宋体"/>
                <w:kern w:val="0"/>
                <w:szCs w:val="21"/>
                <w:u w:val="single"/>
              </w:rPr>
              <w:t xml:space="preserve">     </w:t>
            </w:r>
            <w:r>
              <w:rPr>
                <w:rFonts w:hint="eastAsia" w:ascii="宋体" w:hAnsi="宋体"/>
                <w:kern w:val="0"/>
                <w:szCs w:val="21"/>
              </w:rPr>
              <w:t>%</w:t>
            </w:r>
          </w:p>
        </w:tc>
        <w:tc>
          <w:tcPr>
            <w:tcW w:w="2228" w:type="pct"/>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执行2018版安徽省建设工程计价定额及配套费用定额，材料费不参与总价优惠。措施项目费以现场确认形式据实计取，二次搬运费不计取。工作量包括绿化带拆移、旧墙拆除等。</w:t>
            </w:r>
          </w:p>
        </w:tc>
      </w:tr>
    </w:tbl>
    <w:p>
      <w:pPr>
        <w:spacing w:line="360" w:lineRule="auto"/>
        <w:rPr>
          <w:b/>
          <w:sz w:val="24"/>
          <w:szCs w:val="24"/>
        </w:rPr>
      </w:pPr>
      <w:r>
        <w:rPr>
          <w:rFonts w:hint="eastAsia" w:ascii="宋体" w:hAnsi="宋体" w:cs="宋体"/>
          <w:b/>
          <w:sz w:val="24"/>
          <w:szCs w:val="24"/>
        </w:rPr>
        <w:t>注：本报价单需加盖投标单位公章和</w:t>
      </w:r>
      <w:r>
        <w:rPr>
          <w:rFonts w:hint="eastAsia"/>
          <w:b/>
          <w:sz w:val="24"/>
          <w:szCs w:val="24"/>
        </w:rPr>
        <w:t>法人代表印章或授权代理人签字。</w:t>
      </w:r>
    </w:p>
    <w:p>
      <w:pPr>
        <w:widowControl/>
        <w:jc w:val="left"/>
        <w:rPr>
          <w:sz w:val="24"/>
          <w:szCs w:val="24"/>
        </w:rPr>
      </w:pPr>
      <w:r>
        <w:rPr>
          <w:sz w:val="24"/>
          <w:szCs w:val="24"/>
        </w:rPr>
        <w:br w:type="page"/>
      </w:r>
    </w:p>
    <w:p>
      <w:pPr>
        <w:spacing w:line="360" w:lineRule="auto"/>
        <w:rPr>
          <w:sz w:val="24"/>
          <w:szCs w:val="24"/>
        </w:rPr>
      </w:pPr>
    </w:p>
    <w:p>
      <w:pPr>
        <w:spacing w:line="300" w:lineRule="auto"/>
        <w:jc w:val="center"/>
        <w:rPr>
          <w:rFonts w:ascii="宋体" w:hAnsi="宋体"/>
          <w:b/>
          <w:bCs/>
          <w:sz w:val="36"/>
          <w:szCs w:val="36"/>
        </w:rPr>
      </w:pPr>
      <w:r>
        <w:rPr>
          <w:rFonts w:hint="eastAsia" w:ascii="宋体" w:hAnsi="宋体"/>
          <w:b/>
          <w:bCs/>
          <w:sz w:val="36"/>
          <w:szCs w:val="36"/>
          <w:u w:val="single"/>
        </w:rPr>
        <w:t>五号门外侧围墙改造工程</w:t>
      </w:r>
      <w:r>
        <w:rPr>
          <w:rFonts w:hint="eastAsia" w:ascii="宋体" w:hAnsi="宋体"/>
          <w:b/>
          <w:bCs/>
          <w:sz w:val="36"/>
          <w:szCs w:val="36"/>
        </w:rPr>
        <w:t>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1"/>
        <w:gridCol w:w="2467"/>
        <w:gridCol w:w="790"/>
        <w:gridCol w:w="1217"/>
        <w:gridCol w:w="1381"/>
        <w:gridCol w:w="1786"/>
        <w:gridCol w:w="6793"/>
      </w:tblGrid>
      <w:tr>
        <w:tblPrEx>
          <w:tblCellMar>
            <w:top w:w="0" w:type="dxa"/>
            <w:left w:w="108" w:type="dxa"/>
            <w:bottom w:w="0" w:type="dxa"/>
            <w:right w:w="108" w:type="dxa"/>
          </w:tblCellMar>
        </w:tblPrEx>
        <w:trPr>
          <w:trHeight w:val="75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5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int="eastAsia"/>
                <w:color w:val="000000"/>
                <w:sz w:val="22"/>
                <w:szCs w:val="22"/>
              </w:rPr>
              <w:t>1</w:t>
            </w:r>
          </w:p>
        </w:tc>
        <w:tc>
          <w:tcPr>
            <w:tcW w:w="809" w:type="pct"/>
            <w:tcBorders>
              <w:top w:val="nil"/>
              <w:left w:val="nil"/>
              <w:bottom w:val="single" w:color="auto" w:sz="4" w:space="0"/>
              <w:righ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徽派围墙</w:t>
            </w:r>
          </w:p>
        </w:tc>
        <w:tc>
          <w:tcPr>
            <w:tcW w:w="259" w:type="pct"/>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m</w:t>
            </w:r>
          </w:p>
        </w:tc>
        <w:tc>
          <w:tcPr>
            <w:tcW w:w="399" w:type="pct"/>
            <w:tcBorders>
              <w:top w:val="nil"/>
              <w:left w:val="nil"/>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约538</w:t>
            </w:r>
          </w:p>
        </w:tc>
        <w:tc>
          <w:tcPr>
            <w:tcW w:w="453"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1700元/m</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元/m</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cs="宋体"/>
                <w:color w:val="000000"/>
                <w:kern w:val="0"/>
                <w:sz w:val="18"/>
                <w:szCs w:val="18"/>
              </w:rPr>
              <w:t>包含：基础、砖墙、砖垛、涂料、盖瓦、伸缩缝、泄水孔、围墙相接等</w:t>
            </w:r>
            <w:r>
              <w:rPr>
                <w:rFonts w:hint="eastAsia" w:ascii="宋体" w:hAnsi="宋体"/>
                <w:sz w:val="18"/>
                <w:szCs w:val="18"/>
              </w:rPr>
              <w:t>图纸内相应做法全部工作内容涉及的人工费、机械费、主辅材料费、措施费、税金、管理费、利润、不可竞争费等全部费用。本单价不含钢筋材料费。</w:t>
            </w:r>
          </w:p>
        </w:tc>
      </w:tr>
      <w:tr>
        <w:tblPrEx>
          <w:tblCellMar>
            <w:top w:w="0" w:type="dxa"/>
            <w:left w:w="108" w:type="dxa"/>
            <w:bottom w:w="0" w:type="dxa"/>
            <w:right w:w="108" w:type="dxa"/>
          </w:tblCellMar>
        </w:tblPrEx>
        <w:trPr>
          <w:trHeight w:val="680" w:hRule="atLeast"/>
        </w:trPr>
        <w:tc>
          <w:tcPr>
            <w:tcW w:w="266" w:type="pct"/>
            <w:tcBorders>
              <w:top w:val="nil"/>
              <w:left w:val="single" w:color="auto" w:sz="4" w:space="0"/>
              <w:bottom w:val="nil"/>
              <w:right w:val="single" w:color="auto" w:sz="4" w:space="0"/>
            </w:tcBorders>
            <w:noWrap/>
            <w:vAlign w:val="center"/>
          </w:tcPr>
          <w:p>
            <w:pPr>
              <w:jc w:val="center"/>
              <w:rPr>
                <w:color w:val="000000"/>
                <w:sz w:val="22"/>
                <w:szCs w:val="22"/>
              </w:rPr>
            </w:pPr>
            <w:r>
              <w:rPr>
                <w:rFonts w:hint="eastAsia"/>
                <w:color w:val="000000"/>
                <w:sz w:val="22"/>
                <w:szCs w:val="22"/>
              </w:rPr>
              <w:t>2</w:t>
            </w:r>
          </w:p>
        </w:tc>
        <w:tc>
          <w:tcPr>
            <w:tcW w:w="809" w:type="pct"/>
            <w:tcBorders>
              <w:top w:val="nil"/>
              <w:left w:val="nil"/>
              <w:bottom w:val="single" w:color="auto" w:sz="4" w:space="0"/>
              <w:right w:val="single" w:color="auto" w:sz="4" w:space="0"/>
            </w:tcBorders>
            <w:vAlign w:val="center"/>
          </w:tcPr>
          <w:p>
            <w:pPr>
              <w:rPr>
                <w:rFonts w:ascii="宋体" w:hAnsi="宋体"/>
                <w:color w:val="000000"/>
                <w:sz w:val="18"/>
                <w:szCs w:val="18"/>
              </w:rPr>
            </w:pPr>
            <w:r>
              <w:rPr>
                <w:rFonts w:hint="eastAsia" w:ascii="宋体" w:hAnsi="宋体"/>
                <w:color w:val="000000"/>
                <w:sz w:val="18"/>
                <w:szCs w:val="18"/>
              </w:rPr>
              <w:t>成品铁艺门</w:t>
            </w:r>
          </w:p>
        </w:tc>
        <w:tc>
          <w:tcPr>
            <w:tcW w:w="25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ascii="宋体" w:hAnsi="宋体"/>
                <w:color w:val="000000"/>
                <w:sz w:val="18"/>
                <w:szCs w:val="18"/>
              </w:rPr>
              <w:t>m</w:t>
            </w:r>
            <w:r>
              <w:rPr>
                <w:rFonts w:ascii="宋体" w:hAnsi="宋体"/>
                <w:color w:val="000000"/>
                <w:sz w:val="18"/>
                <w:szCs w:val="18"/>
                <w:vertAlign w:val="superscript"/>
              </w:rPr>
              <w:t>2</w:t>
            </w:r>
          </w:p>
        </w:tc>
        <w:tc>
          <w:tcPr>
            <w:tcW w:w="39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约12.6</w:t>
            </w:r>
          </w:p>
        </w:tc>
        <w:tc>
          <w:tcPr>
            <w:tcW w:w="453"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300元/</w:t>
            </w:r>
            <w:r>
              <w:rPr>
                <w:rFonts w:ascii="宋体" w:hAnsi="宋体"/>
                <w:color w:val="000000"/>
                <w:sz w:val="18"/>
                <w:szCs w:val="18"/>
              </w:rPr>
              <w:t>m</w:t>
            </w:r>
            <w:r>
              <w:rPr>
                <w:rFonts w:ascii="宋体" w:hAnsi="宋体"/>
                <w:color w:val="000000"/>
                <w:sz w:val="18"/>
                <w:szCs w:val="18"/>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元/</w:t>
            </w:r>
            <w:r>
              <w:rPr>
                <w:rFonts w:ascii="宋体" w:hAnsi="宋体"/>
                <w:color w:val="000000"/>
                <w:sz w:val="18"/>
                <w:szCs w:val="18"/>
              </w:rPr>
              <w:t xml:space="preserve"> m</w:t>
            </w:r>
            <w:r>
              <w:rPr>
                <w:rFonts w:ascii="宋体" w:hAnsi="宋体"/>
                <w:color w:val="000000"/>
                <w:sz w:val="18"/>
                <w:szCs w:val="18"/>
                <w:vertAlign w:val="superscript"/>
              </w:rPr>
              <w:t>2</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w:t>
            </w:r>
            <w:r>
              <w:rPr>
                <w:rFonts w:hint="eastAsia" w:ascii="宋体" w:hAnsi="宋体"/>
                <w:color w:val="000000"/>
                <w:sz w:val="18"/>
                <w:szCs w:val="18"/>
              </w:rPr>
              <w:t>成品铁艺门安装满足使用</w:t>
            </w:r>
            <w:r>
              <w:rPr>
                <w:rFonts w:hint="eastAsia" w:ascii="宋体" w:hAnsi="宋体"/>
                <w:sz w:val="18"/>
                <w:szCs w:val="18"/>
              </w:rPr>
              <w:t>等图纸内相应做法全部工作内容涉及的人工费、机械费、主辅材料费、措施费、税金、管理费、利润、不可竞争费等全部费用。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3</w:t>
            </w:r>
          </w:p>
        </w:tc>
        <w:tc>
          <w:tcPr>
            <w:tcW w:w="809" w:type="pct"/>
            <w:tcBorders>
              <w:top w:val="nil"/>
              <w:left w:val="nil"/>
              <w:bottom w:val="single" w:color="auto" w:sz="4" w:space="0"/>
              <w:right w:val="single" w:color="auto" w:sz="4" w:space="0"/>
            </w:tcBorders>
            <w:vAlign w:val="center"/>
          </w:tcPr>
          <w:p>
            <w:pPr>
              <w:rPr>
                <w:rFonts w:ascii="宋体" w:hAnsi="宋体"/>
                <w:color w:val="000000"/>
                <w:sz w:val="18"/>
                <w:szCs w:val="18"/>
              </w:rPr>
            </w:pPr>
            <w:r>
              <w:rPr>
                <w:rFonts w:hint="eastAsia" w:ascii="宋体" w:hAnsi="宋体"/>
                <w:color w:val="000000"/>
                <w:sz w:val="18"/>
                <w:szCs w:val="18"/>
              </w:rPr>
              <w:t>旧PVC栏杆拆除</w:t>
            </w:r>
          </w:p>
        </w:tc>
        <w:tc>
          <w:tcPr>
            <w:tcW w:w="25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m</w:t>
            </w:r>
          </w:p>
        </w:tc>
        <w:tc>
          <w:tcPr>
            <w:tcW w:w="39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约400</w:t>
            </w:r>
          </w:p>
        </w:tc>
        <w:tc>
          <w:tcPr>
            <w:tcW w:w="453"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50元/m</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kern w:val="0"/>
                <w:sz w:val="18"/>
                <w:szCs w:val="18"/>
              </w:rPr>
              <w:t>元/m</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包含：现场清运、场地平整等图纸内相应做法全部工作内容涉及的人工费、机械费、主辅材料费、措施费、税金、管理费、利润、不可竞争费等全部费用。</w:t>
            </w:r>
          </w:p>
        </w:tc>
      </w:tr>
      <w:tr>
        <w:tblPrEx>
          <w:tblCellMar>
            <w:top w:w="0" w:type="dxa"/>
            <w:left w:w="108" w:type="dxa"/>
            <w:bottom w:w="0" w:type="dxa"/>
            <w:right w:w="108" w:type="dxa"/>
          </w:tblCellMar>
        </w:tblPrEx>
        <w:trPr>
          <w:trHeight w:val="529"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二、除单价包干外工作量</w:t>
            </w:r>
          </w:p>
        </w:tc>
      </w:tr>
      <w:tr>
        <w:tblPrEx>
          <w:tblCellMar>
            <w:top w:w="0" w:type="dxa"/>
            <w:left w:w="108" w:type="dxa"/>
            <w:bottom w:w="0" w:type="dxa"/>
            <w:right w:w="108" w:type="dxa"/>
          </w:tblCellMar>
        </w:tblPrEx>
        <w:trPr>
          <w:trHeight w:val="972"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color w:val="000000"/>
                <w:sz w:val="22"/>
                <w:szCs w:val="22"/>
              </w:rPr>
              <w:t>4</w:t>
            </w:r>
          </w:p>
        </w:tc>
        <w:tc>
          <w:tcPr>
            <w:tcW w:w="809" w:type="pct"/>
            <w:tcBorders>
              <w:top w:val="nil"/>
              <w:left w:val="nil"/>
              <w:bottom w:val="single" w:color="auto" w:sz="4" w:space="0"/>
              <w:right w:val="single" w:color="auto" w:sz="4" w:space="0"/>
            </w:tcBorders>
            <w:vAlign w:val="center"/>
          </w:tcPr>
          <w:p>
            <w:pPr>
              <w:jc w:val="left"/>
              <w:rPr>
                <w:rFonts w:ascii="宋体" w:hAnsi="宋体"/>
                <w:color w:val="000000"/>
                <w:szCs w:val="21"/>
                <w:u w:val="single"/>
              </w:rPr>
            </w:pPr>
            <w:r>
              <w:rPr>
                <w:rFonts w:hint="eastAsia" w:ascii="宋体" w:hAnsi="宋体"/>
                <w:szCs w:val="21"/>
              </w:rPr>
              <w:t>优惠率（不包含材料费）</w:t>
            </w:r>
          </w:p>
        </w:tc>
        <w:tc>
          <w:tcPr>
            <w:tcW w:w="658" w:type="pct"/>
            <w:gridSpan w:val="2"/>
            <w:tcBorders>
              <w:top w:val="nil"/>
              <w:left w:val="nil"/>
              <w:bottom w:val="single" w:color="auto" w:sz="4" w:space="0"/>
              <w:right w:val="single" w:color="auto" w:sz="4" w:space="0"/>
            </w:tcBorders>
            <w:vAlign w:val="center"/>
          </w:tcPr>
          <w:p>
            <w:pPr>
              <w:ind w:left="210" w:hanging="210" w:hangingChars="100"/>
              <w:jc w:val="left"/>
              <w:rPr>
                <w:rFonts w:ascii="宋体" w:hAnsi="宋体"/>
                <w:color w:val="000000"/>
                <w:szCs w:val="21"/>
              </w:rPr>
            </w:pPr>
            <w:r>
              <w:rPr>
                <w:rFonts w:hint="eastAsia" w:ascii="宋体" w:hAnsi="宋体"/>
                <w:szCs w:val="21"/>
              </w:rPr>
              <w:t>暂列金额10000元</w:t>
            </w:r>
          </w:p>
        </w:tc>
        <w:tc>
          <w:tcPr>
            <w:tcW w:w="453" w:type="pct"/>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优惠</w:t>
            </w:r>
            <w:r>
              <w:rPr>
                <w:rFonts w:hint="eastAsia" w:ascii="宋体" w:hAnsi="宋体"/>
                <w:kern w:val="0"/>
                <w:szCs w:val="21"/>
                <w:u w:val="single"/>
              </w:rPr>
              <w:t xml:space="preserve">     </w:t>
            </w:r>
            <w:r>
              <w:rPr>
                <w:rFonts w:hint="eastAsia" w:ascii="宋体" w:hAnsi="宋体"/>
                <w:kern w:val="0"/>
                <w:szCs w:val="21"/>
              </w:rPr>
              <w:t>%</w:t>
            </w:r>
          </w:p>
        </w:tc>
        <w:tc>
          <w:tcPr>
            <w:tcW w:w="2228" w:type="pct"/>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执行2018版安徽省建设工程计价定额及配套费用定额，材料费不参与总价优惠。措施项目费以现场确认形式据实计取，二次搬运费不计取。 </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b/>
          <w:sz w:val="24"/>
          <w:szCs w:val="24"/>
        </w:rPr>
        <w:t>注：本报价单需加盖投标单位公章和</w:t>
      </w:r>
      <w:r>
        <w:rPr>
          <w:rFonts w:hint="eastAsia"/>
          <w:b/>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4A762E4"/>
    <w:rsid w:val="1DC136C9"/>
    <w:rsid w:val="214D2E1E"/>
    <w:rsid w:val="21F73AF2"/>
    <w:rsid w:val="23883F50"/>
    <w:rsid w:val="24C93CD8"/>
    <w:rsid w:val="24E835CF"/>
    <w:rsid w:val="282A37D0"/>
    <w:rsid w:val="326329B3"/>
    <w:rsid w:val="34481C4C"/>
    <w:rsid w:val="499D3306"/>
    <w:rsid w:val="59A06F0E"/>
    <w:rsid w:val="66296C18"/>
    <w:rsid w:val="6DF1092B"/>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7</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2021-05-24T07:04:24Z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