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铸件部产品库房工程、铸件部成品库房</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扩容及封闭工程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04ZJKFGC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铸件部产品库房工程、铸件部成品库房扩容及封闭工程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w:t>
      </w:r>
      <w:r>
        <w:rPr>
          <w:rFonts w:hint="eastAsia" w:ascii="宋体" w:hAnsi="宋体"/>
          <w:bCs/>
          <w:color w:val="auto"/>
          <w:sz w:val="24"/>
          <w:szCs w:val="24"/>
          <w:u w:val="none"/>
          <w:lang w:val="en-US" w:eastAsia="zh-CN"/>
        </w:rPr>
        <w:t>或</w:t>
      </w:r>
      <w:r>
        <w:rPr>
          <w:rFonts w:hint="eastAsia" w:ascii="宋体" w:hAnsi="宋体"/>
          <w:bCs/>
          <w:color w:val="FF0000"/>
          <w:sz w:val="24"/>
          <w:szCs w:val="24"/>
          <w:u w:val="none"/>
          <w:lang w:val="en-US" w:eastAsia="zh-CN"/>
        </w:rPr>
        <w:t>钢结构工程专业承包叁级及以上</w:t>
      </w:r>
      <w:r>
        <w:rPr>
          <w:rFonts w:hint="eastAsia" w:ascii="宋体" w:hAnsi="宋体"/>
          <w:bCs/>
          <w:color w:val="FF0000"/>
          <w:sz w:val="24"/>
          <w:szCs w:val="24"/>
          <w:u w:val="none"/>
        </w:rPr>
        <w:t>资质证书</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bookmarkStart w:id="3" w:name="_GoBack"/>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bookmarkEnd w:id="3"/>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铸件部产品库房工程、铸件部成品库房扩容及封闭工程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铸件部产品库房工程、铸件部成品库房扩容及封闭工程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铸件部产品库房工程、铸件部成品库房扩容及封闭工程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陆万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420" w:leftChars="0" w:hanging="420" w:firstLineChars="0"/>
        <w:jc w:val="left"/>
        <w:textAlignment w:val="auto"/>
        <w:rPr>
          <w:rFonts w:hint="eastAsia" w:ascii="宋体" w:hAnsi="宋体"/>
          <w:szCs w:val="21"/>
        </w:rPr>
      </w:pPr>
      <w:r>
        <w:rPr>
          <w:rFonts w:hint="eastAsia" w:ascii="宋体" w:hAnsi="宋体"/>
        </w:rPr>
        <w:t xml:space="preserve"> 工程概况和估算工作量</w:t>
      </w:r>
      <w:r>
        <w:rPr>
          <w:rFonts w:hint="eastAsia" w:ascii="宋体" w:hAnsi="宋体"/>
          <w:szCs w:val="21"/>
        </w:rPr>
        <w:t>：</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rPr>
      </w:pPr>
      <w:r>
        <w:rPr>
          <w:rFonts w:hint="eastAsia" w:ascii="宋体" w:hAnsi="宋体"/>
          <w:lang w:val="en-US" w:eastAsia="zh-CN"/>
        </w:rPr>
        <w:t>2.1  铸件部产品库房工程</w:t>
      </w:r>
      <w:r>
        <w:rPr>
          <w:rFonts w:hint="eastAsia" w:ascii="宋体" w:hAnsi="宋体"/>
        </w:rPr>
        <w:t>，</w:t>
      </w:r>
      <w:r>
        <w:rPr>
          <w:rFonts w:hint="eastAsia" w:ascii="宋体" w:hAnsi="宋体"/>
          <w:lang w:val="en-US" w:eastAsia="zh-CN"/>
        </w:rPr>
        <w:t>包含利旧钢构改造安装、钢结构制安、屋面系统、墙面系统、百叶窗</w:t>
      </w:r>
      <w:r>
        <w:rPr>
          <w:rFonts w:hint="eastAsia" w:ascii="宋体" w:hAnsi="宋体"/>
          <w:lang w:eastAsia="zh-CN"/>
        </w:rPr>
        <w:t>等施工。主要工作量：</w:t>
      </w:r>
      <w:r>
        <w:rPr>
          <w:rFonts w:hint="eastAsia" w:ascii="宋体" w:hAnsi="宋体"/>
          <w:lang w:val="en-US" w:eastAsia="zh-CN"/>
        </w:rPr>
        <w:t>铝合金百叶窗约300m2、墙面彩钢板约1250m2、墙面彩光板约310m2、屋面彩钢板约4200m2、屋面彩光板约900m2、钢结构制安约100t、利旧钢构改造安装约100t、钢构分解约10t等。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rPr>
      </w:pPr>
      <w:r>
        <w:rPr>
          <w:rFonts w:hint="eastAsia" w:ascii="宋体" w:hAnsi="宋体"/>
          <w:lang w:val="en-US" w:eastAsia="zh-CN"/>
        </w:rPr>
        <w:t>2.2  铸件部成品库房扩容及封闭工程</w:t>
      </w:r>
      <w:r>
        <w:rPr>
          <w:rFonts w:hint="eastAsia" w:ascii="宋体" w:hAnsi="宋体"/>
        </w:rPr>
        <w:t>，包含</w:t>
      </w:r>
      <w:r>
        <w:rPr>
          <w:rFonts w:hint="eastAsia" w:ascii="宋体" w:hAnsi="宋体"/>
          <w:lang w:val="en-US" w:eastAsia="zh-CN"/>
        </w:rPr>
        <w:t>钢结构制安、屋面系统、墙面系统、百叶窗、轨道等施工</w:t>
      </w:r>
      <w:r>
        <w:rPr>
          <w:rFonts w:hint="eastAsia" w:ascii="宋体" w:hAnsi="宋体"/>
        </w:rPr>
        <w:t>。</w:t>
      </w:r>
      <w:r>
        <w:rPr>
          <w:rFonts w:hint="eastAsia" w:ascii="宋体" w:hAnsi="宋体"/>
          <w:lang w:eastAsia="zh-CN"/>
        </w:rPr>
        <w:t>主要工作量：</w:t>
      </w:r>
      <w:r>
        <w:rPr>
          <w:rFonts w:hint="eastAsia" w:ascii="宋体" w:hAnsi="宋体"/>
          <w:lang w:val="en-US" w:eastAsia="zh-CN"/>
        </w:rPr>
        <w:t>铝合金百叶窗约460m2、墙面彩钢板约1600m2、墙面彩光板约370m2、屋面彩钢板约2050m2、钢结构制安约105t、轨道约336米等。</w:t>
      </w:r>
    </w:p>
    <w:p>
      <w:pPr>
        <w:spacing w:line="360" w:lineRule="exact"/>
        <w:rPr>
          <w:rFonts w:hint="eastAsia" w:ascii="宋体" w:hAnsi="宋体"/>
        </w:rPr>
      </w:pPr>
      <w:r>
        <w:rPr>
          <w:rFonts w:hint="eastAsia" w:ascii="宋体" w:hAnsi="宋体"/>
        </w:rPr>
        <w:t>3.  投标有效期:90天。</w:t>
      </w:r>
    </w:p>
    <w:p>
      <w:pPr>
        <w:pStyle w:val="2"/>
        <w:ind w:left="0" w:leftChars="0" w:firstLine="0" w:firstLineChars="0"/>
        <w:rPr>
          <w:rFonts w:hint="default" w:eastAsiaTheme="minorEastAsia"/>
          <w:lang w:val="en-US" w:eastAsia="zh-CN"/>
        </w:rPr>
      </w:pPr>
      <w:r>
        <w:rPr>
          <w:rFonts w:hint="eastAsia" w:ascii="宋体" w:hAnsi="宋体"/>
          <w:lang w:val="en-US" w:eastAsia="zh-CN"/>
        </w:rPr>
        <w:t>4.  本次统一招标，按照项目分别签订合同。</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 2021-</w:t>
      </w:r>
      <w:r>
        <w:rPr>
          <w:rFonts w:hint="eastAsia"/>
          <w:bCs/>
          <w:kern w:val="36"/>
          <w:lang w:val="en-US" w:eastAsia="zh-CN"/>
        </w:rPr>
        <w:t>6</w:t>
      </w:r>
      <w:r>
        <w:rPr>
          <w:rFonts w:hint="eastAsia"/>
          <w:bCs/>
          <w:kern w:val="36"/>
        </w:rPr>
        <w:t>-</w:t>
      </w:r>
      <w:r>
        <w:rPr>
          <w:rFonts w:hint="eastAsia"/>
          <w:bCs/>
          <w:kern w:val="36"/>
          <w:lang w:val="en-US" w:eastAsia="zh-CN"/>
        </w:rPr>
        <w:t>22</w:t>
      </w:r>
      <w:r>
        <w:rPr>
          <w:rFonts w:hint="eastAsia"/>
          <w:bCs/>
          <w:kern w:val="36"/>
        </w:rPr>
        <w:t xml:space="preserve">  （暂定）                                          </w:t>
      </w:r>
    </w:p>
    <w:p>
      <w:pPr>
        <w:spacing w:line="360" w:lineRule="exact"/>
        <w:rPr>
          <w:rFonts w:hint="eastAsia"/>
          <w:bCs/>
          <w:kern w:val="36"/>
        </w:rPr>
      </w:pPr>
      <w:r>
        <w:rPr>
          <w:rFonts w:hint="eastAsia"/>
          <w:bCs/>
          <w:kern w:val="36"/>
        </w:rPr>
        <w:t>竣工日期： 2021-</w:t>
      </w:r>
      <w:r>
        <w:rPr>
          <w:rFonts w:hint="eastAsia"/>
          <w:bCs/>
          <w:kern w:val="36"/>
          <w:lang w:val="en-US" w:eastAsia="zh-CN"/>
        </w:rPr>
        <w:t>9</w:t>
      </w:r>
      <w:r>
        <w:rPr>
          <w:rFonts w:hint="eastAsia"/>
          <w:bCs/>
          <w:kern w:val="36"/>
        </w:rPr>
        <w:t>-</w:t>
      </w:r>
      <w:r>
        <w:rPr>
          <w:rFonts w:hint="eastAsia"/>
          <w:bCs/>
          <w:kern w:val="36"/>
          <w:lang w:val="en-US" w:eastAsia="zh-CN"/>
        </w:rPr>
        <w:t>5</w:t>
      </w:r>
      <w:r>
        <w:rPr>
          <w:rFonts w:hint="eastAsia"/>
          <w:bCs/>
          <w:kern w:val="36"/>
        </w:rPr>
        <w:t xml:space="preserve">                                               </w:t>
      </w:r>
    </w:p>
    <w:p>
      <w:pPr>
        <w:spacing w:line="360" w:lineRule="exact"/>
        <w:rPr>
          <w:rFonts w:hint="eastAsia" w:ascii="宋体" w:hAnsi="宋体" w:cs="宋体"/>
          <w:kern w:val="36"/>
        </w:rPr>
      </w:pPr>
      <w:r>
        <w:rPr>
          <w:rFonts w:hint="eastAsia"/>
          <w:bCs/>
          <w:kern w:val="36"/>
        </w:rPr>
        <w:t xml:space="preserve">合同工期总日历天数 </w:t>
      </w:r>
      <w:r>
        <w:rPr>
          <w:rFonts w:hint="eastAsia"/>
          <w:bCs/>
          <w:kern w:val="36"/>
          <w:lang w:val="en-US" w:eastAsia="zh-CN"/>
        </w:rPr>
        <w:t>75</w:t>
      </w:r>
      <w:r>
        <w:rPr>
          <w:rFonts w:hint="eastAsia"/>
          <w:bCs/>
          <w:kern w:val="36"/>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4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keepNext/>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keepNext/>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keepNext/>
        <w:keepLines w:val="0"/>
        <w:pageBreakBefore w:val="0"/>
        <w:widowControl/>
        <w:kinsoku/>
        <w:wordWrap/>
        <w:overflowPunct/>
        <w:topLinePunct w:val="0"/>
        <w:autoSpaceDE/>
        <w:autoSpaceDN/>
        <w:bidi w:val="0"/>
        <w:adjustRightInd/>
        <w:snapToGrid/>
        <w:spacing w:beforeLines="50" w:afterLines="50" w:line="360" w:lineRule="exact"/>
        <w:textAlignment w:val="auto"/>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keepNext/>
        <w:keepLines w:val="0"/>
        <w:pageBreakBefore w:val="0"/>
        <w:widowControl/>
        <w:kinsoku/>
        <w:wordWrap/>
        <w:overflowPunct/>
        <w:topLinePunct w:val="0"/>
        <w:autoSpaceDE/>
        <w:autoSpaceDN/>
        <w:bidi w:val="0"/>
        <w:adjustRightInd/>
        <w:snapToGrid/>
        <w:spacing w:beforeLines="50" w:afterLines="50" w:line="360" w:lineRule="exact"/>
        <w:textAlignment w:val="auto"/>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keepNext/>
        <w:keepLines w:val="0"/>
        <w:pageBreakBefore w:val="0"/>
        <w:widowControl/>
        <w:kinsoku/>
        <w:wordWrap/>
        <w:overflowPunct/>
        <w:topLinePunct w:val="0"/>
        <w:autoSpaceDE/>
        <w:autoSpaceDN/>
        <w:bidi w:val="0"/>
        <w:adjustRightInd/>
        <w:snapToGrid/>
        <w:spacing w:beforeLines="50" w:afterLines="50" w:line="360" w:lineRule="exact"/>
        <w:textAlignment w:val="auto"/>
        <w:rPr>
          <w:rFonts w:hint="eastAsia" w:ascii="宋体" w:hAnsi="宋体" w:cs="宋体"/>
          <w:color w:val="000000"/>
        </w:rPr>
      </w:pPr>
      <w:r>
        <w:rPr>
          <w:rFonts w:hint="eastAsia" w:ascii="宋体" w:hAnsi="宋体" w:cs="宋体"/>
          <w:color w:val="000000"/>
        </w:rPr>
        <w:t>结算审核后承包人及时向发包人开具全额增值税专用发票。</w:t>
      </w:r>
    </w:p>
    <w:p>
      <w:pPr>
        <w:keepNext/>
        <w:keepLines w:val="0"/>
        <w:pageBreakBefore w:val="0"/>
        <w:widowControl/>
        <w:kinsoku/>
        <w:wordWrap/>
        <w:overflowPunct/>
        <w:topLinePunct w:val="0"/>
        <w:autoSpaceDE/>
        <w:autoSpaceDN/>
        <w:bidi w:val="0"/>
        <w:adjustRightInd/>
        <w:snapToGrid/>
        <w:spacing w:beforeLines="50" w:afterLines="50" w:line="360" w:lineRule="exact"/>
        <w:textAlignment w:val="auto"/>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lang w:val="en-US" w:eastAsia="zh-CN"/>
        </w:rPr>
        <w:t>铸件部产品库房工程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110" w:type="pct"/>
        <w:tblInd w:w="0" w:type="dxa"/>
        <w:tblLayout w:type="fixed"/>
        <w:tblCellMar>
          <w:top w:w="0" w:type="dxa"/>
          <w:left w:w="108" w:type="dxa"/>
          <w:bottom w:w="0" w:type="dxa"/>
          <w:right w:w="108" w:type="dxa"/>
        </w:tblCellMar>
      </w:tblPr>
      <w:tblGrid>
        <w:gridCol w:w="856"/>
        <w:gridCol w:w="1775"/>
        <w:gridCol w:w="850"/>
        <w:gridCol w:w="1600"/>
        <w:gridCol w:w="1438"/>
        <w:gridCol w:w="1862"/>
        <w:gridCol w:w="7150"/>
      </w:tblGrid>
      <w:tr>
        <w:tblPrEx>
          <w:tblCellMar>
            <w:top w:w="0" w:type="dxa"/>
            <w:left w:w="108" w:type="dxa"/>
            <w:bottom w:w="0" w:type="dxa"/>
            <w:right w:w="108" w:type="dxa"/>
          </w:tblCellMar>
        </w:tblPrEx>
        <w:trPr>
          <w:trHeight w:val="536" w:hRule="atLeast"/>
        </w:trPr>
        <w:tc>
          <w:tcPr>
            <w:tcW w:w="2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51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2"/>
                <w:szCs w:val="22"/>
                <w:lang w:val="en-US" w:eastAsia="zh-CN"/>
              </w:rPr>
              <w:t>暂估</w:t>
            </w:r>
            <w:r>
              <w:rPr>
                <w:rFonts w:hint="eastAsia" w:ascii="宋体" w:hAnsi="宋体" w:cs="宋体"/>
                <w:b/>
                <w:bCs/>
                <w:color w:val="000000"/>
                <w:kern w:val="0"/>
                <w:sz w:val="22"/>
                <w:szCs w:val="22"/>
              </w:rPr>
              <w:t>工程量</w:t>
            </w:r>
          </w:p>
        </w:tc>
        <w:tc>
          <w:tcPr>
            <w:tcW w:w="46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30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57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4"/>
                <w:szCs w:val="24"/>
              </w:rPr>
            </w:pPr>
            <w:r>
              <w:rPr>
                <w:rFonts w:hint="eastAsia" w:ascii="宋体" w:hAnsi="宋体" w:cs="宋体"/>
                <w:i w:val="0"/>
                <w:iCs w:val="0"/>
                <w:color w:val="000000"/>
                <w:kern w:val="0"/>
                <w:sz w:val="24"/>
                <w:szCs w:val="24"/>
                <w:u w:val="none"/>
                <w:lang w:val="en-US" w:eastAsia="zh-CN" w:bidi="ar"/>
              </w:rPr>
              <w:t>铝合金</w:t>
            </w:r>
            <w:r>
              <w:rPr>
                <w:rFonts w:hint="eastAsia" w:ascii="宋体" w:hAnsi="宋体" w:eastAsia="宋体" w:cs="宋体"/>
                <w:i w:val="0"/>
                <w:iCs w:val="0"/>
                <w:color w:val="000000"/>
                <w:kern w:val="0"/>
                <w:sz w:val="24"/>
                <w:szCs w:val="24"/>
                <w:u w:val="none"/>
                <w:lang w:val="en-US" w:eastAsia="zh-CN" w:bidi="ar"/>
              </w:rPr>
              <w:t>百叶窗</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300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4"/>
                <w:szCs w:val="24"/>
                <w:u w:val="none"/>
                <w:lang w:val="en-US" w:eastAsia="zh-CN" w:bidi="ar"/>
              </w:rPr>
              <w:t>450</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w:t>
            </w:r>
            <w:r>
              <w:rPr>
                <w:rFonts w:hint="eastAsia" w:ascii="宋体" w:hAnsi="宋体" w:cs="宋体"/>
                <w:i w:val="0"/>
                <w:iCs w:val="0"/>
                <w:color w:val="000000"/>
                <w:kern w:val="0"/>
                <w:sz w:val="20"/>
                <w:szCs w:val="20"/>
                <w:u w:val="none"/>
                <w:lang w:val="en-US" w:eastAsia="zh-CN" w:bidi="ar"/>
              </w:rPr>
              <w:t>等涉及的全部工序及</w:t>
            </w:r>
            <w:r>
              <w:rPr>
                <w:rFonts w:hint="eastAsia" w:ascii="宋体" w:hAnsi="宋体" w:eastAsia="宋体" w:cs="宋体"/>
                <w:i w:val="0"/>
                <w:iCs w:val="0"/>
                <w:color w:val="000000"/>
                <w:kern w:val="0"/>
                <w:sz w:val="20"/>
                <w:szCs w:val="20"/>
                <w:u w:val="none"/>
                <w:lang w:val="en-US" w:eastAsia="zh-CN" w:bidi="ar"/>
              </w:rPr>
              <w:t>人工费、机械费、材料费、</w:t>
            </w:r>
            <w:r>
              <w:rPr>
                <w:rFonts w:hint="eastAsia" w:ascii="宋体" w:hAnsi="宋体" w:cs="宋体"/>
                <w:i w:val="0"/>
                <w:iCs w:val="0"/>
                <w:color w:val="000000"/>
                <w:kern w:val="0"/>
                <w:sz w:val="20"/>
                <w:szCs w:val="20"/>
                <w:u w:val="none"/>
                <w:lang w:val="en-US" w:eastAsia="zh-CN" w:bidi="ar"/>
              </w:rPr>
              <w:t>措施费</w:t>
            </w:r>
            <w:r>
              <w:rPr>
                <w:rFonts w:hint="eastAsia" w:ascii="宋体" w:hAnsi="宋体" w:eastAsia="宋体" w:cs="宋体"/>
                <w:i w:val="0"/>
                <w:iCs w:val="0"/>
                <w:color w:val="000000"/>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545"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2</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4"/>
                <w:szCs w:val="24"/>
              </w:rPr>
            </w:pPr>
            <w:r>
              <w:rPr>
                <w:rFonts w:hint="eastAsia" w:ascii="宋体" w:hAnsi="宋体" w:eastAsia="宋体" w:cs="宋体"/>
                <w:i w:val="0"/>
                <w:iCs w:val="0"/>
                <w:color w:val="000000"/>
                <w:kern w:val="0"/>
                <w:sz w:val="24"/>
                <w:szCs w:val="24"/>
                <w:u w:val="none"/>
                <w:lang w:val="en-US" w:eastAsia="zh-CN" w:bidi="ar"/>
              </w:rPr>
              <w:t>墙面彩钢板</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1250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4"/>
                <w:szCs w:val="24"/>
                <w:u w:val="none"/>
                <w:lang w:val="en-US" w:eastAsia="zh-CN" w:bidi="ar"/>
              </w:rPr>
              <w:t>85</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w:t>
            </w:r>
            <w:r>
              <w:rPr>
                <w:rFonts w:hint="eastAsia" w:ascii="宋体" w:hAnsi="宋体" w:cs="宋体"/>
                <w:i w:val="0"/>
                <w:iCs w:val="0"/>
                <w:color w:val="000000"/>
                <w:kern w:val="0"/>
                <w:sz w:val="20"/>
                <w:szCs w:val="20"/>
                <w:u w:val="none"/>
                <w:lang w:val="en-US" w:eastAsia="zh-CN" w:bidi="ar"/>
              </w:rPr>
              <w:t>等涉及的全部工序及</w:t>
            </w:r>
            <w:r>
              <w:rPr>
                <w:rFonts w:hint="eastAsia" w:ascii="宋体" w:hAnsi="宋体" w:eastAsia="宋体" w:cs="宋体"/>
                <w:i w:val="0"/>
                <w:iCs w:val="0"/>
                <w:color w:val="000000"/>
                <w:kern w:val="0"/>
                <w:sz w:val="20"/>
                <w:szCs w:val="20"/>
                <w:u w:val="none"/>
                <w:lang w:val="en-US" w:eastAsia="zh-CN" w:bidi="ar"/>
              </w:rPr>
              <w:t>人工费、机械费、材料费、</w:t>
            </w:r>
            <w:r>
              <w:rPr>
                <w:rFonts w:hint="eastAsia" w:ascii="宋体" w:hAnsi="宋体" w:cs="宋体"/>
                <w:i w:val="0"/>
                <w:iCs w:val="0"/>
                <w:color w:val="000000"/>
                <w:kern w:val="0"/>
                <w:sz w:val="20"/>
                <w:szCs w:val="20"/>
                <w:u w:val="none"/>
                <w:lang w:val="en-US" w:eastAsia="zh-CN" w:bidi="ar"/>
              </w:rPr>
              <w:t>措施费</w:t>
            </w:r>
            <w:r>
              <w:rPr>
                <w:rFonts w:hint="eastAsia" w:ascii="宋体" w:hAnsi="宋体" w:eastAsia="宋体" w:cs="宋体"/>
                <w:i w:val="0"/>
                <w:iCs w:val="0"/>
                <w:color w:val="000000"/>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37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3</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4"/>
                <w:szCs w:val="24"/>
              </w:rPr>
            </w:pPr>
            <w:r>
              <w:rPr>
                <w:rFonts w:hint="eastAsia" w:ascii="宋体" w:hAnsi="宋体" w:eastAsia="宋体" w:cs="宋体"/>
                <w:i w:val="0"/>
                <w:iCs w:val="0"/>
                <w:color w:val="000000"/>
                <w:kern w:val="0"/>
                <w:sz w:val="24"/>
                <w:szCs w:val="24"/>
                <w:u w:val="none"/>
                <w:lang w:val="en-US" w:eastAsia="zh-CN" w:bidi="ar"/>
              </w:rPr>
              <w:t>墙面彩光板</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310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4"/>
                <w:szCs w:val="24"/>
                <w:u w:val="none"/>
                <w:lang w:val="en-US" w:eastAsia="zh-CN" w:bidi="ar"/>
              </w:rPr>
              <w:t>90</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w:t>
            </w:r>
            <w:r>
              <w:rPr>
                <w:rFonts w:hint="eastAsia" w:ascii="宋体" w:hAnsi="宋体" w:cs="宋体"/>
                <w:i w:val="0"/>
                <w:iCs w:val="0"/>
                <w:color w:val="000000"/>
                <w:kern w:val="0"/>
                <w:sz w:val="20"/>
                <w:szCs w:val="20"/>
                <w:u w:val="none"/>
                <w:lang w:val="en-US" w:eastAsia="zh-CN" w:bidi="ar"/>
              </w:rPr>
              <w:t>等涉及的全部工序及</w:t>
            </w:r>
            <w:r>
              <w:rPr>
                <w:rFonts w:hint="eastAsia" w:ascii="宋体" w:hAnsi="宋体" w:eastAsia="宋体" w:cs="宋体"/>
                <w:i w:val="0"/>
                <w:iCs w:val="0"/>
                <w:color w:val="000000"/>
                <w:kern w:val="0"/>
                <w:sz w:val="20"/>
                <w:szCs w:val="20"/>
                <w:u w:val="none"/>
                <w:lang w:val="en-US" w:eastAsia="zh-CN" w:bidi="ar"/>
              </w:rPr>
              <w:t>人工费、机械费、材料费、</w:t>
            </w:r>
            <w:r>
              <w:rPr>
                <w:rFonts w:hint="eastAsia" w:ascii="宋体" w:hAnsi="宋体" w:cs="宋体"/>
                <w:i w:val="0"/>
                <w:iCs w:val="0"/>
                <w:color w:val="000000"/>
                <w:kern w:val="0"/>
                <w:sz w:val="20"/>
                <w:szCs w:val="20"/>
                <w:u w:val="none"/>
                <w:lang w:val="en-US" w:eastAsia="zh-CN" w:bidi="ar"/>
              </w:rPr>
              <w:t>措施费</w:t>
            </w:r>
            <w:r>
              <w:rPr>
                <w:rFonts w:hint="eastAsia" w:ascii="宋体" w:hAnsi="宋体" w:eastAsia="宋体" w:cs="宋体"/>
                <w:i w:val="0"/>
                <w:iCs w:val="0"/>
                <w:color w:val="000000"/>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332"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屋面彩钢板</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8"/>
                <w:szCs w:val="28"/>
                <w:u w:val="none"/>
                <w:vertAlign w:val="baseline"/>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包括卸车、运输、倒运、安装</w:t>
            </w:r>
            <w:r>
              <w:rPr>
                <w:rFonts w:hint="eastAsia" w:ascii="宋体" w:hAnsi="宋体" w:cs="宋体"/>
                <w:i w:val="0"/>
                <w:iCs w:val="0"/>
                <w:color w:val="000000"/>
                <w:kern w:val="0"/>
                <w:sz w:val="20"/>
                <w:szCs w:val="20"/>
                <w:u w:val="none"/>
                <w:lang w:val="en-US" w:eastAsia="zh-CN" w:bidi="ar"/>
              </w:rPr>
              <w:t>等涉及的全部工序及</w:t>
            </w:r>
            <w:r>
              <w:rPr>
                <w:rFonts w:hint="eastAsia" w:ascii="宋体" w:hAnsi="宋体" w:eastAsia="宋体" w:cs="宋体"/>
                <w:i w:val="0"/>
                <w:iCs w:val="0"/>
                <w:color w:val="000000"/>
                <w:kern w:val="0"/>
                <w:sz w:val="20"/>
                <w:szCs w:val="20"/>
                <w:u w:val="none"/>
                <w:lang w:val="en-US" w:eastAsia="zh-CN" w:bidi="ar"/>
              </w:rPr>
              <w:t>人工费、机械费、材料费、</w:t>
            </w:r>
            <w:r>
              <w:rPr>
                <w:rFonts w:hint="eastAsia" w:ascii="宋体" w:hAnsi="宋体" w:cs="宋体"/>
                <w:i w:val="0"/>
                <w:iCs w:val="0"/>
                <w:color w:val="000000"/>
                <w:kern w:val="0"/>
                <w:sz w:val="20"/>
                <w:szCs w:val="20"/>
                <w:u w:val="none"/>
                <w:lang w:val="en-US" w:eastAsia="zh-CN" w:bidi="ar"/>
              </w:rPr>
              <w:t>措施费</w:t>
            </w:r>
            <w:r>
              <w:rPr>
                <w:rFonts w:hint="eastAsia" w:ascii="宋体" w:hAnsi="宋体" w:eastAsia="宋体" w:cs="宋体"/>
                <w:i w:val="0"/>
                <w:iCs w:val="0"/>
                <w:color w:val="000000"/>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42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ascii="宋体" w:hAnsi="宋体" w:cs="宋体"/>
                <w:i w:val="0"/>
                <w:color w:val="000000"/>
                <w:kern w:val="0"/>
                <w:sz w:val="20"/>
                <w:szCs w:val="20"/>
                <w:u w:val="none"/>
                <w:lang w:val="en-US" w:eastAsia="zh-CN" w:bidi="ar"/>
              </w:rPr>
              <w:t>5</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屋面彩光板</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i w:val="0"/>
                <w:color w:val="000000"/>
                <w:kern w:val="0"/>
                <w:sz w:val="28"/>
                <w:szCs w:val="28"/>
                <w:u w:val="none"/>
                <w:vertAlign w:val="superscript"/>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包括卸车、运输、倒运、安装</w:t>
            </w:r>
            <w:r>
              <w:rPr>
                <w:rFonts w:hint="eastAsia" w:ascii="宋体" w:hAnsi="宋体" w:cs="宋体"/>
                <w:i w:val="0"/>
                <w:iCs w:val="0"/>
                <w:color w:val="000000"/>
                <w:kern w:val="0"/>
                <w:sz w:val="20"/>
                <w:szCs w:val="20"/>
                <w:u w:val="none"/>
                <w:lang w:val="en-US" w:eastAsia="zh-CN" w:bidi="ar"/>
              </w:rPr>
              <w:t>等涉及的全部工序及</w:t>
            </w:r>
            <w:r>
              <w:rPr>
                <w:rFonts w:hint="eastAsia" w:ascii="宋体" w:hAnsi="宋体" w:eastAsia="宋体" w:cs="宋体"/>
                <w:i w:val="0"/>
                <w:iCs w:val="0"/>
                <w:color w:val="000000"/>
                <w:kern w:val="0"/>
                <w:sz w:val="20"/>
                <w:szCs w:val="20"/>
                <w:u w:val="none"/>
                <w:lang w:val="en-US" w:eastAsia="zh-CN" w:bidi="ar"/>
              </w:rPr>
              <w:t>人工费、机械费、材料费、</w:t>
            </w:r>
            <w:r>
              <w:rPr>
                <w:rFonts w:hint="eastAsia" w:ascii="宋体" w:hAnsi="宋体" w:cs="宋体"/>
                <w:i w:val="0"/>
                <w:iCs w:val="0"/>
                <w:color w:val="000000"/>
                <w:kern w:val="0"/>
                <w:sz w:val="20"/>
                <w:szCs w:val="20"/>
                <w:u w:val="none"/>
                <w:lang w:val="en-US" w:eastAsia="zh-CN" w:bidi="ar"/>
              </w:rPr>
              <w:t>措施费</w:t>
            </w:r>
            <w:r>
              <w:rPr>
                <w:rFonts w:hint="eastAsia" w:ascii="宋体" w:hAnsi="宋体" w:eastAsia="宋体" w:cs="宋体"/>
                <w:i w:val="0"/>
                <w:iCs w:val="0"/>
                <w:color w:val="000000"/>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68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6</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钢结构制安</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szCs w:val="24"/>
                <w:lang w:val="en-US" w:eastAsia="zh-CN"/>
              </w:rPr>
            </w:pPr>
            <w:r>
              <w:rPr>
                <w:rFonts w:hint="eastAsia" w:ascii="宋体" w:hAnsi="宋体" w:cs="宋体"/>
                <w:i w:val="0"/>
                <w:color w:val="000000"/>
                <w:kern w:val="0"/>
                <w:sz w:val="28"/>
                <w:szCs w:val="28"/>
                <w:u w:val="none"/>
                <w:vertAlign w:val="baseline"/>
                <w:lang w:val="en-US" w:eastAsia="zh-CN" w:bidi="ar"/>
              </w:rPr>
              <w:t>t</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color w:val="000000"/>
                <w:kern w:val="0"/>
                <w:sz w:val="24"/>
                <w:szCs w:val="24"/>
                <w:lang w:val="en-US" w:eastAsia="zh-CN" w:bidi="ar"/>
              </w:rPr>
              <w:t>t</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iCs w:val="0"/>
                <w:color w:val="auto"/>
                <w:kern w:val="0"/>
                <w:sz w:val="20"/>
                <w:szCs w:val="20"/>
                <w:u w:val="none"/>
                <w:lang w:val="en-US" w:eastAsia="zh-CN" w:bidi="ar"/>
              </w:rPr>
              <w:t>包</w:t>
            </w:r>
            <w:r>
              <w:rPr>
                <w:rFonts w:hint="eastAsia" w:ascii="宋体" w:hAnsi="宋体" w:cs="宋体"/>
                <w:i w:val="0"/>
                <w:iCs w:val="0"/>
                <w:color w:val="auto"/>
                <w:kern w:val="0"/>
                <w:sz w:val="20"/>
                <w:szCs w:val="20"/>
                <w:u w:val="none"/>
                <w:lang w:val="en-US" w:eastAsia="zh-CN" w:bidi="ar"/>
              </w:rPr>
              <w:t>括</w:t>
            </w:r>
            <w:r>
              <w:rPr>
                <w:rFonts w:hint="eastAsia" w:ascii="宋体" w:hAnsi="宋体" w:eastAsia="宋体" w:cs="宋体"/>
                <w:i w:val="0"/>
                <w:iCs w:val="0"/>
                <w:color w:val="auto"/>
                <w:kern w:val="0"/>
                <w:sz w:val="20"/>
                <w:szCs w:val="20"/>
                <w:u w:val="none"/>
                <w:lang w:val="en-US" w:eastAsia="zh-CN" w:bidi="ar"/>
              </w:rPr>
              <w:t>钢柱、钢梁、雨沟、檩条、檩托、拉条、撑杆等所有钢构</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制作、安装</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运输、倒运</w:t>
            </w:r>
            <w:r>
              <w:rPr>
                <w:rFonts w:hint="eastAsia" w:ascii="宋体" w:hAnsi="宋体" w:cs="宋体"/>
                <w:i w:val="0"/>
                <w:iCs w:val="0"/>
                <w:color w:val="auto"/>
                <w:kern w:val="0"/>
                <w:sz w:val="20"/>
                <w:szCs w:val="20"/>
                <w:u w:val="none"/>
                <w:lang w:val="en-US" w:eastAsia="zh-CN" w:bidi="ar"/>
              </w:rPr>
              <w:t>、除锈</w:t>
            </w:r>
            <w:r>
              <w:rPr>
                <w:rFonts w:hint="eastAsia" w:ascii="宋体" w:hAnsi="宋体" w:eastAsia="宋体" w:cs="宋体"/>
                <w:i w:val="0"/>
                <w:iCs w:val="0"/>
                <w:color w:val="auto"/>
                <w:kern w:val="0"/>
                <w:sz w:val="20"/>
                <w:szCs w:val="20"/>
                <w:u w:val="none"/>
                <w:lang w:val="en-US" w:eastAsia="zh-CN" w:bidi="ar"/>
              </w:rPr>
              <w:t>、刷漆</w:t>
            </w:r>
            <w:r>
              <w:rPr>
                <w:rFonts w:hint="eastAsia" w:ascii="宋体" w:hAnsi="宋体" w:cs="宋体"/>
                <w:i w:val="0"/>
                <w:iCs w:val="0"/>
                <w:color w:val="auto"/>
                <w:kern w:val="0"/>
                <w:sz w:val="20"/>
                <w:szCs w:val="20"/>
                <w:u w:val="none"/>
                <w:lang w:val="en-US" w:eastAsia="zh-CN" w:bidi="ar"/>
              </w:rPr>
              <w:t>等涉及的全部工序及</w:t>
            </w:r>
            <w:r>
              <w:rPr>
                <w:rFonts w:hint="eastAsia" w:ascii="宋体" w:hAnsi="宋体" w:eastAsia="宋体" w:cs="宋体"/>
                <w:i w:val="0"/>
                <w:iCs w:val="0"/>
                <w:color w:val="auto"/>
                <w:kern w:val="0"/>
                <w:sz w:val="20"/>
                <w:szCs w:val="20"/>
                <w:u w:val="none"/>
                <w:lang w:val="en-US" w:eastAsia="zh-CN" w:bidi="ar"/>
              </w:rPr>
              <w:t>人工费、机械费、材料费、</w:t>
            </w:r>
            <w:r>
              <w:rPr>
                <w:rFonts w:hint="eastAsia" w:ascii="宋体" w:hAnsi="宋体" w:cs="宋体"/>
                <w:i w:val="0"/>
                <w:iCs w:val="0"/>
                <w:color w:val="auto"/>
                <w:kern w:val="0"/>
                <w:sz w:val="20"/>
                <w:szCs w:val="20"/>
                <w:u w:val="none"/>
                <w:lang w:val="en-US" w:eastAsia="zh-CN" w:bidi="ar"/>
              </w:rPr>
              <w:t>措施费</w:t>
            </w:r>
            <w:r>
              <w:rPr>
                <w:rFonts w:hint="eastAsia" w:ascii="宋体" w:hAnsi="宋体" w:eastAsia="宋体" w:cs="宋体"/>
                <w:i w:val="0"/>
                <w:iCs w:val="0"/>
                <w:color w:val="auto"/>
                <w:kern w:val="0"/>
                <w:sz w:val="20"/>
                <w:szCs w:val="20"/>
                <w:u w:val="none"/>
                <w:lang w:val="en-US" w:eastAsia="zh-CN" w:bidi="ar"/>
              </w:rPr>
              <w:t>、不可竞争费、税金、水电费等全部费用。</w:t>
            </w:r>
          </w:p>
        </w:tc>
      </w:tr>
      <w:tr>
        <w:tblPrEx>
          <w:tblCellMar>
            <w:top w:w="0" w:type="dxa"/>
            <w:left w:w="108" w:type="dxa"/>
            <w:bottom w:w="0" w:type="dxa"/>
            <w:right w:w="108" w:type="dxa"/>
          </w:tblCellMar>
        </w:tblPrEx>
        <w:trPr>
          <w:trHeight w:val="68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利旧钢构</w:t>
            </w:r>
            <w:r>
              <w:rPr>
                <w:rFonts w:hint="eastAsia" w:ascii="宋体" w:hAnsi="宋体" w:cs="宋体"/>
                <w:i w:val="0"/>
                <w:iCs w:val="0"/>
                <w:color w:val="000000"/>
                <w:kern w:val="0"/>
                <w:sz w:val="24"/>
                <w:szCs w:val="24"/>
                <w:u w:val="none"/>
                <w:lang w:val="en-US" w:eastAsia="zh-CN" w:bidi="ar"/>
              </w:rPr>
              <w:t>改造、</w:t>
            </w:r>
            <w:r>
              <w:rPr>
                <w:rFonts w:hint="eastAsia" w:ascii="宋体" w:hAnsi="宋体" w:eastAsia="宋体" w:cs="宋体"/>
                <w:i w:val="0"/>
                <w:iCs w:val="0"/>
                <w:color w:val="000000"/>
                <w:kern w:val="0"/>
                <w:sz w:val="24"/>
                <w:szCs w:val="24"/>
                <w:u w:val="none"/>
                <w:lang w:val="en-US" w:eastAsia="zh-CN" w:bidi="ar"/>
              </w:rPr>
              <w:t>安装</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t</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FF0000"/>
                <w:kern w:val="0"/>
                <w:sz w:val="21"/>
                <w:szCs w:val="21"/>
                <w:lang w:bidi="ar"/>
              </w:rPr>
            </w:pPr>
            <w:r>
              <w:rPr>
                <w:rFonts w:hint="eastAsia" w:ascii="宋体" w:hAnsi="宋体" w:eastAsia="宋体" w:cs="宋体"/>
                <w:i w:val="0"/>
                <w:iCs w:val="0"/>
                <w:color w:val="000000"/>
                <w:kern w:val="0"/>
                <w:sz w:val="24"/>
                <w:szCs w:val="24"/>
                <w:u w:val="none"/>
                <w:lang w:val="en-US" w:eastAsia="zh-CN" w:bidi="ar"/>
              </w:rPr>
              <w:t>7000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color w:val="000000"/>
                <w:kern w:val="0"/>
                <w:sz w:val="24"/>
                <w:szCs w:val="24"/>
                <w:lang w:val="en-US" w:eastAsia="zh-CN" w:bidi="ar"/>
              </w:rPr>
              <w:t>t</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不含钢构材料费，</w:t>
            </w:r>
            <w:r>
              <w:rPr>
                <w:rFonts w:hint="eastAsia" w:ascii="宋体" w:hAnsi="宋体" w:eastAsia="宋体" w:cs="宋体"/>
                <w:i w:val="0"/>
                <w:iCs w:val="0"/>
                <w:color w:val="auto"/>
                <w:kern w:val="0"/>
                <w:sz w:val="20"/>
                <w:szCs w:val="20"/>
                <w:u w:val="none"/>
                <w:lang w:val="en-US" w:eastAsia="zh-CN" w:bidi="ar"/>
              </w:rPr>
              <w:t>包括利旧钢构</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校正、</w:t>
            </w:r>
            <w:r>
              <w:rPr>
                <w:rFonts w:hint="eastAsia" w:ascii="宋体" w:hAnsi="宋体" w:cs="宋体"/>
                <w:i w:val="0"/>
                <w:iCs w:val="0"/>
                <w:color w:val="auto"/>
                <w:kern w:val="0"/>
                <w:sz w:val="20"/>
                <w:szCs w:val="20"/>
                <w:u w:val="none"/>
                <w:lang w:val="en-US" w:eastAsia="zh-CN" w:bidi="ar"/>
              </w:rPr>
              <w:t>改造、</w:t>
            </w:r>
            <w:r>
              <w:rPr>
                <w:rFonts w:hint="eastAsia" w:ascii="宋体" w:hAnsi="宋体" w:eastAsia="宋体" w:cs="宋体"/>
                <w:i w:val="0"/>
                <w:iCs w:val="0"/>
                <w:color w:val="auto"/>
                <w:kern w:val="0"/>
                <w:sz w:val="20"/>
                <w:szCs w:val="20"/>
                <w:u w:val="none"/>
                <w:lang w:val="en-US" w:eastAsia="zh-CN" w:bidi="ar"/>
              </w:rPr>
              <w:t>运输、倒运、安装、</w:t>
            </w:r>
            <w:r>
              <w:rPr>
                <w:rFonts w:hint="eastAsia" w:ascii="宋体" w:hAnsi="宋体" w:cs="宋体"/>
                <w:i w:val="0"/>
                <w:iCs w:val="0"/>
                <w:color w:val="auto"/>
                <w:kern w:val="0"/>
                <w:sz w:val="20"/>
                <w:szCs w:val="20"/>
                <w:u w:val="none"/>
                <w:lang w:val="en-US" w:eastAsia="zh-CN" w:bidi="ar"/>
              </w:rPr>
              <w:t>除锈、</w:t>
            </w:r>
            <w:r>
              <w:rPr>
                <w:rFonts w:hint="eastAsia" w:ascii="宋体" w:hAnsi="宋体" w:eastAsia="宋体" w:cs="宋体"/>
                <w:i w:val="0"/>
                <w:iCs w:val="0"/>
                <w:color w:val="auto"/>
                <w:kern w:val="0"/>
                <w:sz w:val="20"/>
                <w:szCs w:val="20"/>
                <w:u w:val="none"/>
                <w:lang w:val="en-US" w:eastAsia="zh-CN" w:bidi="ar"/>
              </w:rPr>
              <w:t>刷漆</w:t>
            </w:r>
            <w:r>
              <w:rPr>
                <w:rFonts w:hint="eastAsia" w:ascii="宋体" w:hAnsi="宋体" w:cs="宋体"/>
                <w:i w:val="0"/>
                <w:iCs w:val="0"/>
                <w:color w:val="auto"/>
                <w:kern w:val="0"/>
                <w:sz w:val="20"/>
                <w:szCs w:val="20"/>
                <w:u w:val="none"/>
                <w:lang w:val="en-US" w:eastAsia="zh-CN" w:bidi="ar"/>
              </w:rPr>
              <w:t>等涉及的全部工序及</w:t>
            </w:r>
            <w:r>
              <w:rPr>
                <w:rFonts w:hint="eastAsia" w:ascii="宋体" w:hAnsi="宋体" w:eastAsia="宋体" w:cs="宋体"/>
                <w:i w:val="0"/>
                <w:iCs w:val="0"/>
                <w:color w:val="auto"/>
                <w:kern w:val="0"/>
                <w:sz w:val="20"/>
                <w:szCs w:val="20"/>
                <w:u w:val="none"/>
                <w:lang w:val="en-US" w:eastAsia="zh-CN" w:bidi="ar"/>
              </w:rPr>
              <w:t>人工费、机械费、材料费、</w:t>
            </w:r>
            <w:r>
              <w:rPr>
                <w:rFonts w:hint="eastAsia" w:ascii="宋体" w:hAnsi="宋体" w:cs="宋体"/>
                <w:i w:val="0"/>
                <w:iCs w:val="0"/>
                <w:color w:val="auto"/>
                <w:kern w:val="0"/>
                <w:sz w:val="20"/>
                <w:szCs w:val="20"/>
                <w:u w:val="none"/>
                <w:lang w:val="en-US" w:eastAsia="zh-CN" w:bidi="ar"/>
              </w:rPr>
              <w:t>措施费</w:t>
            </w:r>
            <w:r>
              <w:rPr>
                <w:rFonts w:hint="eastAsia" w:ascii="宋体" w:hAnsi="宋体" w:eastAsia="宋体" w:cs="宋体"/>
                <w:i w:val="0"/>
                <w:iCs w:val="0"/>
                <w:color w:val="auto"/>
                <w:kern w:val="0"/>
                <w:sz w:val="20"/>
                <w:szCs w:val="20"/>
                <w:u w:val="none"/>
                <w:lang w:val="en-US" w:eastAsia="zh-CN" w:bidi="ar"/>
              </w:rPr>
              <w:t>、不可竞争费、税金、水电费等全部费用。以安装</w:t>
            </w:r>
            <w:r>
              <w:rPr>
                <w:rFonts w:hint="eastAsia" w:ascii="宋体" w:hAnsi="宋体" w:cs="宋体"/>
                <w:i w:val="0"/>
                <w:iCs w:val="0"/>
                <w:color w:val="auto"/>
                <w:kern w:val="0"/>
                <w:sz w:val="20"/>
                <w:szCs w:val="20"/>
                <w:u w:val="none"/>
                <w:lang w:val="en-US" w:eastAsia="zh-CN" w:bidi="ar"/>
              </w:rPr>
              <w:t>的</w:t>
            </w:r>
            <w:r>
              <w:rPr>
                <w:rFonts w:hint="eastAsia" w:ascii="宋体" w:hAnsi="宋体" w:eastAsia="宋体" w:cs="宋体"/>
                <w:i w:val="0"/>
                <w:iCs w:val="0"/>
                <w:color w:val="auto"/>
                <w:kern w:val="0"/>
                <w:sz w:val="20"/>
                <w:szCs w:val="20"/>
                <w:u w:val="none"/>
                <w:lang w:val="en-US" w:eastAsia="zh-CN" w:bidi="ar"/>
              </w:rPr>
              <w:t>利旧钢构量计取。</w:t>
            </w:r>
          </w:p>
        </w:tc>
      </w:tr>
      <w:tr>
        <w:tblPrEx>
          <w:tblCellMar>
            <w:top w:w="0" w:type="dxa"/>
            <w:left w:w="108" w:type="dxa"/>
            <w:bottom w:w="0" w:type="dxa"/>
            <w:right w:w="108" w:type="dxa"/>
          </w:tblCellMar>
        </w:tblPrEx>
        <w:trPr>
          <w:trHeight w:val="680"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8</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4"/>
                <w:szCs w:val="24"/>
              </w:rPr>
            </w:pPr>
            <w:r>
              <w:rPr>
                <w:rFonts w:hint="eastAsia" w:ascii="宋体" w:hAnsi="宋体" w:eastAsia="宋体" w:cs="宋体"/>
                <w:i w:val="0"/>
                <w:iCs w:val="0"/>
                <w:color w:val="000000"/>
                <w:kern w:val="0"/>
                <w:sz w:val="24"/>
                <w:szCs w:val="24"/>
                <w:u w:val="none"/>
                <w:lang w:val="en-US" w:eastAsia="zh-CN" w:bidi="ar"/>
              </w:rPr>
              <w:t>钢构</w:t>
            </w:r>
            <w:r>
              <w:rPr>
                <w:rFonts w:hint="eastAsia" w:ascii="宋体" w:hAnsi="宋体" w:cs="宋体"/>
                <w:i w:val="0"/>
                <w:iCs w:val="0"/>
                <w:color w:val="000000"/>
                <w:kern w:val="0"/>
                <w:sz w:val="24"/>
                <w:szCs w:val="24"/>
                <w:u w:val="none"/>
                <w:lang w:val="en-US" w:eastAsia="zh-CN" w:bidi="ar"/>
              </w:rPr>
              <w:t>分解</w:t>
            </w:r>
          </w:p>
        </w:tc>
        <w:tc>
          <w:tcPr>
            <w:tcW w:w="27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4"/>
                <w:szCs w:val="24"/>
                <w:lang w:val="en-US" w:eastAsia="zh-CN"/>
              </w:rPr>
            </w:pPr>
            <w:r>
              <w:rPr>
                <w:rFonts w:hint="eastAsia" w:ascii="宋体" w:hAnsi="宋体" w:eastAsia="宋体" w:cs="宋体"/>
                <w:i w:val="0"/>
                <w:color w:val="000000"/>
                <w:kern w:val="0"/>
                <w:sz w:val="28"/>
                <w:szCs w:val="28"/>
                <w:u w:val="none"/>
                <w:lang w:val="en-US" w:eastAsia="zh-CN" w:bidi="ar"/>
              </w:rPr>
              <w:t>t</w:t>
            </w:r>
          </w:p>
        </w:tc>
        <w:tc>
          <w:tcPr>
            <w:tcW w:w="51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w:t>
            </w:r>
          </w:p>
        </w:tc>
        <w:tc>
          <w:tcPr>
            <w:tcW w:w="46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4"/>
                <w:szCs w:val="24"/>
                <w:u w:val="none"/>
                <w:lang w:val="en-US" w:eastAsia="zh-CN" w:bidi="ar"/>
              </w:rPr>
              <w:t>800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9"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color w:val="000000"/>
                <w:kern w:val="0"/>
                <w:sz w:val="24"/>
                <w:szCs w:val="24"/>
                <w:lang w:val="en-US" w:eastAsia="zh-CN" w:bidi="ar"/>
              </w:rPr>
              <w:t>t</w:t>
            </w:r>
          </w:p>
        </w:tc>
        <w:tc>
          <w:tcPr>
            <w:tcW w:w="230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包括分解成块（</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00mm以内）、运输、倒运等涉及的全部工序及人工费、机械费、材料费、措施费、不可竞争费、税金、水电费等全部费用。由施工现场送至厂内指定地点（以磅单为结算依</w:t>
            </w:r>
            <w:r>
              <w:rPr>
                <w:rFonts w:hint="eastAsia" w:ascii="宋体" w:hAnsi="宋体" w:eastAsia="宋体" w:cs="宋体"/>
                <w:i w:val="0"/>
                <w:iCs w:val="0"/>
                <w:color w:val="auto"/>
                <w:kern w:val="0"/>
                <w:sz w:val="20"/>
                <w:szCs w:val="20"/>
                <w:u w:val="none"/>
                <w:lang w:val="en-US" w:eastAsia="zh-CN" w:bidi="ar"/>
              </w:rPr>
              <w:t>据）。</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619"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71" w:type="pct"/>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788" w:type="pct"/>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暂估</w:t>
            </w:r>
            <w:r>
              <w:rPr>
                <w:rFonts w:hint="eastAsia" w:ascii="宋体" w:hAnsi="宋体" w:eastAsia="宋体" w:cs="宋体"/>
                <w:i w:val="0"/>
                <w:color w:val="auto"/>
                <w:kern w:val="0"/>
                <w:sz w:val="20"/>
                <w:szCs w:val="20"/>
                <w:u w:val="none"/>
                <w:lang w:val="en-US" w:eastAsia="zh-CN" w:bidi="ar"/>
              </w:rPr>
              <w:t>金额</w:t>
            </w:r>
            <w:r>
              <w:rPr>
                <w:rFonts w:hint="eastAsia" w:ascii="宋体" w:hAnsi="宋体" w:cs="宋体"/>
                <w:i w:val="0"/>
                <w:color w:val="auto"/>
                <w:kern w:val="0"/>
                <w:sz w:val="20"/>
                <w:szCs w:val="20"/>
                <w:u w:val="single"/>
                <w:lang w:val="en-US" w:eastAsia="zh-CN" w:bidi="ar"/>
              </w:rPr>
              <w:t>150</w:t>
            </w:r>
            <w:r>
              <w:rPr>
                <w:rFonts w:hint="eastAsia" w:ascii="宋体" w:hAnsi="宋体" w:eastAsia="宋体" w:cs="宋体"/>
                <w:i w:val="0"/>
                <w:color w:val="auto"/>
                <w:kern w:val="0"/>
                <w:sz w:val="20"/>
                <w:szCs w:val="20"/>
                <w:u w:val="single"/>
                <w:lang w:val="en-US" w:eastAsia="zh-CN" w:bidi="ar"/>
              </w:rPr>
              <w:t>000</w:t>
            </w:r>
            <w:r>
              <w:rPr>
                <w:rFonts w:hint="eastAsia" w:ascii="宋体" w:hAnsi="宋体" w:eastAsia="宋体" w:cs="宋体"/>
                <w:i w:val="0"/>
                <w:color w:val="auto"/>
                <w:kern w:val="0"/>
                <w:sz w:val="20"/>
                <w:szCs w:val="20"/>
                <w:u w:val="none"/>
                <w:lang w:val="en-US" w:eastAsia="zh-CN" w:bidi="ar"/>
              </w:rPr>
              <w:t>元</w:t>
            </w:r>
          </w:p>
        </w:tc>
        <w:tc>
          <w:tcPr>
            <w:tcW w:w="462" w:type="pct"/>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9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r>
              <w:rPr>
                <w:rFonts w:hint="eastAsia" w:ascii="宋体" w:hAnsi="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2301"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w:t>
            </w:r>
            <w:r>
              <w:rPr>
                <w:rFonts w:hint="eastAsia" w:ascii="宋体" w:hAnsi="宋体" w:cs="宋体"/>
                <w:i w:val="0"/>
                <w:color w:val="000000"/>
                <w:kern w:val="0"/>
                <w:sz w:val="21"/>
                <w:szCs w:val="21"/>
                <w:u w:val="none"/>
                <w:lang w:val="en-US" w:eastAsia="zh-CN" w:bidi="ar"/>
              </w:rPr>
              <w:t>措施费</w:t>
            </w:r>
            <w:r>
              <w:rPr>
                <w:rFonts w:hint="eastAsia" w:ascii="宋体" w:hAnsi="宋体" w:eastAsia="宋体" w:cs="宋体"/>
                <w:i w:val="0"/>
                <w:color w:val="000000"/>
                <w:kern w:val="0"/>
                <w:sz w:val="21"/>
                <w:szCs w:val="21"/>
                <w:u w:val="none"/>
                <w:lang w:val="en-US" w:eastAsia="zh-CN" w:bidi="ar"/>
              </w:rPr>
              <w:t>以现场确认形式据实计取，二次搬运费不计取。</w:t>
            </w:r>
          </w:p>
        </w:tc>
      </w:tr>
    </w:tbl>
    <w:p>
      <w:pPr>
        <w:spacing w:line="360" w:lineRule="auto"/>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ind w:left="0" w:leftChars="0" w:firstLine="0" w:firstLineChars="0"/>
        <w:rPr>
          <w:sz w:val="24"/>
          <w:szCs w:val="24"/>
        </w:rPr>
      </w:pPr>
    </w:p>
    <w:p>
      <w:pPr>
        <w:widowControl/>
        <w:jc w:val="left"/>
        <w:rPr>
          <w:rFonts w:hint="default" w:eastAsia="宋体"/>
          <w:sz w:val="24"/>
          <w:szCs w:val="24"/>
          <w:lang w:val="en-US" w:eastAsia="zh-CN"/>
        </w:rPr>
      </w:pPr>
    </w:p>
    <w:p>
      <w:pPr>
        <w:spacing w:line="300" w:lineRule="auto"/>
        <w:jc w:val="center"/>
        <w:rPr>
          <w:rFonts w:hint="eastAsia" w:ascii="宋体" w:hAnsi="宋体"/>
          <w:b/>
          <w:bCs/>
          <w:sz w:val="36"/>
          <w:szCs w:val="36"/>
          <w:lang w:val="en-US" w:eastAsia="zh-CN"/>
        </w:rPr>
      </w:pPr>
    </w:p>
    <w:p>
      <w:pPr>
        <w:spacing w:line="300" w:lineRule="auto"/>
        <w:jc w:val="center"/>
        <w:rPr>
          <w:rFonts w:hint="eastAsia" w:ascii="宋体" w:hAnsi="宋体"/>
          <w:b/>
          <w:bCs/>
          <w:sz w:val="36"/>
          <w:szCs w:val="36"/>
          <w:lang w:val="en-US" w:eastAsia="zh-CN"/>
        </w:rPr>
      </w:pPr>
    </w:p>
    <w:p>
      <w:pPr>
        <w:spacing w:line="300" w:lineRule="auto"/>
        <w:jc w:val="center"/>
        <w:rPr>
          <w:rFonts w:hint="eastAsia" w:ascii="宋体" w:hAnsi="宋体"/>
          <w:b/>
          <w:bCs/>
          <w:sz w:val="36"/>
          <w:szCs w:val="36"/>
          <w:lang w:val="en-US" w:eastAsia="zh-CN"/>
        </w:rPr>
      </w:pPr>
    </w:p>
    <w:p>
      <w:pPr>
        <w:spacing w:line="300" w:lineRule="auto"/>
        <w:jc w:val="both"/>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sz w:val="24"/>
          <w:szCs w:val="24"/>
        </w:rPr>
      </w:pPr>
    </w:p>
    <w:p>
      <w:pPr>
        <w:pStyle w:val="2"/>
        <w:rPr>
          <w:rFonts w:hint="eastAsia"/>
          <w:sz w:val="24"/>
          <w:szCs w:val="24"/>
          <w:lang w:val="en-US" w:eastAsia="zh-CN"/>
        </w:rPr>
      </w:pPr>
    </w:p>
    <w:p>
      <w:pPr>
        <w:spacing w:line="300" w:lineRule="auto"/>
        <w:jc w:val="center"/>
        <w:rPr>
          <w:rFonts w:ascii="宋体" w:hAnsi="宋体"/>
          <w:b/>
          <w:bCs/>
          <w:sz w:val="36"/>
          <w:szCs w:val="36"/>
        </w:rPr>
      </w:pPr>
      <w:r>
        <w:rPr>
          <w:rFonts w:hint="eastAsia" w:ascii="宋体" w:hAnsi="宋体"/>
          <w:b/>
          <w:bCs/>
          <w:sz w:val="36"/>
          <w:szCs w:val="36"/>
          <w:lang w:val="en-US" w:eastAsia="zh-CN"/>
        </w:rPr>
        <w:t>铸件部成品库房扩容及封闭工程</w:t>
      </w:r>
      <w:r>
        <w:rPr>
          <w:rFonts w:hint="eastAsia" w:ascii="宋体" w:hAnsi="宋体"/>
          <w:b/>
          <w:bCs/>
          <w:sz w:val="36"/>
          <w:szCs w:val="36"/>
        </w:rPr>
        <w:t>报价单</w:t>
      </w:r>
    </w:p>
    <w:tbl>
      <w:tblPr>
        <w:tblStyle w:val="13"/>
        <w:tblpPr w:leftFromText="180" w:rightFromText="180" w:vertAnchor="text" w:horzAnchor="page" w:tblpX="512" w:tblpY="345"/>
        <w:tblOverlap w:val="never"/>
        <w:tblW w:w="5120" w:type="pct"/>
        <w:tblInd w:w="0" w:type="dxa"/>
        <w:tblLayout w:type="fixed"/>
        <w:tblCellMar>
          <w:top w:w="0" w:type="dxa"/>
          <w:left w:w="108" w:type="dxa"/>
          <w:bottom w:w="0" w:type="dxa"/>
          <w:right w:w="108" w:type="dxa"/>
        </w:tblCellMar>
      </w:tblPr>
      <w:tblGrid>
        <w:gridCol w:w="834"/>
        <w:gridCol w:w="1839"/>
        <w:gridCol w:w="838"/>
        <w:gridCol w:w="1600"/>
        <w:gridCol w:w="1450"/>
        <w:gridCol w:w="1850"/>
        <w:gridCol w:w="7150"/>
      </w:tblGrid>
      <w:tr>
        <w:tblPrEx>
          <w:tblCellMar>
            <w:top w:w="0" w:type="dxa"/>
            <w:left w:w="108" w:type="dxa"/>
            <w:bottom w:w="0" w:type="dxa"/>
            <w:right w:w="108" w:type="dxa"/>
          </w:tblCellMar>
        </w:tblPrEx>
        <w:trPr>
          <w:trHeight w:val="776" w:hRule="atLeast"/>
        </w:trPr>
        <w:tc>
          <w:tcPr>
            <w:tcW w:w="2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9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6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51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暂估</w:t>
            </w:r>
            <w:r>
              <w:rPr>
                <w:rFonts w:hint="eastAsia" w:ascii="宋体" w:hAnsi="宋体" w:cs="宋体"/>
                <w:b/>
                <w:bCs/>
                <w:color w:val="000000"/>
                <w:kern w:val="0"/>
                <w:sz w:val="24"/>
                <w:szCs w:val="24"/>
              </w:rPr>
              <w:t>工程量</w:t>
            </w:r>
          </w:p>
        </w:tc>
        <w:tc>
          <w:tcPr>
            <w:tcW w:w="46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9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铝合金百叶窗</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4"/>
                <w:szCs w:val="24"/>
                <w:u w:val="none"/>
                <w:lang w:val="en-US" w:eastAsia="zh-CN" w:bidi="ar"/>
              </w:rPr>
              <w:t>450</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墙面彩钢板</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4"/>
                <w:szCs w:val="24"/>
                <w:u w:val="none"/>
                <w:lang w:val="en-US" w:eastAsia="zh-CN" w:bidi="ar"/>
              </w:rPr>
              <w:t>85</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墙面彩光板</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370</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4"/>
                <w:szCs w:val="24"/>
                <w:u w:val="none"/>
                <w:lang w:val="en-US" w:eastAsia="zh-CN" w:bidi="ar"/>
              </w:rPr>
              <w:t>90</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屋面板彩钢板</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vertAlign w:val="baseline"/>
                <w:lang w:val="en-US" w:eastAsia="zh-CN" w:bidi="ar"/>
              </w:rPr>
              <w:t>m</w:t>
            </w:r>
            <w:r>
              <w:rPr>
                <w:rFonts w:hint="eastAsia" w:ascii="宋体" w:hAnsi="宋体" w:cs="宋体"/>
                <w:i w:val="0"/>
                <w:color w:val="000000"/>
                <w:kern w:val="0"/>
                <w:sz w:val="28"/>
                <w:szCs w:val="28"/>
                <w:u w:val="none"/>
                <w:vertAlign w:val="superscript"/>
                <w:lang w:val="en-US" w:eastAsia="zh-CN" w:bidi="ar"/>
              </w:rPr>
              <w:t>2</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2050</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4"/>
                <w:szCs w:val="24"/>
                <w:u w:val="none"/>
                <w:lang w:val="en-US" w:eastAsia="zh-CN" w:bidi="ar"/>
              </w:rPr>
              <w:t>125</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t</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4"/>
                <w:szCs w:val="24"/>
                <w:u w:val="none"/>
                <w:lang w:val="en-US" w:eastAsia="zh-CN" w:bidi="ar"/>
              </w:rPr>
              <w:t>125</w:t>
            </w:r>
            <w:r>
              <w:rPr>
                <w:rFonts w:hint="eastAsia" w:ascii="宋体" w:hAnsi="宋体" w:cs="宋体"/>
                <w:i w:val="0"/>
                <w:iCs w:val="0"/>
                <w:color w:val="000000"/>
                <w:kern w:val="0"/>
                <w:sz w:val="24"/>
                <w:szCs w:val="24"/>
                <w:u w:val="none"/>
                <w:lang w:val="en-US" w:eastAsia="zh-CN" w:bidi="ar"/>
              </w:rPr>
              <w:t>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eastAsia="宋体"/>
                <w:color w:val="000000"/>
                <w:sz w:val="22"/>
                <w:szCs w:val="22"/>
                <w:lang w:val="en-US" w:eastAsia="zh-CN"/>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color w:val="000000"/>
                <w:kern w:val="0"/>
                <w:sz w:val="24"/>
                <w:szCs w:val="24"/>
                <w:lang w:val="en-US" w:eastAsia="zh-CN" w:bidi="ar"/>
              </w:rPr>
              <w:t>t</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钢柱、钢梁、雨沟、檩条、檩托、拉条、撑杆、原厂房梁柱加固等所有钢构的制作、安装、运输、倒运、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c>
          <w:tcPr>
            <w:tcW w:w="59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轨道</w:t>
            </w:r>
          </w:p>
        </w:tc>
        <w:tc>
          <w:tcPr>
            <w:tcW w:w="26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m</w:t>
            </w:r>
          </w:p>
        </w:tc>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336</w:t>
            </w:r>
          </w:p>
        </w:tc>
        <w:tc>
          <w:tcPr>
            <w:tcW w:w="46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300</w:t>
            </w:r>
            <w:r>
              <w:rPr>
                <w:rFonts w:hint="eastAsia" w:ascii="宋体" w:hAnsi="宋体" w:cs="宋体"/>
                <w:color w:val="000000"/>
                <w:kern w:val="0"/>
                <w:sz w:val="21"/>
                <w:szCs w:val="21"/>
                <w:lang w:bidi="ar"/>
              </w:rPr>
              <w:t>元/</w:t>
            </w:r>
            <w:r>
              <w:rPr>
                <w:rFonts w:hint="eastAsia" w:ascii="宋体" w:hAnsi="宋体" w:cs="宋体"/>
                <w:color w:val="000000"/>
                <w:kern w:val="0"/>
                <w:sz w:val="21"/>
                <w:szCs w:val="21"/>
                <w:lang w:val="en-US" w:eastAsia="zh-CN" w:bidi="ar"/>
              </w:rPr>
              <w:t>m</w:t>
            </w:r>
          </w:p>
        </w:tc>
        <w:tc>
          <w:tcPr>
            <w:tcW w:w="594"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4"/>
                <w:szCs w:val="24"/>
                <w:lang w:bidi="ar"/>
              </w:rPr>
              <w:t>元/</w:t>
            </w:r>
            <w:r>
              <w:rPr>
                <w:rFonts w:hint="eastAsia" w:ascii="宋体" w:hAnsi="宋体" w:cs="宋体"/>
                <w:color w:val="000000"/>
                <w:kern w:val="0"/>
                <w:sz w:val="24"/>
                <w:szCs w:val="24"/>
                <w:lang w:val="en-US" w:eastAsia="zh-CN" w:bidi="ar"/>
              </w:rPr>
              <w:t>m</w:t>
            </w:r>
          </w:p>
        </w:tc>
        <w:tc>
          <w:tcPr>
            <w:tcW w:w="229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包括轨道、压轨器、鱼尾板的安装、运输、倒运等涉及的全部工序及人工费、机械费、材料费、措施费、不可竞争费、税金、水电费等全部费用。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72" w:hRule="atLeast"/>
        </w:trPr>
        <w:tc>
          <w:tcPr>
            <w:tcW w:w="267"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ascii="宋体" w:hAnsi="宋体" w:cs="宋体"/>
                <w:i w:val="0"/>
                <w:color w:val="000000"/>
                <w:kern w:val="0"/>
                <w:sz w:val="20"/>
                <w:szCs w:val="20"/>
                <w:u w:val="none"/>
                <w:lang w:val="en-US" w:eastAsia="zh-CN" w:bidi="ar"/>
              </w:rPr>
              <w:t>1</w:t>
            </w:r>
          </w:p>
        </w:tc>
        <w:tc>
          <w:tcPr>
            <w:tcW w:w="590" w:type="pct"/>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783" w:type="pct"/>
            <w:gridSpan w:val="2"/>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w:t>
            </w:r>
            <w:r>
              <w:rPr>
                <w:rFonts w:hint="eastAsia" w:ascii="宋体" w:hAnsi="宋体" w:cs="宋体"/>
                <w:i w:val="0"/>
                <w:color w:val="000000"/>
                <w:kern w:val="0"/>
                <w:sz w:val="20"/>
                <w:szCs w:val="20"/>
                <w:u w:val="none"/>
                <w:lang w:val="en-US" w:eastAsia="zh-CN" w:bidi="ar"/>
              </w:rPr>
              <w:t>估</w:t>
            </w:r>
            <w:r>
              <w:rPr>
                <w:rFonts w:hint="eastAsia" w:ascii="宋体" w:hAnsi="宋体" w:eastAsia="宋体" w:cs="宋体"/>
                <w:i w:val="0"/>
                <w:color w:val="000000"/>
                <w:kern w:val="0"/>
                <w:sz w:val="20"/>
                <w:szCs w:val="20"/>
                <w:u w:val="none"/>
                <w:lang w:val="en-US" w:eastAsia="zh-CN" w:bidi="ar"/>
              </w:rPr>
              <w:t>金额</w:t>
            </w:r>
            <w:r>
              <w:rPr>
                <w:rFonts w:hint="eastAsia" w:ascii="宋体" w:hAnsi="宋体" w:cs="宋体"/>
                <w:i w:val="0"/>
                <w:color w:val="000000"/>
                <w:kern w:val="0"/>
                <w:sz w:val="20"/>
                <w:szCs w:val="20"/>
                <w:u w:val="single"/>
                <w:lang w:val="en-US" w:eastAsia="zh-CN" w:bidi="ar"/>
              </w:rPr>
              <w:t>10</w:t>
            </w:r>
            <w:r>
              <w:rPr>
                <w:rFonts w:hint="eastAsia" w:ascii="宋体" w:hAnsi="宋体" w:eastAsia="宋体" w:cs="宋体"/>
                <w:i w:val="0"/>
                <w:color w:val="000000"/>
                <w:kern w:val="0"/>
                <w:sz w:val="20"/>
                <w:szCs w:val="20"/>
                <w:u w:val="single"/>
                <w:lang w:val="en-US" w:eastAsia="zh-CN" w:bidi="ar"/>
              </w:rPr>
              <w:t>0000</w:t>
            </w:r>
            <w:r>
              <w:rPr>
                <w:rFonts w:hint="eastAsia" w:ascii="宋体" w:hAnsi="宋体" w:eastAsia="宋体" w:cs="宋体"/>
                <w:i w:val="0"/>
                <w:color w:val="000000"/>
                <w:kern w:val="0"/>
                <w:sz w:val="20"/>
                <w:szCs w:val="20"/>
                <w:u w:val="none"/>
                <w:lang w:val="en-US" w:eastAsia="zh-CN" w:bidi="ar"/>
              </w:rPr>
              <w:t>元</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94"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p>
        </w:tc>
        <w:tc>
          <w:tcPr>
            <w:tcW w:w="2297"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w:t>
            </w:r>
            <w:r>
              <w:rPr>
                <w:rFonts w:hint="eastAsia" w:ascii="宋体" w:hAnsi="宋体" w:cs="宋体"/>
                <w:i w:val="0"/>
                <w:color w:val="000000"/>
                <w:kern w:val="0"/>
                <w:sz w:val="21"/>
                <w:szCs w:val="21"/>
                <w:u w:val="none"/>
                <w:lang w:val="en-US" w:eastAsia="zh-CN" w:bidi="ar"/>
              </w:rPr>
              <w:t>措施费</w:t>
            </w:r>
            <w:r>
              <w:rPr>
                <w:rFonts w:hint="eastAsia" w:ascii="宋体" w:hAnsi="宋体" w:eastAsia="宋体" w:cs="宋体"/>
                <w:i w:val="0"/>
                <w:color w:val="000000"/>
                <w:kern w:val="0"/>
                <w:sz w:val="21"/>
                <w:szCs w:val="21"/>
                <w:u w:val="none"/>
                <w:lang w:val="en-US" w:eastAsia="zh-CN" w:bidi="ar"/>
              </w:rPr>
              <w:t>以现场确认形式据实计取，二次搬运费不计取。</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sz w:val="18"/>
          <w:szCs w:val="18"/>
        </w:rPr>
        <w:sectPr>
          <w:pgSz w:w="16840" w:h="11900" w:orient="landscape"/>
          <w:pgMar w:top="981" w:right="278" w:bottom="1361" w:left="1582" w:header="720" w:footer="720" w:gutter="0"/>
          <w:cols w:space="720" w:num="1"/>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2E65E00"/>
    <w:rsid w:val="1DC136C9"/>
    <w:rsid w:val="214D2E1E"/>
    <w:rsid w:val="21F73AF2"/>
    <w:rsid w:val="23883F50"/>
    <w:rsid w:val="24C93CD8"/>
    <w:rsid w:val="24E835CF"/>
    <w:rsid w:val="282A37D0"/>
    <w:rsid w:val="2BD531B7"/>
    <w:rsid w:val="326329B3"/>
    <w:rsid w:val="34481C4C"/>
    <w:rsid w:val="35BF7123"/>
    <w:rsid w:val="4E721680"/>
    <w:rsid w:val="59A06F0E"/>
    <w:rsid w:val="66296C18"/>
    <w:rsid w:val="724E1F86"/>
    <w:rsid w:val="751B5F1A"/>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17</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2021-05-26T06:46:20Z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