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jc w:val="center"/>
        <w:rPr>
          <w:sz w:val="36"/>
          <w:szCs w:val="36"/>
        </w:rPr>
      </w:pPr>
      <w:r>
        <w:rPr>
          <w:rFonts w:hint="eastAsia"/>
          <w:sz w:val="36"/>
          <w:szCs w:val="36"/>
        </w:rPr>
        <w:t>搭临区改造项目地质勘察工程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25DLQGZXMDZKCGC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ind w:firstLine="843" w:firstLineChars="300"/>
        <w:jc w:val="both"/>
        <w:rPr>
          <w:sz w:val="32"/>
          <w:szCs w:val="32"/>
        </w:rPr>
      </w:pP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sz w:val="24"/>
          <w:szCs w:val="24"/>
        </w:rPr>
        <w:t>搭临区改造项目地质勘察工程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rPr>
          <w:rFonts w:ascii="宋体" w:hAnsi="宋体"/>
          <w:bCs/>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hAnsi="宋体"/>
          <w:color w:val="FF0000"/>
          <w:sz w:val="24"/>
          <w:szCs w:val="24"/>
        </w:rPr>
        <w:t xml:space="preserve">国家建设部门颁发的地质勘察乙级以上资质（含乙级） </w:t>
      </w:r>
      <w:r>
        <w:rPr>
          <w:rFonts w:hAnsi="宋体"/>
          <w:color w:val="FF0000"/>
          <w:sz w:val="24"/>
          <w:szCs w:val="24"/>
        </w:rPr>
        <w:t xml:space="preserve">                             </w:t>
      </w:r>
      <w:r>
        <w:rPr>
          <w:rFonts w:hint="eastAsia" w:hAnsi="宋体"/>
          <w:color w:val="FF0000"/>
          <w:sz w:val="24"/>
          <w:szCs w:val="24"/>
        </w:rPr>
        <w:t>资质</w:t>
      </w:r>
      <w:r>
        <w:rPr>
          <w:rFonts w:hAnsi="宋体"/>
          <w:color w:val="FF0000"/>
          <w:sz w:val="24"/>
          <w:szCs w:val="24"/>
        </w:rPr>
        <w:t xml:space="preserve"> </w:t>
      </w:r>
      <w:r>
        <w:rPr>
          <w:rFonts w:hint="eastAsia" w:hAnsi="宋体"/>
          <w:sz w:val="24"/>
          <w:szCs w:val="24"/>
        </w:rPr>
        <w:t>。投标人拟派项目经理须具有</w:t>
      </w:r>
      <w:r>
        <w:rPr>
          <w:rFonts w:hint="eastAsia" w:hAnsi="宋体"/>
          <w:color w:val="FF0000"/>
          <w:sz w:val="24"/>
          <w:szCs w:val="24"/>
        </w:rPr>
        <w:t>注册土木工程师（岩土）</w:t>
      </w:r>
      <w:r>
        <w:rPr>
          <w:rFonts w:hint="eastAsia" w:hAnsi="宋体"/>
          <w:sz w:val="24"/>
          <w:szCs w:val="24"/>
        </w:rPr>
        <w:t>执业资格。</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25</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07</w:t>
      </w:r>
      <w:r>
        <w:rPr>
          <w:rFonts w:hint="eastAsia" w:ascii="宋体" w:hAnsi="宋体"/>
          <w:bCs/>
          <w:sz w:val="24"/>
          <w:szCs w:val="24"/>
        </w:rPr>
        <w:t>月</w:t>
      </w:r>
      <w:r>
        <w:rPr>
          <w:rFonts w:hint="eastAsia" w:ascii="宋体" w:hAnsi="宋体"/>
          <w:bCs/>
          <w:color w:val="FF0000"/>
          <w:sz w:val="24"/>
          <w:szCs w:val="24"/>
          <w:lang w:val="en-US" w:eastAsia="zh-CN"/>
        </w:rPr>
        <w:t>02</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w:t>
      </w:r>
      <w:r>
        <w:rPr>
          <w:rFonts w:hint="eastAsia" w:ascii="宋体" w:hAnsi="宋体"/>
          <w:bCs/>
          <w:color w:val="FF0000"/>
          <w:sz w:val="24"/>
          <w:szCs w:val="24"/>
          <w:lang w:val="en-US" w:eastAsia="zh-CN"/>
        </w:rPr>
        <w:t>55377521</w:t>
      </w:r>
      <w:r>
        <w:rPr>
          <w:rFonts w:ascii="宋体" w:hAnsi="宋体"/>
          <w:bCs/>
          <w:color w:val="FF0000"/>
          <w:sz w:val="24"/>
          <w:szCs w:val="24"/>
        </w:rPr>
        <w:t>@1</w:t>
      </w:r>
      <w:r>
        <w:rPr>
          <w:rFonts w:hint="eastAsia" w:ascii="宋体" w:hAnsi="宋体"/>
          <w:bCs/>
          <w:color w:val="FF0000"/>
          <w:sz w:val="24"/>
          <w:szCs w:val="24"/>
          <w:lang w:val="en-US" w:eastAsia="zh-CN"/>
        </w:rPr>
        <w:t>39</w:t>
      </w:r>
      <w:r>
        <w:rPr>
          <w:rFonts w:ascii="宋体" w:hAnsi="宋体"/>
          <w:bCs/>
          <w:color w:val="FF0000"/>
          <w:sz w:val="24"/>
          <w:szCs w:val="24"/>
        </w:rPr>
        <w:t>.com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ind w:left="479" w:leftChars="228" w:firstLine="240" w:firstLineChars="100"/>
        <w:jc w:val="both"/>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搭临区改造项目地质勘察工程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w:t>
      </w:r>
      <w:r>
        <w:rPr>
          <w:rFonts w:hint="eastAsia" w:ascii="宋体" w:hAnsi="宋体" w:eastAsia="宋体" w:cs="宋体"/>
          <w:color w:val="2A2A2A"/>
          <w:kern w:val="0"/>
          <w:sz w:val="24"/>
          <w:szCs w:val="24"/>
          <w:lang w:val="en-US" w:eastAsia="zh-CN"/>
        </w:rPr>
        <w:t>刘伟</w:t>
      </w:r>
      <w:r>
        <w:rPr>
          <w:rFonts w:hint="eastAsia" w:ascii="宋体" w:hAnsi="宋体" w:eastAsia="宋体" w:cs="宋体"/>
          <w:color w:val="2A2A2A"/>
          <w:kern w:val="0"/>
          <w:sz w:val="24"/>
          <w:szCs w:val="24"/>
        </w:rPr>
        <w:t>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周剑波</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13155338076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刘  伟</w:t>
      </w:r>
      <w:r>
        <w:rPr>
          <w:rFonts w:hint="eastAsia" w:ascii="宋体" w:hAnsi="宋体" w:eastAsia="宋体" w:cs="宋体"/>
          <w:color w:val="2A2A2A"/>
          <w:kern w:val="0"/>
          <w:sz w:val="24"/>
          <w:szCs w:val="24"/>
        </w:rPr>
        <w:t>    139</w:t>
      </w:r>
      <w:r>
        <w:rPr>
          <w:rFonts w:hint="eastAsia" w:ascii="宋体" w:hAnsi="宋体" w:eastAsia="宋体" w:cs="宋体"/>
          <w:color w:val="2A2A2A"/>
          <w:kern w:val="0"/>
          <w:sz w:val="24"/>
          <w:szCs w:val="24"/>
          <w:lang w:val="en-US" w:eastAsia="zh-CN"/>
        </w:rPr>
        <w:t>55377521</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07</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02</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刘伟</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55377521</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39</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hint="eastAsia" w:ascii="隶书" w:hAnsi="宋体" w:eastAsia="隶书"/>
          <w:sz w:val="36"/>
        </w:rPr>
      </w:pPr>
    </w:p>
    <w:p>
      <w:pPr>
        <w:tabs>
          <w:tab w:val="left" w:pos="420"/>
          <w:tab w:val="left" w:pos="630"/>
        </w:tabs>
        <w:spacing w:line="300" w:lineRule="auto"/>
        <w:jc w:val="center"/>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ind w:firstLine="840" w:firstLineChars="400"/>
        <w:jc w:val="both"/>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2"/>
          <w:szCs w:val="22"/>
        </w:rPr>
        <w:t>搭临区改造项目地质勘察工程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2"/>
          <w:szCs w:val="22"/>
        </w:rPr>
        <w:t>搭临区改造项目地质勘察工程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叁仟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07</w:t>
      </w:r>
      <w:r>
        <w:rPr>
          <w:rFonts w:hint="eastAsia" w:ascii="宋体" w:hAnsi="宋体" w:cs="宋体"/>
          <w:bCs/>
          <w:color w:val="FF0000"/>
          <w:kern w:val="36"/>
        </w:rPr>
        <w:t>月</w:t>
      </w:r>
      <w:r>
        <w:rPr>
          <w:rFonts w:hint="eastAsia" w:ascii="宋体" w:hAnsi="宋体" w:cs="宋体"/>
          <w:bCs/>
          <w:color w:val="FF0000"/>
          <w:kern w:val="36"/>
          <w:u w:val="single"/>
          <w:lang w:val="en-US" w:eastAsia="zh-CN"/>
        </w:rPr>
        <w:t>02</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具体内容详见发包人确认下发的图纸工程量及做法。</w:t>
      </w:r>
    </w:p>
    <w:p>
      <w:pPr>
        <w:pStyle w:val="18"/>
        <w:numPr>
          <w:ilvl w:val="0"/>
          <w:numId w:val="0"/>
        </w:numPr>
        <w:spacing w:line="360" w:lineRule="auto"/>
        <w:ind w:leftChars="0"/>
        <w:rPr>
          <w:rFonts w:ascii="宋体" w:hAnsi="宋体"/>
          <w:sz w:val="24"/>
          <w:szCs w:val="22"/>
        </w:rPr>
      </w:pPr>
      <w:r>
        <w:rPr>
          <w:rFonts w:hint="eastAsia" w:ascii="宋体" w:hAnsi="宋体"/>
        </w:rPr>
        <w:t>2</w:t>
      </w:r>
      <w:r>
        <w:rPr>
          <w:rFonts w:ascii="宋体" w:hAnsi="宋体"/>
        </w:rPr>
        <w:t>.</w:t>
      </w:r>
      <w:r>
        <w:rPr>
          <w:rFonts w:hint="eastAsia" w:ascii="宋体" w:hAnsi="宋体"/>
        </w:rPr>
        <w:t xml:space="preserve">  </w:t>
      </w:r>
      <w:r>
        <w:rPr>
          <w:rFonts w:hint="eastAsia" w:ascii="宋体" w:hAnsi="宋体"/>
          <w:color w:val="FF0000"/>
        </w:rPr>
        <w:t>工程概况和估算工作量</w:t>
      </w:r>
      <w:r>
        <w:rPr>
          <w:rFonts w:hint="eastAsia" w:ascii="宋体" w:hAnsi="宋体"/>
          <w:color w:val="FF0000"/>
          <w:szCs w:val="21"/>
        </w:rPr>
        <w:t>：</w:t>
      </w:r>
      <w:r>
        <w:rPr>
          <w:rFonts w:hint="eastAsia"/>
        </w:rPr>
        <w:t>搭临区总面积约62800㎡，分别规划为堆场、停车场、运输部车队、制作场等。</w:t>
      </w:r>
    </w:p>
    <w:p>
      <w:pPr>
        <w:pStyle w:val="18"/>
        <w:numPr>
          <w:ilvl w:val="0"/>
          <w:numId w:val="0"/>
        </w:numPr>
        <w:spacing w:line="360" w:lineRule="auto"/>
        <w:ind w:leftChars="0"/>
        <w:rPr>
          <w:rFonts w:ascii="宋体" w:hAnsi="宋体"/>
          <w:sz w:val="24"/>
          <w:szCs w:val="22"/>
        </w:rPr>
      </w:pPr>
      <w:r>
        <w:rPr>
          <w:rFonts w:hint="eastAsia"/>
        </w:rPr>
        <w:t>工作内容：搭临区改造项目，拟</w:t>
      </w:r>
      <w:r>
        <w:rPr>
          <w:rFonts w:hint="eastAsia" w:ascii="宋体" w:hAnsi="宋体" w:cs="宋体"/>
          <w:kern w:val="0"/>
        </w:rPr>
        <w:t>对该项目地质进行详勘。该地勘工程需进行详细的地质勘察（岩土工程勘察、水文地质勘察（含凿井）、工程测量、工程物勘探），并出具建设工程设计所需的勘察详勘报告，测绘并计算搭临区土方相对于-0.500标高的挖（填）方量，详见图纸要求</w:t>
      </w:r>
      <w:r>
        <w:rPr>
          <w:rFonts w:hint="eastAsia"/>
        </w:rPr>
        <w:t>。</w:t>
      </w:r>
    </w:p>
    <w:p>
      <w:pPr>
        <w:numPr>
          <w:ilvl w:val="0"/>
          <w:numId w:val="0"/>
        </w:numPr>
        <w:spacing w:beforeLines="50" w:afterLines="50" w:line="300" w:lineRule="auto"/>
        <w:ind w:leftChars="0"/>
        <w:rPr>
          <w:rFonts w:ascii="宋体" w:hAnsi="宋体" w:cs="宋体"/>
          <w:kern w:val="0"/>
        </w:rPr>
      </w:pPr>
      <w:r>
        <w:rPr>
          <w:rFonts w:hint="eastAsia"/>
        </w:rPr>
        <w:t>工程量:约85个孔，按照孔深约40米计算，共计3400米</w:t>
      </w:r>
      <w:r>
        <w:rPr>
          <w:rFonts w:hint="eastAsia" w:ascii="宋体" w:hAnsi="宋体" w:cs="宋体"/>
          <w:kern w:val="0"/>
        </w:rPr>
        <w:t>；测绘面积约6万平米。</w:t>
      </w:r>
    </w:p>
    <w:p>
      <w:pPr>
        <w:numPr>
          <w:ilvl w:val="0"/>
          <w:numId w:val="0"/>
        </w:numPr>
        <w:spacing w:line="360" w:lineRule="auto"/>
        <w:ind w:leftChars="0"/>
        <w:rPr>
          <w:rFonts w:ascii="宋体" w:hAnsi="宋体"/>
          <w:sz w:val="24"/>
          <w:szCs w:val="22"/>
        </w:rPr>
      </w:pPr>
      <w:r>
        <w:rPr>
          <w:rFonts w:hint="eastAsia"/>
        </w:rPr>
        <w:t>本工程拦标价详见报价单</w:t>
      </w:r>
      <w:r>
        <w:rPr>
          <w:rFonts w:hint="eastAsia" w:ascii="宋体" w:hAnsi="宋体"/>
          <w:sz w:val="24"/>
          <w:szCs w:val="22"/>
        </w:rPr>
        <w:t xml:space="preserve">。 </w:t>
      </w:r>
    </w:p>
    <w:p>
      <w:pPr>
        <w:numPr>
          <w:ilvl w:val="0"/>
          <w:numId w:val="0"/>
        </w:numPr>
        <w:spacing w:line="360" w:lineRule="auto"/>
        <w:ind w:leftChars="0"/>
        <w:rPr>
          <w:rFonts w:ascii="宋体" w:hAnsi="宋体"/>
          <w:sz w:val="24"/>
          <w:szCs w:val="22"/>
        </w:rPr>
      </w:pPr>
    </w:p>
    <w:p>
      <w:pPr>
        <w:spacing w:line="360" w:lineRule="exact"/>
        <w:rPr>
          <w:rFonts w:ascii="宋体" w:hAnsi="宋体"/>
        </w:rPr>
      </w:pPr>
      <w:r>
        <w:rPr>
          <w:rFonts w:hint="eastAsia" w:ascii="宋体" w:hAnsi="宋体"/>
        </w:rPr>
        <w:t>3.  投标有效期:90天。</w:t>
      </w:r>
    </w:p>
    <w:p>
      <w:pPr>
        <w:spacing w:beforeLines="50" w:afterLines="50" w:line="360" w:lineRule="exact"/>
        <w:rPr>
          <w:rFonts w:hint="eastAsia" w:ascii="宋体" w:hAnsi="宋体"/>
          <w:b/>
        </w:rPr>
      </w:pPr>
      <w:r>
        <w:rPr>
          <w:rFonts w:hint="eastAsia" w:ascii="宋体" w:hAnsi="宋体"/>
          <w:b/>
        </w:rPr>
        <w:t>四、工期：</w:t>
      </w:r>
    </w:p>
    <w:p>
      <w:pPr>
        <w:spacing w:line="240" w:lineRule="auto"/>
        <w:ind w:right="4830" w:rightChars="2300" w:firstLine="0" w:firstLineChars="0"/>
        <w:rPr>
          <w:rFonts w:ascii="宋体" w:hAnsi="宋体" w:cs="宋体"/>
          <w:sz w:val="24"/>
        </w:rPr>
      </w:pPr>
      <w:r>
        <w:rPr>
          <w:rFonts w:hint="eastAsia" w:ascii="宋体" w:hAnsi="宋体" w:cs="宋体"/>
          <w:sz w:val="24"/>
          <w:szCs w:val="24"/>
        </w:rPr>
        <w:t>开工日期：</w:t>
      </w:r>
      <w:r>
        <w:rPr>
          <w:rFonts w:ascii="宋体" w:hAnsi="宋体"/>
          <w:bCs/>
          <w:sz w:val="24"/>
          <w:szCs w:val="24"/>
          <w:u w:val="single"/>
        </w:rPr>
        <w:t xml:space="preserve"> </w:t>
      </w:r>
      <w:r>
        <w:rPr>
          <w:rFonts w:hint="eastAsia" w:ascii="宋体" w:hAnsi="宋体"/>
          <w:bCs/>
          <w:sz w:val="24"/>
          <w:szCs w:val="24"/>
          <w:u w:val="single"/>
          <w:lang w:val="en-US" w:eastAsia="zh-CN"/>
        </w:rPr>
        <w:t>2021年7月20日</w:t>
      </w:r>
      <w:r>
        <w:rPr>
          <w:rFonts w:hint="eastAsia" w:ascii="宋体" w:hAnsi="宋体" w:cs="宋体"/>
          <w:sz w:val="24"/>
          <w:szCs w:val="24"/>
        </w:rPr>
        <w:t xml:space="preserve">  </w:t>
      </w:r>
      <w:r>
        <w:rPr>
          <w:rFonts w:hint="eastAsia" w:ascii="宋体" w:hAnsi="宋体" w:cs="宋体"/>
          <w:sz w:val="24"/>
          <w:szCs w:val="24"/>
          <w:lang w:val="en-US" w:eastAsia="zh-CN"/>
        </w:rPr>
        <w:t>(暂定）</w:t>
      </w:r>
      <w:r>
        <w:rPr>
          <w:rFonts w:hint="eastAsia" w:ascii="宋体" w:hAnsi="宋体" w:cs="宋体"/>
          <w:sz w:val="24"/>
          <w:szCs w:val="24"/>
        </w:rPr>
        <w:t xml:space="preserve">                                         竣工日期：</w:t>
      </w:r>
      <w:r>
        <w:rPr>
          <w:rFonts w:ascii="宋体" w:hAnsi="宋体" w:cs="宋体"/>
          <w:sz w:val="24"/>
          <w:szCs w:val="24"/>
          <w:u w:val="single"/>
        </w:rPr>
        <w:t xml:space="preserve"> </w:t>
      </w:r>
      <w:r>
        <w:rPr>
          <w:rFonts w:hint="eastAsia" w:ascii="宋体" w:hAnsi="宋体" w:cs="宋体"/>
          <w:sz w:val="24"/>
          <w:szCs w:val="24"/>
          <w:u w:val="single"/>
          <w:lang w:val="en-US" w:eastAsia="zh-CN"/>
        </w:rPr>
        <w:t>2021年8月8日</w:t>
      </w:r>
      <w:r>
        <w:rPr>
          <w:rFonts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kern w:val="36"/>
        </w:rPr>
      </w:pPr>
      <w:r>
        <w:rPr>
          <w:rFonts w:hint="eastAsia" w:ascii="宋体" w:hAnsi="宋体" w:cs="宋体"/>
          <w:sz w:val="24"/>
          <w:szCs w:val="24"/>
        </w:rPr>
        <w:t>合同工期总日历天数</w:t>
      </w:r>
      <w:r>
        <w:rPr>
          <w:rFonts w:ascii="宋体" w:hAnsi="宋体" w:cs="宋体"/>
          <w:sz w:val="24"/>
          <w:szCs w:val="24"/>
          <w:u w:val="single"/>
        </w:rPr>
        <w:t xml:space="preserve">   </w:t>
      </w:r>
      <w:r>
        <w:rPr>
          <w:rFonts w:hint="eastAsia" w:ascii="宋体" w:hAnsi="宋体" w:cs="宋体"/>
          <w:sz w:val="24"/>
          <w:szCs w:val="24"/>
          <w:u w:val="single"/>
          <w:lang w:val="en-US" w:eastAsia="zh-CN"/>
        </w:rPr>
        <w:t>20</w:t>
      </w:r>
      <w:r>
        <w:rPr>
          <w:rFonts w:ascii="宋体" w:hAnsi="宋体" w:cs="宋体"/>
          <w:sz w:val="24"/>
          <w:szCs w:val="24"/>
          <w:u w:val="single"/>
        </w:rPr>
        <w:t xml:space="preserve"> </w:t>
      </w:r>
      <w:r>
        <w:rPr>
          <w:rFonts w:hint="eastAsia" w:ascii="宋体" w:hAnsi="宋体" w:cs="宋体"/>
          <w:sz w:val="24"/>
          <w:szCs w:val="24"/>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spacing w:line="300" w:lineRule="auto"/>
        <w:rPr>
          <w:sz w:val="24"/>
          <w:szCs w:val="24"/>
        </w:rPr>
      </w:pPr>
      <w:r>
        <w:rPr>
          <w:rFonts w:hint="eastAsia"/>
          <w:sz w:val="24"/>
          <w:szCs w:val="24"/>
        </w:rPr>
        <w:t>1、探孔布置、勘察深度及提交资料应符合国家或地方所制定的地质勘查技术规范或标准的规定，孔深应至不可压缩层。</w:t>
      </w:r>
    </w:p>
    <w:p>
      <w:pPr>
        <w:spacing w:line="300" w:lineRule="auto"/>
        <w:rPr>
          <w:sz w:val="24"/>
          <w:szCs w:val="24"/>
        </w:rPr>
      </w:pPr>
      <w:r>
        <w:rPr>
          <w:rFonts w:hint="eastAsia"/>
          <w:sz w:val="24"/>
          <w:szCs w:val="24"/>
        </w:rPr>
        <w:t>2、有无影响建筑场地稳定性的不良地质作用，评价其危害程度。</w:t>
      </w:r>
    </w:p>
    <w:p>
      <w:pPr>
        <w:spacing w:line="300" w:lineRule="auto"/>
        <w:rPr>
          <w:sz w:val="24"/>
          <w:szCs w:val="24"/>
        </w:rPr>
      </w:pPr>
      <w:r>
        <w:rPr>
          <w:rFonts w:hint="eastAsia"/>
          <w:sz w:val="24"/>
          <w:szCs w:val="24"/>
        </w:rPr>
        <w:t>3、建筑物范围内的地层结构及其均匀性，各岩土层的物理力学性质指标，以及对建筑材料的腐蚀性。</w:t>
      </w:r>
    </w:p>
    <w:p>
      <w:pPr>
        <w:spacing w:line="300" w:lineRule="auto"/>
        <w:rPr>
          <w:sz w:val="24"/>
          <w:szCs w:val="24"/>
        </w:rPr>
      </w:pPr>
      <w:r>
        <w:rPr>
          <w:rFonts w:hint="eastAsia"/>
          <w:sz w:val="24"/>
          <w:szCs w:val="24"/>
        </w:rPr>
        <w:t>4、地下水埋藏情况、类型和水位变化幅度及规律，以及对建筑物的腐蚀性。</w:t>
      </w:r>
    </w:p>
    <w:p>
      <w:pPr>
        <w:spacing w:line="300" w:lineRule="auto"/>
        <w:rPr>
          <w:sz w:val="24"/>
          <w:szCs w:val="24"/>
        </w:rPr>
      </w:pPr>
      <w:r>
        <w:rPr>
          <w:rFonts w:hint="eastAsia"/>
          <w:sz w:val="24"/>
          <w:szCs w:val="24"/>
        </w:rPr>
        <w:t>5、在抗震设防区应划分场地类型，并对饱和砂土及粉土进行液化判别。</w:t>
      </w:r>
    </w:p>
    <w:p>
      <w:pPr>
        <w:spacing w:line="300" w:lineRule="auto"/>
        <w:rPr>
          <w:sz w:val="24"/>
          <w:szCs w:val="24"/>
        </w:rPr>
      </w:pPr>
      <w:r>
        <w:rPr>
          <w:rFonts w:hint="eastAsia"/>
          <w:sz w:val="24"/>
          <w:szCs w:val="24"/>
        </w:rPr>
        <w:t>6、对可供采用的地基基础设计方案进行论证分析，提出经济合理、技术先进的方案建议，提供与设计要求相对应的地基承载力及变形计算参数，并对设计与施工注意的问题提出建议。</w:t>
      </w:r>
    </w:p>
    <w:p>
      <w:pPr>
        <w:spacing w:line="300" w:lineRule="auto"/>
        <w:rPr>
          <w:sz w:val="24"/>
          <w:szCs w:val="24"/>
        </w:rPr>
      </w:pPr>
      <w:r>
        <w:rPr>
          <w:rFonts w:hint="eastAsia"/>
          <w:sz w:val="24"/>
          <w:szCs w:val="24"/>
        </w:rPr>
        <w:t>7、提供边坡及基坑开挖计算和边坡设计所需的技术参数，论证其对周围环境的影响；基坑施工降水的有关技术参数及对地下水控制方法的建议，用于计算地下水浮力的设防水位。</w:t>
      </w:r>
    </w:p>
    <w:p>
      <w:pPr>
        <w:spacing w:line="300" w:lineRule="auto"/>
        <w:rPr>
          <w:sz w:val="24"/>
          <w:szCs w:val="24"/>
        </w:rPr>
      </w:pPr>
      <w:r>
        <w:rPr>
          <w:rFonts w:hint="eastAsia"/>
          <w:sz w:val="24"/>
          <w:szCs w:val="24"/>
        </w:rPr>
        <w:t>8、控制性孔根据规范要求均匀布置。</w:t>
      </w:r>
    </w:p>
    <w:p>
      <w:pPr>
        <w:spacing w:line="300" w:lineRule="auto"/>
        <w:rPr>
          <w:sz w:val="24"/>
          <w:szCs w:val="24"/>
        </w:rPr>
      </w:pPr>
      <w:r>
        <w:rPr>
          <w:rFonts w:hint="eastAsia"/>
          <w:b/>
          <w:lang w:val="en-US" w:eastAsia="zh-CN"/>
        </w:rPr>
        <w:t>六</w:t>
      </w:r>
      <w:r>
        <w:rPr>
          <w:rFonts w:hint="eastAsia"/>
          <w:b/>
        </w:rPr>
        <w:t>、</w:t>
      </w:r>
      <w:r>
        <w:rPr>
          <w:rFonts w:hint="eastAsia"/>
          <w:sz w:val="24"/>
          <w:szCs w:val="24"/>
        </w:rPr>
        <w:t>勘察提交资料内容</w:t>
      </w:r>
    </w:p>
    <w:p>
      <w:pPr>
        <w:numPr>
          <w:ilvl w:val="0"/>
          <w:numId w:val="3"/>
        </w:numPr>
        <w:spacing w:line="300" w:lineRule="auto"/>
        <w:rPr>
          <w:sz w:val="24"/>
          <w:szCs w:val="24"/>
        </w:rPr>
      </w:pPr>
      <w:r>
        <w:rPr>
          <w:rFonts w:hint="eastAsia"/>
          <w:sz w:val="24"/>
          <w:szCs w:val="24"/>
        </w:rPr>
        <w:t>文字说明</w:t>
      </w:r>
    </w:p>
    <w:p>
      <w:pPr>
        <w:numPr>
          <w:ilvl w:val="0"/>
          <w:numId w:val="3"/>
        </w:numPr>
        <w:spacing w:line="300" w:lineRule="auto"/>
        <w:rPr>
          <w:sz w:val="24"/>
          <w:szCs w:val="24"/>
        </w:rPr>
      </w:pPr>
      <w:r>
        <w:rPr>
          <w:rFonts w:hint="eastAsia"/>
          <w:sz w:val="24"/>
          <w:szCs w:val="24"/>
        </w:rPr>
        <w:t>钻孔位置及钻孔坐标平面图</w:t>
      </w:r>
    </w:p>
    <w:p>
      <w:pPr>
        <w:numPr>
          <w:ilvl w:val="0"/>
          <w:numId w:val="3"/>
        </w:numPr>
        <w:spacing w:line="300" w:lineRule="auto"/>
        <w:rPr>
          <w:sz w:val="24"/>
          <w:szCs w:val="24"/>
        </w:rPr>
      </w:pPr>
      <w:r>
        <w:rPr>
          <w:rFonts w:hint="eastAsia"/>
          <w:sz w:val="24"/>
          <w:szCs w:val="24"/>
        </w:rPr>
        <w:t>地质剖面图</w:t>
      </w:r>
    </w:p>
    <w:p>
      <w:pPr>
        <w:numPr>
          <w:ilvl w:val="0"/>
          <w:numId w:val="3"/>
        </w:numPr>
        <w:spacing w:line="300" w:lineRule="auto"/>
        <w:rPr>
          <w:sz w:val="24"/>
          <w:szCs w:val="24"/>
        </w:rPr>
      </w:pPr>
      <w:r>
        <w:rPr>
          <w:rFonts w:hint="eastAsia"/>
          <w:sz w:val="24"/>
          <w:szCs w:val="24"/>
        </w:rPr>
        <w:t>柱状图或综合柱状图</w:t>
      </w:r>
    </w:p>
    <w:p>
      <w:pPr>
        <w:numPr>
          <w:ilvl w:val="0"/>
          <w:numId w:val="3"/>
        </w:numPr>
        <w:spacing w:line="300" w:lineRule="auto"/>
        <w:rPr>
          <w:sz w:val="24"/>
          <w:szCs w:val="24"/>
        </w:rPr>
      </w:pPr>
      <w:r>
        <w:rPr>
          <w:rFonts w:hint="eastAsia"/>
          <w:sz w:val="24"/>
          <w:szCs w:val="24"/>
        </w:rPr>
        <w:t>各土层物理、力学性能指标，包括各层（含地表的强夯置换层）地基承载力特征值fa、内粘聚力C、内摩擦角Φ和桩基有关参数等。</w:t>
      </w:r>
    </w:p>
    <w:p>
      <w:pPr>
        <w:numPr>
          <w:ilvl w:val="0"/>
          <w:numId w:val="3"/>
        </w:numPr>
        <w:spacing w:line="300" w:lineRule="auto"/>
        <w:rPr>
          <w:sz w:val="24"/>
          <w:szCs w:val="24"/>
        </w:rPr>
      </w:pPr>
      <w:r>
        <w:rPr>
          <w:rFonts w:hint="eastAsia"/>
          <w:sz w:val="24"/>
          <w:szCs w:val="24"/>
        </w:rPr>
        <w:t>水、土分析报告</w:t>
      </w:r>
    </w:p>
    <w:p>
      <w:pPr>
        <w:numPr>
          <w:ilvl w:val="0"/>
          <w:numId w:val="3"/>
        </w:numPr>
        <w:spacing w:line="300" w:lineRule="auto"/>
        <w:rPr>
          <w:sz w:val="24"/>
          <w:szCs w:val="24"/>
        </w:rPr>
      </w:pPr>
      <w:r>
        <w:rPr>
          <w:rFonts w:hint="eastAsia"/>
          <w:sz w:val="24"/>
          <w:szCs w:val="24"/>
        </w:rPr>
        <w:t>压缩曲线或Es参考指标</w:t>
      </w:r>
    </w:p>
    <w:p>
      <w:pPr>
        <w:numPr>
          <w:ilvl w:val="0"/>
          <w:numId w:val="3"/>
        </w:numPr>
        <w:spacing w:line="300" w:lineRule="auto"/>
        <w:rPr>
          <w:sz w:val="24"/>
          <w:szCs w:val="24"/>
        </w:rPr>
      </w:pPr>
      <w:r>
        <w:rPr>
          <w:rFonts w:hint="eastAsia"/>
          <w:sz w:val="24"/>
          <w:szCs w:val="24"/>
        </w:rPr>
        <w:t>场地类别及岩土地震稳定性结论</w:t>
      </w:r>
    </w:p>
    <w:p>
      <w:pPr>
        <w:numPr>
          <w:ilvl w:val="0"/>
          <w:numId w:val="3"/>
        </w:numPr>
        <w:spacing w:line="300" w:lineRule="auto"/>
        <w:rPr>
          <w:sz w:val="24"/>
          <w:szCs w:val="24"/>
        </w:rPr>
      </w:pPr>
      <w:r>
        <w:rPr>
          <w:rFonts w:hint="eastAsia"/>
          <w:sz w:val="24"/>
          <w:szCs w:val="24"/>
        </w:rPr>
        <w:t>场地地基土的工程性能分析与评价</w:t>
      </w:r>
    </w:p>
    <w:p>
      <w:pPr>
        <w:numPr>
          <w:ilvl w:val="0"/>
          <w:numId w:val="3"/>
        </w:numPr>
        <w:spacing w:line="300" w:lineRule="auto"/>
        <w:rPr>
          <w:sz w:val="24"/>
          <w:szCs w:val="24"/>
        </w:rPr>
      </w:pPr>
      <w:r>
        <w:rPr>
          <w:rFonts w:hint="eastAsia"/>
          <w:sz w:val="24"/>
          <w:szCs w:val="24"/>
        </w:rPr>
        <w:t>工程地形图（岩石等高线）</w:t>
      </w:r>
    </w:p>
    <w:p>
      <w:pPr>
        <w:numPr>
          <w:ilvl w:val="0"/>
          <w:numId w:val="3"/>
        </w:numPr>
        <w:spacing w:line="300" w:lineRule="auto"/>
        <w:rPr>
          <w:sz w:val="24"/>
          <w:szCs w:val="24"/>
        </w:rPr>
      </w:pPr>
      <w:r>
        <w:rPr>
          <w:rFonts w:hint="eastAsia"/>
          <w:sz w:val="24"/>
          <w:szCs w:val="24"/>
        </w:rPr>
        <w:t>基础类型或地基处理方案的专家建议</w:t>
      </w:r>
    </w:p>
    <w:p>
      <w:pPr>
        <w:numPr>
          <w:ilvl w:val="0"/>
          <w:numId w:val="3"/>
        </w:numPr>
        <w:spacing w:line="300" w:lineRule="auto"/>
        <w:rPr>
          <w:sz w:val="24"/>
          <w:szCs w:val="24"/>
        </w:rPr>
      </w:pPr>
      <w:r>
        <w:rPr>
          <w:rFonts w:hint="eastAsia"/>
          <w:sz w:val="24"/>
          <w:szCs w:val="24"/>
        </w:rPr>
        <w:t>场地土的有关动力参数和场地覆盖层厚度（时程分析时提供）</w:t>
      </w:r>
    </w:p>
    <w:p>
      <w:pPr>
        <w:numPr>
          <w:ilvl w:val="0"/>
          <w:numId w:val="3"/>
        </w:numPr>
        <w:spacing w:line="300" w:lineRule="auto"/>
        <w:rPr>
          <w:sz w:val="24"/>
          <w:szCs w:val="24"/>
        </w:rPr>
      </w:pPr>
      <w:r>
        <w:rPr>
          <w:rFonts w:hint="eastAsia"/>
          <w:sz w:val="24"/>
          <w:szCs w:val="24"/>
        </w:rPr>
        <w:t>季节性冻土地区，提供场地土的标准冻结深度</w:t>
      </w:r>
    </w:p>
    <w:p>
      <w:pPr>
        <w:spacing w:line="300" w:lineRule="auto"/>
        <w:rPr>
          <w:sz w:val="24"/>
          <w:szCs w:val="24"/>
        </w:rPr>
      </w:pPr>
      <w:r>
        <w:rPr>
          <w:rFonts w:hint="eastAsia"/>
          <w:b/>
          <w:sz w:val="24"/>
          <w:szCs w:val="24"/>
          <w:lang w:val="en-US" w:eastAsia="zh-CN"/>
        </w:rPr>
        <w:t>七</w:t>
      </w:r>
      <w:r>
        <w:rPr>
          <w:rFonts w:hint="eastAsia"/>
          <w:b/>
          <w:sz w:val="24"/>
          <w:szCs w:val="24"/>
        </w:rPr>
        <w:t>、</w:t>
      </w:r>
      <w:r>
        <w:rPr>
          <w:rFonts w:hint="eastAsia" w:ascii="宋体" w:hAnsi="宋体"/>
          <w:bCs/>
          <w:sz w:val="24"/>
          <w:szCs w:val="24"/>
        </w:rPr>
        <w:t>本工程评标办法见下表，投标单位需对表内要求内容在投标书中如实反馈。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r>
              <w:rPr>
                <w:rFonts w:hint="eastAsia"/>
              </w:rPr>
              <w:t>评分标准</w:t>
            </w:r>
          </w:p>
        </w:tc>
        <w:tc>
          <w:tcPr>
            <w:tcW w:w="646" w:type="pct"/>
            <w:vAlign w:val="center"/>
          </w:tcPr>
          <w:p>
            <w:r>
              <w:rPr>
                <w:rFonts w:hint="eastAsia"/>
              </w:rPr>
              <w:t>标价（40分）</w:t>
            </w:r>
          </w:p>
        </w:tc>
        <w:tc>
          <w:tcPr>
            <w:tcW w:w="4064" w:type="pct"/>
            <w:gridSpan w:val="3"/>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restart"/>
            <w:vAlign w:val="center"/>
          </w:tcPr>
          <w:p>
            <w:r>
              <w:rPr>
                <w:rFonts w:hint="eastAsia"/>
              </w:rPr>
              <w:t>施工方案  （</w:t>
            </w:r>
            <w:r>
              <w:t>4</w:t>
            </w:r>
            <w:r>
              <w:rPr>
                <w:rFonts w:hint="eastAsia"/>
              </w:rPr>
              <w:t>0分）</w:t>
            </w:r>
          </w:p>
        </w:tc>
        <w:tc>
          <w:tcPr>
            <w:tcW w:w="2113" w:type="pct"/>
            <w:gridSpan w:val="2"/>
            <w:vAlign w:val="center"/>
          </w:tcPr>
          <w:p>
            <w:r>
              <w:rPr>
                <w:rFonts w:hint="eastAsia"/>
              </w:rPr>
              <w:t>施工现场概况：2分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restart"/>
            <w:vAlign w:val="center"/>
          </w:tcPr>
          <w:p>
            <w:r>
              <w:rPr>
                <w:rFonts w:hint="eastAsia"/>
              </w:rPr>
              <w:t>施工方案及技术措施：共</w:t>
            </w:r>
            <w:r>
              <w:t>3</w:t>
            </w:r>
            <w:r>
              <w:rPr>
                <w:rFonts w:hint="eastAsia"/>
              </w:rPr>
              <w:t>0分</w:t>
            </w:r>
          </w:p>
        </w:tc>
        <w:tc>
          <w:tcPr>
            <w:tcW w:w="1454" w:type="pct"/>
            <w:vAlign w:val="center"/>
          </w:tcPr>
          <w:p>
            <w:r>
              <w:rPr>
                <w:rFonts w:hint="eastAsia"/>
              </w:rPr>
              <w:t>施工存在难度（</w:t>
            </w:r>
            <w:r>
              <w:t>6</w:t>
            </w:r>
            <w:r>
              <w:rPr>
                <w:rFonts w:hint="eastAsia"/>
              </w:rPr>
              <w:t>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采取的措施（6分）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人力投入计划（6分）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材料、机械投入计划（6分）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工期计划（6分）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现场安全隐患及防范措施，安全措施：5分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现场质量保证措施及文明施工措施： 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tc>
        <w:tc>
          <w:tcPr>
            <w:tcW w:w="646" w:type="pct"/>
            <w:vMerge w:val="restart"/>
            <w:vAlign w:val="center"/>
          </w:tcPr>
          <w:p>
            <w:r>
              <w:rPr>
                <w:rFonts w:hint="eastAsia"/>
              </w:rPr>
              <w:t>企业信誉  （20分）</w:t>
            </w:r>
          </w:p>
        </w:tc>
        <w:tc>
          <w:tcPr>
            <w:tcW w:w="2113" w:type="pct"/>
            <w:gridSpan w:val="2"/>
            <w:vAlign w:val="center"/>
          </w:tcPr>
          <w:p>
            <w:r>
              <w:rPr>
                <w:rFonts w:hint="eastAsia"/>
              </w:rPr>
              <w:t xml:space="preserve">企业资金状况及信用等级： </w:t>
            </w:r>
            <w:r>
              <w:t>2</w:t>
            </w:r>
            <w:r>
              <w:rPr>
                <w:rFonts w:hint="eastAsia"/>
              </w:rPr>
              <w:t>分</w:t>
            </w:r>
          </w:p>
        </w:tc>
        <w:tc>
          <w:tcPr>
            <w:tcW w:w="1951" w:type="pct"/>
            <w:vAlign w:val="center"/>
          </w:tcPr>
          <w:p>
            <w:r>
              <w:rPr>
                <w:rFonts w:hint="eastAsia"/>
              </w:rPr>
              <w:t>近三年财务状况良好+1分，AAA级企业+</w:t>
            </w:r>
            <w:r>
              <w:t>1</w:t>
            </w:r>
            <w:r>
              <w:rPr>
                <w:rFonts w:hint="eastAsia"/>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项目经理业绩共</w:t>
            </w:r>
            <w:r>
              <w:t>2</w:t>
            </w:r>
            <w:r>
              <w:rPr>
                <w:rFonts w:hint="eastAsia"/>
              </w:rPr>
              <w:t>分</w:t>
            </w:r>
          </w:p>
        </w:tc>
        <w:tc>
          <w:tcPr>
            <w:tcW w:w="1951" w:type="pct"/>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企业类似项目业绩共1</w:t>
            </w:r>
            <w:r>
              <w:t>0</w:t>
            </w:r>
            <w:r>
              <w:rPr>
                <w:rFonts w:hint="eastAsia"/>
              </w:rPr>
              <w:t>分</w:t>
            </w:r>
          </w:p>
        </w:tc>
        <w:tc>
          <w:tcPr>
            <w:tcW w:w="1951" w:type="pct"/>
            <w:vAlign w:val="center"/>
          </w:tcPr>
          <w:p>
            <w:pPr>
              <w:rPr>
                <w:highlight w:val="yellow"/>
              </w:rPr>
            </w:pPr>
            <w:r>
              <w:rPr>
                <w:rFonts w:hint="eastAsia"/>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履约能力综合评估（财务信誉、工程履约信誉、结算信誉）共计6分</w:t>
            </w:r>
          </w:p>
        </w:tc>
        <w:tc>
          <w:tcPr>
            <w:tcW w:w="1951" w:type="pct"/>
            <w:vAlign w:val="center"/>
          </w:tcPr>
          <w:p>
            <w:r>
              <w:rPr>
                <w:rFonts w:hint="eastAsia"/>
              </w:rPr>
              <w:t>每项2分，若有一项不良情况，计0分。</w:t>
            </w:r>
          </w:p>
        </w:tc>
      </w:tr>
    </w:tbl>
    <w:p>
      <w:pPr>
        <w:snapToGrid w:val="0"/>
        <w:spacing w:line="360" w:lineRule="auto"/>
        <w:rPr>
          <w:rFonts w:ascii="宋体" w:hAnsi="宋体"/>
          <w:bCs/>
          <w:sz w:val="24"/>
          <w:szCs w:val="24"/>
        </w:rPr>
      </w:pPr>
    </w:p>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0"/>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0"/>
        </w:numPr>
        <w:spacing w:line="360" w:lineRule="exact"/>
        <w:rPr>
          <w:rFonts w:ascii="宋体" w:hAnsi="宋体"/>
          <w:bCs/>
          <w:kern w:val="0"/>
        </w:rPr>
      </w:pPr>
      <w:r>
        <w:rPr>
          <w:rFonts w:hint="eastAsia" w:ascii="宋体" w:hAnsi="宋体"/>
          <w:bCs/>
        </w:rPr>
        <w:t>投标人的资质不达标等实行一票否决制。</w:t>
      </w:r>
    </w:p>
    <w:p>
      <w:pPr>
        <w:numPr>
          <w:ilvl w:val="0"/>
          <w:numId w:val="0"/>
        </w:numPr>
        <w:spacing w:line="360" w:lineRule="exact"/>
        <w:rPr>
          <w:rFonts w:ascii="宋体" w:hAnsi="宋体"/>
          <w:bCs/>
          <w:kern w:val="0"/>
        </w:rPr>
      </w:pPr>
      <w:r>
        <w:rPr>
          <w:rFonts w:hint="eastAsia" w:ascii="宋体" w:hAnsi="宋体"/>
          <w:bCs/>
          <w:kern w:val="0"/>
          <w:lang w:val="en-US" w:eastAsia="zh-CN"/>
        </w:rPr>
        <w:t>15</w:t>
      </w: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lang w:val="en-US" w:eastAsia="zh-CN"/>
        </w:rPr>
        <w:t>八</w:t>
      </w:r>
      <w:r>
        <w:rPr>
          <w:rFonts w:hint="eastAsia" w:ascii="宋体" w:hAnsi="宋体"/>
          <w:b/>
        </w:rPr>
        <w:t>、</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lang w:val="en-US" w:eastAsia="zh-CN"/>
        </w:rPr>
        <w:t>九</w:t>
      </w:r>
      <w:r>
        <w:rPr>
          <w:rFonts w:hint="eastAsia" w:ascii="宋体" w:hAnsi="宋体"/>
          <w:b/>
          <w:bCs/>
        </w:rPr>
        <w:t>、投标人应当提交的资格和资质证明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lang w:val="en-US" w:eastAsia="zh-CN"/>
        </w:rPr>
        <w:t>十</w:t>
      </w:r>
      <w:r>
        <w:rPr>
          <w:rFonts w:hint="eastAsia" w:ascii="宋体" w:hAnsi="宋体"/>
          <w:b/>
          <w:bCs/>
        </w:rPr>
        <w:t>、编制投标书的原则要求和说明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napToGrid w:val="0"/>
        <w:spacing w:line="360" w:lineRule="auto"/>
        <w:rPr>
          <w:rFonts w:hint="eastAsia" w:ascii="宋体" w:hAnsi="宋体"/>
          <w:bCs/>
        </w:rPr>
      </w:pPr>
      <w:r>
        <w:rPr>
          <w:rFonts w:hint="eastAsia" w:ascii="宋体" w:hAnsi="宋体"/>
          <w:bCs/>
        </w:rPr>
        <w:t>（1）投标人须具有国家建设部门颁发的地质勘察乙级以上资质（含乙级）                              资质 。投标人拟派项目经理须具有注册土木工程师（岩土）执业资格。</w:t>
      </w:r>
    </w:p>
    <w:p>
      <w:pPr>
        <w:spacing w:line="360" w:lineRule="exact"/>
        <w:rPr>
          <w:rFonts w:ascii="宋体" w:hAnsi="宋体"/>
          <w:bCs/>
        </w:rPr>
      </w:pPr>
      <w:r>
        <w:rPr>
          <w:rFonts w:hint="eastAsia" w:ascii="宋体" w:hAnsi="宋体"/>
          <w:bCs/>
        </w:rPr>
        <w:t>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w:t>
      </w:r>
      <w:bookmarkStart w:id="3" w:name="_GoBack"/>
      <w:bookmarkEnd w:id="3"/>
      <w:r>
        <w:rPr>
          <w:rFonts w:hint="eastAsia" w:ascii="宋体" w:hAnsi="宋体"/>
          <w:bCs/>
        </w:rPr>
        <w:t>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lang w:val="en-US" w:eastAsia="zh-CN"/>
        </w:rPr>
        <w:t>十一</w:t>
      </w:r>
      <w:r>
        <w:rPr>
          <w:rFonts w:hint="eastAsia" w:ascii="宋体" w:hAnsi="宋体"/>
          <w:b/>
          <w:bCs/>
        </w:rPr>
        <w:t>、约定和说明</w:t>
      </w:r>
    </w:p>
    <w:p>
      <w:pPr>
        <w:spacing w:line="300" w:lineRule="auto"/>
        <w:rPr>
          <w:rFonts w:hint="eastAsia" w:ascii="宋体" w:hAnsi="宋体" w:cs="宋体"/>
          <w:color w:val="000000"/>
        </w:rPr>
        <w:sectPr>
          <w:pgSz w:w="11906" w:h="16838"/>
          <w:pgMar w:top="1440" w:right="1418" w:bottom="1440" w:left="1418" w:header="851" w:footer="992" w:gutter="0"/>
          <w:cols w:space="720" w:num="1"/>
          <w:docGrid w:type="lines" w:linePitch="312" w:charSpace="0"/>
        </w:sectPr>
      </w:pPr>
      <w:r>
        <w:rPr>
          <w:rFonts w:hint="eastAsia" w:ascii="宋体" w:hAnsi="宋体" w:cs="宋体"/>
          <w:color w:val="000000"/>
        </w:rPr>
        <w:t>1</w:t>
      </w:r>
      <w:r>
        <w:rPr>
          <w:rFonts w:hint="eastAsia" w:ascii="宋体" w:hAnsi="宋体" w:cs="宋体"/>
          <w:color w:val="000000"/>
          <w:sz w:val="18"/>
          <w:szCs w:val="20"/>
        </w:rPr>
        <w:t xml:space="preserve">. </w:t>
      </w:r>
      <w:r>
        <w:rPr>
          <w:rFonts w:hint="eastAsia" w:hAnsi="宋体"/>
          <w:sz w:val="21"/>
          <w:szCs w:val="21"/>
        </w:rPr>
        <w:t>因承包人原因，节点工期每延误1天，承包人向发包人支付违约金壹仟圆整（¥：1000元整）。竣工工期每延误1天，承包人向发包人支付违约金贰仟圆整（¥：2000元整）。</w:t>
      </w:r>
      <w:r>
        <w:rPr>
          <w:rFonts w:ascii="宋体" w:hAnsi="宋体" w:cs="宋体"/>
          <w:color w:val="000000"/>
          <w:sz w:val="21"/>
          <w:szCs w:val="21"/>
        </w:rPr>
        <w:t>因承包人原因，工期延误7天以上或施工质量达不到要求，发包人有权终止合同，另行选择施工队伍</w:t>
      </w:r>
      <w:r>
        <w:rPr>
          <w:rFonts w:hint="eastAsia" w:ascii="宋体" w:hAnsi="宋体" w:cs="宋体"/>
          <w:color w:val="000000"/>
          <w:sz w:val="21"/>
          <w:szCs w:val="21"/>
        </w:rPr>
        <w:t>。</w:t>
      </w:r>
      <w:r>
        <w:rPr>
          <w:rFonts w:hint="eastAsia" w:ascii="宋体" w:hAnsi="宋体" w:cs="宋体"/>
          <w:bCs/>
          <w:color w:val="000000"/>
          <w:sz w:val="21"/>
          <w:szCs w:val="21"/>
        </w:rPr>
        <w:t>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ind w:firstLine="420"/>
        <w:rPr>
          <w:color w:val="FF0000"/>
          <w:sz w:val="22"/>
          <w:szCs w:val="22"/>
        </w:rPr>
      </w:pPr>
      <w:r>
        <w:rPr>
          <w:rFonts w:hint="eastAsia" w:ascii="宋体" w:hAnsi="宋体" w:cs="宋体"/>
          <w:color w:val="000000"/>
        </w:rPr>
        <w:t>2．双方约定的工程款（进度款）支付的方式：</w:t>
      </w:r>
      <w:r>
        <w:rPr>
          <w:rFonts w:hint="eastAsia"/>
          <w:sz w:val="21"/>
          <w:szCs w:val="21"/>
        </w:rPr>
        <w:t>本工程无预付款</w:t>
      </w:r>
      <w:r>
        <w:rPr>
          <w:rFonts w:hint="eastAsia"/>
          <w:sz w:val="21"/>
          <w:szCs w:val="20"/>
        </w:rPr>
        <w:t>，无进度款。</w:t>
      </w:r>
      <w:r>
        <w:rPr>
          <w:rFonts w:hint="eastAsia"/>
          <w:color w:val="FF0000"/>
          <w:sz w:val="21"/>
          <w:szCs w:val="21"/>
        </w:rPr>
        <w:t>承包人完成勘察工作，出正式的报告后支付全部费用。</w:t>
      </w:r>
    </w:p>
    <w:p>
      <w:pPr>
        <w:widowControl/>
        <w:spacing w:beforeLines="50" w:afterLines="50"/>
        <w:ind w:firstLine="420"/>
        <w:rPr>
          <w:rFonts w:hint="eastAsia" w:ascii="宋体" w:hAnsi="宋体" w:cs="宋体"/>
          <w:color w:val="000000"/>
        </w:rPr>
      </w:pPr>
      <w:r>
        <w:rPr>
          <w:sz w:val="21"/>
          <w:szCs w:val="21"/>
        </w:rPr>
        <w:t>承包人应于发包人支付全部工程款项前向发包人开具增值税专用发票，工程款以6个月</w:t>
      </w:r>
      <w:r>
        <w:rPr>
          <w:rFonts w:hint="eastAsia"/>
          <w:sz w:val="21"/>
          <w:szCs w:val="21"/>
        </w:rPr>
        <w:t>银行</w:t>
      </w:r>
      <w:r>
        <w:rPr>
          <w:sz w:val="21"/>
          <w:szCs w:val="21"/>
        </w:rPr>
        <w:t>承兑汇票支付</w:t>
      </w:r>
      <w:r>
        <w:rPr>
          <w:rFonts w:hint="eastAsia"/>
          <w:sz w:val="21"/>
          <w:szCs w:val="21"/>
        </w:rPr>
        <w:t>。</w:t>
      </w:r>
      <w:r>
        <w:rPr>
          <w:rFonts w:hint="eastAsia" w:ascii="宋体"/>
          <w:sz w:val="21"/>
          <w:szCs w:val="21"/>
        </w:rPr>
        <w:t>结算审核后承包人及时向发包人开具全额增值税专用发票。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lang w:val="en-US" w:eastAsia="zh-CN"/>
        </w:rPr>
        <w:t>十二</w:t>
      </w:r>
      <w:r>
        <w:rPr>
          <w:rFonts w:hint="eastAsia" w:ascii="宋体" w:hAnsi="宋体"/>
          <w:b/>
          <w:bCs/>
        </w:rPr>
        <w:t>、其它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hint="eastAsia" w:ascii="宋体" w:hAnsi="宋体"/>
          <w:bCs/>
          <w:lang w:val="en-US" w:eastAsia="zh-CN"/>
        </w:rPr>
        <w:t>综合单价</w:t>
      </w:r>
      <w:r>
        <w:rPr>
          <w:rFonts w:ascii="宋体" w:hAnsi="宋体"/>
          <w:bCs/>
        </w:rPr>
        <w:t>拦标价</w:t>
      </w:r>
      <w:r>
        <w:rPr>
          <w:rFonts w:hint="eastAsia" w:ascii="宋体" w:hAnsi="宋体"/>
          <w:bCs/>
        </w:rPr>
        <w:t>及</w:t>
      </w:r>
      <w:r>
        <w:rPr>
          <w:rFonts w:ascii="宋体" w:hAnsi="宋体"/>
          <w:bCs/>
        </w:rPr>
        <w:t>低于优惠率拦标价的做废标处理。</w:t>
      </w:r>
    </w:p>
    <w:p>
      <w:pPr>
        <w:numPr>
          <w:ilvl w:val="0"/>
          <w:numId w:val="0"/>
        </w:numPr>
        <w:tabs>
          <w:tab w:val="left" w:pos="2680"/>
        </w:tabs>
        <w:jc w:val="left"/>
        <w:rPr>
          <w:rFonts w:hint="eastAsia"/>
          <w:b/>
        </w:rPr>
      </w:pPr>
      <w:r>
        <w:rPr>
          <w:rFonts w:hint="eastAsia"/>
          <w:b/>
          <w:lang w:val="en-US" w:eastAsia="zh-CN"/>
        </w:rPr>
        <w:t>十三、</w:t>
      </w:r>
      <w:r>
        <w:rPr>
          <w:rFonts w:hint="eastAsia"/>
          <w:b/>
        </w:rPr>
        <w:t>报价单</w:t>
      </w:r>
    </w:p>
    <w:p>
      <w:pPr>
        <w:pStyle w:val="2"/>
        <w:widowControl w:val="0"/>
        <w:numPr>
          <w:ilvl w:val="0"/>
          <w:numId w:val="0"/>
        </w:numPr>
        <w:spacing w:after="120"/>
        <w:jc w:val="both"/>
        <w:rPr>
          <w:rFonts w:hint="eastAsia"/>
        </w:rPr>
      </w:pPr>
    </w:p>
    <w:p>
      <w:pPr>
        <w:spacing w:line="300" w:lineRule="auto"/>
        <w:jc w:val="center"/>
        <w:rPr>
          <w:rFonts w:hint="eastAsia" w:ascii="宋体" w:hAnsi="宋体"/>
          <w:b/>
          <w:bCs/>
          <w:sz w:val="36"/>
          <w:szCs w:val="36"/>
          <w:u w:val="single"/>
        </w:rPr>
      </w:pPr>
    </w:p>
    <w:p>
      <w:pPr>
        <w:spacing w:line="300" w:lineRule="auto"/>
        <w:jc w:val="center"/>
        <w:rPr>
          <w:rFonts w:ascii="宋体" w:hAnsi="宋体"/>
          <w:b/>
          <w:bCs/>
          <w:sz w:val="36"/>
          <w:szCs w:val="36"/>
        </w:rPr>
      </w:pPr>
      <w:r>
        <w:rPr>
          <w:rFonts w:hint="eastAsia" w:ascii="宋体" w:hAnsi="宋体"/>
          <w:b/>
          <w:bCs/>
          <w:sz w:val="36"/>
          <w:szCs w:val="36"/>
          <w:u w:val="single"/>
        </w:rPr>
        <w:t>搭临区改造项目地质勘察</w:t>
      </w:r>
      <w:r>
        <w:rPr>
          <w:rFonts w:hint="eastAsia" w:ascii="宋体" w:hAnsi="宋体"/>
          <w:b/>
          <w:bCs/>
          <w:sz w:val="36"/>
          <w:szCs w:val="36"/>
        </w:rPr>
        <w:t>工程报价单</w:t>
      </w:r>
    </w:p>
    <w:tbl>
      <w:tblPr>
        <w:tblStyle w:val="13"/>
        <w:tblpPr w:leftFromText="180" w:rightFromText="180" w:vertAnchor="text" w:horzAnchor="page" w:tblpX="1089" w:tblpY="345"/>
        <w:tblOverlap w:val="never"/>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301"/>
        <w:gridCol w:w="737"/>
        <w:gridCol w:w="1061"/>
        <w:gridCol w:w="1362"/>
        <w:gridCol w:w="1666"/>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6" w:type="pct"/>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809" w:type="pct"/>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259" w:type="pct"/>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73" w:type="pct"/>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暂估工程量</w:t>
            </w:r>
          </w:p>
        </w:tc>
        <w:tc>
          <w:tcPr>
            <w:tcW w:w="479" w:type="pct"/>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586" w:type="pct"/>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228" w:type="pct"/>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000" w:type="pct"/>
            <w:gridSpan w:val="7"/>
            <w:vAlign w:val="center"/>
          </w:tcPr>
          <w:p>
            <w:pPr>
              <w:widowControl/>
              <w:ind w:firstLine="720" w:firstLineChars="300"/>
              <w:jc w:val="left"/>
              <w:rPr>
                <w:rFonts w:ascii="宋体" w:hAnsi="宋体" w:cs="宋体"/>
                <w:b/>
                <w:bCs/>
                <w:color w:val="000000"/>
                <w:kern w:val="0"/>
                <w:sz w:val="24"/>
                <w:szCs w:val="24"/>
              </w:rPr>
            </w:pPr>
            <w:r>
              <w:rPr>
                <w:rFonts w:hint="eastAsia" w:ascii="宋体" w:hAnsi="宋体" w:cs="宋体"/>
                <w:color w:val="000000"/>
                <w:kern w:val="0"/>
                <w:sz w:val="24"/>
                <w:szCs w:val="24"/>
              </w:rPr>
              <w:t>包干综合单价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 w:type="pct"/>
            <w:noWrap/>
            <w:vAlign w:val="center"/>
          </w:tcPr>
          <w:p>
            <w:pPr>
              <w:widowControl/>
              <w:jc w:val="center"/>
              <w:rPr>
                <w:color w:val="000000"/>
                <w:kern w:val="0"/>
                <w:sz w:val="22"/>
                <w:szCs w:val="22"/>
              </w:rPr>
            </w:pPr>
            <w:r>
              <w:rPr>
                <w:rFonts w:hint="eastAsia"/>
                <w:color w:val="000000"/>
                <w:sz w:val="22"/>
                <w:szCs w:val="22"/>
              </w:rPr>
              <w:t>1</w:t>
            </w:r>
          </w:p>
        </w:tc>
        <w:tc>
          <w:tcPr>
            <w:tcW w:w="809" w:type="pct"/>
            <w:vAlign w:val="center"/>
          </w:tcPr>
          <w:p>
            <w:pPr>
              <w:widowControl/>
              <w:jc w:val="left"/>
              <w:rPr>
                <w:color w:val="000000"/>
                <w:kern w:val="0"/>
                <w:szCs w:val="21"/>
              </w:rPr>
            </w:pPr>
            <w:r>
              <w:rPr>
                <w:rFonts w:hint="eastAsia"/>
                <w:color w:val="000000"/>
                <w:kern w:val="0"/>
                <w:szCs w:val="21"/>
              </w:rPr>
              <w:t>勘察费（按孔深延长米计算）</w:t>
            </w:r>
          </w:p>
        </w:tc>
        <w:tc>
          <w:tcPr>
            <w:tcW w:w="259" w:type="pct"/>
            <w:vAlign w:val="center"/>
          </w:tcPr>
          <w:p>
            <w:pPr>
              <w:widowControl/>
              <w:jc w:val="center"/>
              <w:rPr>
                <w:kern w:val="0"/>
                <w:sz w:val="24"/>
              </w:rPr>
            </w:pPr>
            <w:r>
              <w:rPr>
                <w:rFonts w:hint="eastAsia"/>
                <w:kern w:val="0"/>
                <w:sz w:val="24"/>
              </w:rPr>
              <w:t>m</w:t>
            </w:r>
          </w:p>
        </w:tc>
        <w:tc>
          <w:tcPr>
            <w:tcW w:w="373" w:type="pct"/>
            <w:vAlign w:val="center"/>
          </w:tcPr>
          <w:p>
            <w:pPr>
              <w:widowControl/>
              <w:jc w:val="center"/>
            </w:pPr>
            <w:r>
              <w:rPr>
                <w:rFonts w:hint="eastAsia"/>
              </w:rPr>
              <w:t>约3400</w:t>
            </w:r>
          </w:p>
        </w:tc>
        <w:tc>
          <w:tcPr>
            <w:tcW w:w="479" w:type="pct"/>
            <w:vAlign w:val="center"/>
          </w:tcPr>
          <w:p>
            <w:pPr>
              <w:widowControl/>
              <w:jc w:val="right"/>
              <w:rPr>
                <w:kern w:val="0"/>
                <w:sz w:val="24"/>
              </w:rPr>
            </w:pPr>
            <w:r>
              <w:rPr>
                <w:rFonts w:hint="eastAsia"/>
                <w:kern w:val="0"/>
                <w:sz w:val="24"/>
              </w:rPr>
              <w:t>70元/m</w:t>
            </w:r>
          </w:p>
        </w:tc>
        <w:tc>
          <w:tcPr>
            <w:tcW w:w="586" w:type="pct"/>
            <w:vAlign w:val="center"/>
          </w:tcPr>
          <w:p>
            <w:pPr>
              <w:jc w:val="right"/>
              <w:rPr>
                <w:color w:val="000000"/>
                <w:sz w:val="22"/>
                <w:szCs w:val="22"/>
              </w:rPr>
            </w:pPr>
            <w:r>
              <w:rPr>
                <w:rFonts w:hint="eastAsia"/>
                <w:color w:val="000000"/>
                <w:sz w:val="22"/>
                <w:szCs w:val="22"/>
              </w:rPr>
              <w:t>-----元/m</w:t>
            </w:r>
          </w:p>
        </w:tc>
        <w:tc>
          <w:tcPr>
            <w:tcW w:w="2228" w:type="pct"/>
          </w:tcPr>
          <w:p>
            <w:r>
              <w:t>本</w:t>
            </w:r>
            <w:r>
              <w:rPr>
                <w:rFonts w:hint="eastAsia"/>
              </w:rPr>
              <w:t>综合</w:t>
            </w:r>
            <w:r>
              <w:t>单价包含后期验槽、验孔、施工用水用电</w:t>
            </w:r>
            <w:r>
              <w:rPr>
                <w:rFonts w:hint="eastAsia"/>
              </w:rPr>
              <w:t>、税金</w:t>
            </w:r>
            <w:r>
              <w:t>等</w:t>
            </w:r>
            <w:r>
              <w:rPr>
                <w:rFonts w:hint="eastAsia"/>
              </w:rPr>
              <w:t>全部</w:t>
            </w:r>
            <w:r>
              <w:t>费用，</w:t>
            </w:r>
            <w:r>
              <w:rPr>
                <w:rFonts w:hint="eastAsia"/>
              </w:rPr>
              <w:t>以及</w:t>
            </w:r>
            <w:r>
              <w:t>因为场地限制造成设备人员窝工或需多次发生的搬迁、运输、安装等产生的额外费用。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66" w:type="pct"/>
            <w:noWrap/>
            <w:vAlign w:val="center"/>
          </w:tcPr>
          <w:p>
            <w:pPr>
              <w:jc w:val="center"/>
              <w:rPr>
                <w:color w:val="000000"/>
                <w:sz w:val="22"/>
                <w:szCs w:val="22"/>
              </w:rPr>
            </w:pPr>
            <w:r>
              <w:rPr>
                <w:rFonts w:hint="eastAsia"/>
                <w:color w:val="000000"/>
                <w:sz w:val="22"/>
                <w:szCs w:val="22"/>
              </w:rPr>
              <w:t>2</w:t>
            </w:r>
          </w:p>
        </w:tc>
        <w:tc>
          <w:tcPr>
            <w:tcW w:w="809" w:type="pct"/>
            <w:vAlign w:val="center"/>
          </w:tcPr>
          <w:p>
            <w:pPr>
              <w:rPr>
                <w:color w:val="000000"/>
                <w:szCs w:val="21"/>
              </w:rPr>
            </w:pPr>
            <w:r>
              <w:rPr>
                <w:rFonts w:hint="eastAsia"/>
                <w:color w:val="000000"/>
                <w:szCs w:val="21"/>
              </w:rPr>
              <w:t>测绘土方网格线</w:t>
            </w:r>
          </w:p>
        </w:tc>
        <w:tc>
          <w:tcPr>
            <w:tcW w:w="259" w:type="pct"/>
            <w:vAlign w:val="center"/>
          </w:tcPr>
          <w:p>
            <w:pPr>
              <w:jc w:val="center"/>
            </w:pPr>
            <w:r>
              <w:rPr>
                <w:rFonts w:hint="eastAsia"/>
              </w:rPr>
              <w:t>㎡</w:t>
            </w:r>
          </w:p>
        </w:tc>
        <w:tc>
          <w:tcPr>
            <w:tcW w:w="373" w:type="pct"/>
            <w:vAlign w:val="center"/>
          </w:tcPr>
          <w:p>
            <w:pPr>
              <w:jc w:val="center"/>
            </w:pPr>
            <w:r>
              <w:rPr>
                <w:rFonts w:hint="eastAsia"/>
              </w:rPr>
              <w:t>约60000</w:t>
            </w:r>
          </w:p>
        </w:tc>
        <w:tc>
          <w:tcPr>
            <w:tcW w:w="479" w:type="pct"/>
            <w:vAlign w:val="center"/>
          </w:tcPr>
          <w:p>
            <w:pPr>
              <w:widowControl/>
              <w:jc w:val="right"/>
              <w:rPr>
                <w:kern w:val="0"/>
                <w:sz w:val="24"/>
                <w:szCs w:val="22"/>
              </w:rPr>
            </w:pPr>
            <w:r>
              <w:rPr>
                <w:rFonts w:hint="eastAsia"/>
                <w:kern w:val="0"/>
                <w:sz w:val="24"/>
                <w:szCs w:val="22"/>
              </w:rPr>
              <w:t>0.5元/</w:t>
            </w:r>
            <w:r>
              <w:rPr>
                <w:rFonts w:hint="eastAsia"/>
              </w:rPr>
              <w:t>㎡</w:t>
            </w:r>
          </w:p>
        </w:tc>
        <w:tc>
          <w:tcPr>
            <w:tcW w:w="586" w:type="pct"/>
            <w:vAlign w:val="center"/>
          </w:tcPr>
          <w:p>
            <w:pPr>
              <w:widowControl/>
              <w:jc w:val="right"/>
              <w:rPr>
                <w:kern w:val="0"/>
                <w:sz w:val="24"/>
                <w:szCs w:val="22"/>
              </w:rPr>
            </w:pPr>
            <w:r>
              <w:rPr>
                <w:rFonts w:hint="eastAsia"/>
                <w:kern w:val="0"/>
                <w:sz w:val="24"/>
                <w:szCs w:val="22"/>
              </w:rPr>
              <w:t>-----元/</w:t>
            </w:r>
            <w:r>
              <w:rPr>
                <w:rFonts w:hint="eastAsia"/>
              </w:rPr>
              <w:t>㎡</w:t>
            </w:r>
          </w:p>
        </w:tc>
        <w:tc>
          <w:tcPr>
            <w:tcW w:w="2228" w:type="pct"/>
          </w:tcPr>
          <w:p>
            <w:r>
              <w:t>本</w:t>
            </w:r>
            <w:r>
              <w:rPr>
                <w:rFonts w:hint="eastAsia"/>
              </w:rPr>
              <w:t>综合</w:t>
            </w:r>
            <w:r>
              <w:t>单价包含</w:t>
            </w:r>
            <w:r>
              <w:rPr>
                <w:rFonts w:hint="eastAsia"/>
              </w:rPr>
              <w:t xml:space="preserve">人工费、机械费、材料费、措施费、水电费、税金、管理费、利润、不可竞争费等全部费用。 </w:t>
            </w:r>
          </w:p>
        </w:tc>
      </w:tr>
    </w:tbl>
    <w:p>
      <w:pPr>
        <w:widowControl/>
        <w:spacing w:beforeLines="50" w:afterLines="50" w:line="25" w:lineRule="atLeast"/>
        <w:rPr>
          <w:b/>
          <w:sz w:val="24"/>
          <w:szCs w:val="24"/>
        </w:rPr>
      </w:pPr>
      <w:r>
        <w:rPr>
          <w:rFonts w:hint="eastAsia" w:hAnsi="宋体"/>
          <w:b/>
          <w:bCs/>
          <w:sz w:val="24"/>
          <w:szCs w:val="24"/>
        </w:rPr>
        <w:t xml:space="preserve"> </w:t>
      </w:r>
      <w:r>
        <w:rPr>
          <w:rFonts w:hint="eastAsia" w:ascii="宋体" w:hAnsi="宋体" w:cs="宋体"/>
          <w:b/>
          <w:sz w:val="24"/>
          <w:szCs w:val="24"/>
        </w:rPr>
        <w:t>注：本报价单需加盖投标单位公章和</w:t>
      </w:r>
      <w:r>
        <w:rPr>
          <w:rFonts w:hint="eastAsia"/>
          <w:b/>
          <w:sz w:val="24"/>
          <w:szCs w:val="24"/>
        </w:rPr>
        <w:t>法人代表印章或授权代理人签字。</w:t>
      </w:r>
    </w:p>
    <w:p>
      <w:pPr>
        <w:widowControl/>
        <w:jc w:val="left"/>
        <w:rPr>
          <w:rFonts w:hint="eastAsia"/>
        </w:rPr>
        <w:sectPr>
          <w:footerReference r:id="rId3" w:type="default"/>
          <w:pgSz w:w="16838" w:h="11906" w:orient="landscape"/>
          <w:pgMar w:top="1797" w:right="1440" w:bottom="1797" w:left="1440" w:header="851" w:footer="992" w:gutter="0"/>
          <w:cols w:space="720" w:num="1"/>
          <w:docGrid w:type="linesAndChars" w:linePitch="312" w:charSpace="0"/>
        </w:sectPr>
      </w:pPr>
      <w:r>
        <w:rPr>
          <w:sz w:val="24"/>
          <w:szCs w:val="24"/>
        </w:rPr>
        <w:br w:type="page"/>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91886"/>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0000006"/>
    <w:multiLevelType w:val="singleLevel"/>
    <w:tmpl w:val="00000006"/>
    <w:lvl w:ilvl="0" w:tentative="0">
      <w:start w:val="1"/>
      <w:numFmt w:val="decimal"/>
      <w:lvlText w:val="%1."/>
      <w:lvlJc w:val="left"/>
      <w:pPr>
        <w:tabs>
          <w:tab w:val="left" w:pos="497"/>
        </w:tabs>
        <w:ind w:left="497" w:hanging="210"/>
      </w:pPr>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num w:numId="1">
    <w:abstractNumId w:val="6"/>
  </w:num>
  <w:num w:numId="2">
    <w:abstractNumId w:val="8"/>
  </w:num>
  <w:num w:numId="3">
    <w:abstractNumId w:val="1"/>
  </w:num>
  <w:num w:numId="4">
    <w:abstractNumId w:val="9"/>
  </w:num>
  <w:num w:numId="5">
    <w:abstractNumId w:val="4"/>
  </w:num>
  <w:num w:numId="6">
    <w:abstractNumId w:val="2"/>
  </w:num>
  <w:num w:numId="7">
    <w:abstractNumId w:val="5"/>
  </w:num>
  <w:num w:numId="8">
    <w:abstractNumId w:val="0"/>
    <w:lvlOverride w:ilvl="0">
      <w:startOverride w:val="1"/>
    </w:lvlOverride>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2DBB"/>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A6B3360"/>
    <w:rsid w:val="0DFC1491"/>
    <w:rsid w:val="1A3C34B8"/>
    <w:rsid w:val="1DC136C9"/>
    <w:rsid w:val="211513A7"/>
    <w:rsid w:val="214D2E1E"/>
    <w:rsid w:val="21F73AF2"/>
    <w:rsid w:val="23883F50"/>
    <w:rsid w:val="24C93CD8"/>
    <w:rsid w:val="24E835CF"/>
    <w:rsid w:val="25046EBE"/>
    <w:rsid w:val="282A37D0"/>
    <w:rsid w:val="326329B3"/>
    <w:rsid w:val="331F7D6B"/>
    <w:rsid w:val="34481C4C"/>
    <w:rsid w:val="39EF21BC"/>
    <w:rsid w:val="39F82DCA"/>
    <w:rsid w:val="45BC7B1B"/>
    <w:rsid w:val="59A06F0E"/>
    <w:rsid w:val="66296C18"/>
    <w:rsid w:val="6EC26C26"/>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谭凯华</cp:lastModifiedBy>
  <cp:lastPrinted>2020-11-26T06:22:00Z</cp:lastPrinted>
  <dcterms:modified xsi:type="dcterms:W3CDTF">2021-06-28T01:06:51Z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