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ascii="宋体" w:hAnsi="宋体"/>
          <w:sz w:val="36"/>
          <w:szCs w:val="32"/>
          <w:lang w:eastAsia="zh-CN"/>
        </w:rPr>
      </w:pPr>
      <w:r>
        <w:rPr>
          <w:rFonts w:hint="eastAsia" w:ascii="宋体" w:hAnsi="宋体"/>
          <w:sz w:val="36"/>
          <w:szCs w:val="32"/>
          <w:lang w:eastAsia="zh-CN"/>
        </w:rPr>
        <w:t>焦化部地下室机焦侧外墙美化工程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07</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05</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7</w:t>
      </w:r>
      <w:r>
        <w:rPr>
          <w:rFonts w:ascii="宋体" w:hAnsi="宋体" w:eastAsia="宋体" w:cs="宋体"/>
          <w:bCs/>
          <w:color w:val="2A2A2A"/>
          <w:kern w:val="0"/>
          <w:sz w:val="28"/>
          <w:szCs w:val="28"/>
        </w:rPr>
        <w:t>0</w:t>
      </w:r>
      <w:r>
        <w:rPr>
          <w:rFonts w:hint="eastAsia" w:ascii="宋体" w:hAnsi="宋体" w:eastAsia="宋体" w:cs="宋体"/>
          <w:bCs/>
          <w:color w:val="2A2A2A"/>
          <w:kern w:val="0"/>
          <w:sz w:val="28"/>
          <w:szCs w:val="28"/>
          <w:lang w:val="en-US" w:eastAsia="zh-CN"/>
        </w:rPr>
        <w:t>03JHMHGC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color w:val="FF0000"/>
          <w:sz w:val="24"/>
          <w:szCs w:val="22"/>
          <w:lang w:eastAsia="zh-CN"/>
        </w:rPr>
        <w:t>焦化部地下室机焦侧外墙美化工程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sz w:val="24"/>
          <w:szCs w:val="24"/>
          <w:lang w:eastAsia="zh-CN"/>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ascii="宋体" w:hAnsi="宋体" w:eastAsia="宋体" w:cs="宋体"/>
          <w:b/>
          <w:bCs/>
          <w:color w:val="2A2A2A"/>
          <w:kern w:val="0"/>
          <w:sz w:val="28"/>
          <w:szCs w:val="28"/>
        </w:rPr>
        <w:t xml:space="preserve"> </w:t>
      </w:r>
      <w:r>
        <w:rPr>
          <w:rFonts w:hint="eastAsia" w:ascii="宋体" w:hAnsi="宋体"/>
          <w:bCs/>
          <w:sz w:val="24"/>
          <w:szCs w:val="24"/>
        </w:rPr>
        <w:t>投标人须具有</w:t>
      </w:r>
      <w:r>
        <w:rPr>
          <w:rFonts w:hint="eastAsia" w:ascii="宋体" w:hAnsi="宋体"/>
          <w:bCs/>
          <w:color w:val="auto"/>
          <w:sz w:val="24"/>
          <w:szCs w:val="24"/>
          <w:u w:val="none"/>
        </w:rPr>
        <w:t>国家建设部门颁发的</w:t>
      </w:r>
      <w:r>
        <w:rPr>
          <w:rFonts w:hint="eastAsia" w:ascii="宋体" w:hAnsi="宋体"/>
          <w:bCs/>
          <w:color w:val="FF0000"/>
          <w:sz w:val="24"/>
          <w:szCs w:val="24"/>
          <w:u w:val="none"/>
        </w:rPr>
        <w:t>建筑工程施工总承包</w:t>
      </w:r>
      <w:r>
        <w:rPr>
          <w:rFonts w:hint="eastAsia"/>
          <w:color w:val="FF0000"/>
          <w:sz w:val="24"/>
          <w:szCs w:val="24"/>
          <w:u w:val="none"/>
        </w:rPr>
        <w:t>叁级及以上资质</w:t>
      </w:r>
      <w:r>
        <w:rPr>
          <w:rFonts w:hint="eastAsia"/>
          <w:color w:val="auto"/>
          <w:sz w:val="24"/>
          <w:szCs w:val="24"/>
          <w:u w:val="none"/>
          <w:lang w:eastAsia="zh-CN"/>
        </w:rPr>
        <w:t>或者</w:t>
      </w:r>
      <w:r>
        <w:rPr>
          <w:rFonts w:hint="eastAsia"/>
          <w:b w:val="0"/>
          <w:bCs/>
          <w:color w:val="FF0000"/>
          <w:sz w:val="24"/>
          <w:szCs w:val="24"/>
          <w:u w:val="none"/>
          <w:lang w:eastAsia="zh-CN"/>
        </w:rPr>
        <w:t>建筑装饰装修工程专业承包贰级及以上资质</w:t>
      </w:r>
      <w:r>
        <w:rPr>
          <w:rFonts w:hint="eastAsia" w:ascii="宋体" w:hAnsi="宋体"/>
          <w:bCs/>
          <w:sz w:val="24"/>
          <w:szCs w:val="24"/>
          <w:highlight w:val="none"/>
        </w:rPr>
        <w:t>。投标人拟派</w:t>
      </w:r>
      <w:r>
        <w:rPr>
          <w:rFonts w:hint="eastAsia" w:hAnsi="宋体"/>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sz w:val="24"/>
          <w:szCs w:val="24"/>
          <w:highlight w:val="none"/>
        </w:rPr>
        <w:t>注册建造师执业资格</w:t>
      </w:r>
      <w:r>
        <w:rPr>
          <w:rFonts w:hint="eastAsia" w:hAnsi="宋体"/>
          <w:sz w:val="24"/>
          <w:szCs w:val="24"/>
          <w:highlight w:val="none"/>
          <w:lang w:eastAsia="zh-CN"/>
        </w:rPr>
        <w:t>。</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7</w:t>
      </w:r>
      <w:r>
        <w:rPr>
          <w:rFonts w:hint="eastAsia" w:ascii="宋体" w:hAnsi="宋体"/>
          <w:bCs/>
          <w:sz w:val="24"/>
          <w:szCs w:val="24"/>
        </w:rPr>
        <w:t>月</w:t>
      </w:r>
      <w:r>
        <w:rPr>
          <w:rFonts w:hint="eastAsia" w:ascii="宋体" w:hAnsi="宋体"/>
          <w:bCs/>
          <w:color w:val="FF0000"/>
          <w:sz w:val="24"/>
          <w:szCs w:val="24"/>
          <w:lang w:val="en-US" w:eastAsia="zh-CN"/>
        </w:rPr>
        <w:t>06</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7</w:t>
      </w:r>
      <w:r>
        <w:rPr>
          <w:rFonts w:hint="eastAsia" w:ascii="宋体" w:hAnsi="宋体"/>
          <w:bCs/>
          <w:sz w:val="24"/>
          <w:szCs w:val="24"/>
        </w:rPr>
        <w:t>月</w:t>
      </w:r>
      <w:r>
        <w:rPr>
          <w:rFonts w:hint="eastAsia" w:ascii="宋体" w:hAnsi="宋体"/>
          <w:bCs/>
          <w:color w:val="FF0000"/>
          <w:sz w:val="24"/>
          <w:szCs w:val="24"/>
          <w:lang w:val="en-US" w:eastAsia="zh-CN"/>
        </w:rPr>
        <w:t>12</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7</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13</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7</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13</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color w:val="FF0000"/>
          <w:sz w:val="24"/>
          <w:szCs w:val="22"/>
          <w:lang w:eastAsia="zh-CN"/>
        </w:rPr>
        <w:t>焦化部地下室机焦侧外墙美化工程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孙星超</w:t>
      </w:r>
      <w:r>
        <w:rPr>
          <w:rFonts w:hint="eastAsia" w:ascii="宋体" w:hAnsi="宋体" w:eastAsia="宋体" w:cs="宋体"/>
          <w:color w:val="2A2A2A"/>
          <w:kern w:val="0"/>
          <w:sz w:val="24"/>
          <w:szCs w:val="24"/>
        </w:rPr>
        <w:t xml:space="preserve">        1</w:t>
      </w:r>
      <w:r>
        <w:rPr>
          <w:rFonts w:hint="eastAsia" w:ascii="宋体" w:hAnsi="宋体" w:eastAsia="宋体" w:cs="宋体"/>
          <w:color w:val="2A2A2A"/>
          <w:kern w:val="0"/>
          <w:sz w:val="24"/>
          <w:szCs w:val="24"/>
          <w:lang w:val="en-US" w:eastAsia="zh-CN"/>
        </w:rPr>
        <w:t>5385537006</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eastAsia="zh-CN"/>
        </w:rPr>
        <w:t>过志峰</w:t>
      </w:r>
      <w:r>
        <w:rPr>
          <w:rFonts w:hint="eastAsia" w:ascii="宋体" w:hAnsi="宋体" w:eastAsia="宋体" w:cs="宋体"/>
          <w:color w:val="2A2A2A"/>
          <w:kern w:val="0"/>
          <w:sz w:val="24"/>
          <w:szCs w:val="24"/>
        </w:rPr>
        <w:t>    139</w:t>
      </w:r>
      <w:r>
        <w:rPr>
          <w:rFonts w:hint="eastAsia" w:ascii="宋体" w:hAnsi="宋体" w:eastAsia="宋体" w:cs="宋体"/>
          <w:color w:val="2A2A2A"/>
          <w:kern w:val="0"/>
          <w:sz w:val="24"/>
          <w:szCs w:val="24"/>
          <w:lang w:val="en-US" w:eastAsia="zh-CN"/>
        </w:rPr>
        <w:t>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7</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12</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@1</w:t>
      </w:r>
      <w:r>
        <w:rPr>
          <w:rFonts w:hint="eastAsia" w:ascii="宋体" w:hAnsi="宋体" w:eastAsia="宋体" w:cs="宋体"/>
          <w:color w:val="2A2A2A"/>
          <w:kern w:val="0"/>
          <w:sz w:val="24"/>
          <w:szCs w:val="24"/>
          <w:lang w:val="en-US" w:eastAsia="zh-CN"/>
        </w:rPr>
        <w:t>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olor w:val="FF0000"/>
          <w:sz w:val="24"/>
          <w:szCs w:val="22"/>
          <w:lang w:eastAsia="zh-CN"/>
        </w:rPr>
        <w:t>焦化部地下室机焦侧外墙美化工程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ascii="宋体" w:hAnsi="宋体"/>
          <w:color w:val="FF0000"/>
          <w:sz w:val="24"/>
          <w:szCs w:val="22"/>
          <w:lang w:eastAsia="zh-CN"/>
        </w:rPr>
        <w:t>焦化部地下室机焦侧外墙美化工程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壹万</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07</w:t>
      </w:r>
      <w:r>
        <w:rPr>
          <w:rFonts w:hint="eastAsia" w:ascii="宋体" w:hAnsi="宋体" w:cs="宋体"/>
          <w:bCs/>
          <w:color w:val="FF0000"/>
          <w:kern w:val="36"/>
        </w:rPr>
        <w:t>月</w:t>
      </w:r>
      <w:r>
        <w:rPr>
          <w:rFonts w:hint="eastAsia" w:ascii="宋体" w:hAnsi="宋体" w:cs="宋体"/>
          <w:bCs/>
          <w:color w:val="FF0000"/>
          <w:kern w:val="36"/>
          <w:u w:val="single"/>
          <w:lang w:val="en-US" w:eastAsia="zh-CN"/>
        </w:rPr>
        <w:t>12</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exact"/>
        <w:rPr>
          <w:rFonts w:hint="eastAsia" w:ascii="宋体" w:hAnsi="宋体"/>
        </w:rPr>
      </w:pPr>
      <w:r>
        <w:rPr>
          <w:rFonts w:hint="eastAsia" w:ascii="宋体" w:hAnsi="宋体"/>
          <w:lang w:val="en-US" w:eastAsia="zh-CN"/>
        </w:rPr>
        <w:t>1.  现场环境复杂，</w:t>
      </w:r>
      <w:r>
        <w:rPr>
          <w:rFonts w:hint="eastAsia" w:ascii="宋体" w:hAnsi="宋体"/>
        </w:rPr>
        <w:t>具体内容详见发包人确认下发</w:t>
      </w:r>
      <w:r>
        <w:rPr>
          <w:rFonts w:hint="eastAsia" w:ascii="宋体" w:hAnsi="宋体"/>
          <w:lang w:val="en-US" w:eastAsia="zh-CN"/>
        </w:rPr>
        <w:t>做法和要求，投标方</w:t>
      </w:r>
      <w:r>
        <w:rPr>
          <w:rFonts w:hint="eastAsia" w:ascii="宋体" w:hAnsi="宋体"/>
          <w:color w:val="FF0000"/>
          <w:lang w:val="en-US" w:eastAsia="zh-CN"/>
        </w:rPr>
        <w:t>必须</w:t>
      </w:r>
      <w:r>
        <w:rPr>
          <w:rFonts w:hint="eastAsia" w:ascii="宋体" w:hAnsi="宋体"/>
          <w:lang w:val="en-US" w:eastAsia="zh-CN"/>
        </w:rPr>
        <w:t>现场踏勘</w:t>
      </w:r>
      <w:r>
        <w:rPr>
          <w:rFonts w:hint="eastAsia" w:ascii="宋体" w:hAnsi="宋体"/>
        </w:rPr>
        <w:t>。</w:t>
      </w:r>
    </w:p>
    <w:p>
      <w:pPr>
        <w:numPr>
          <w:ilvl w:val="0"/>
          <w:numId w:val="0"/>
        </w:numPr>
        <w:spacing w:line="360" w:lineRule="auto"/>
        <w:ind w:leftChars="0"/>
        <w:rPr>
          <w:color w:val="auto"/>
          <w:sz w:val="24"/>
          <w:szCs w:val="24"/>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szCs w:val="21"/>
        </w:rPr>
        <w:t>：</w:t>
      </w:r>
      <w:r>
        <w:rPr>
          <w:rFonts w:hint="eastAsia" w:ascii="宋体" w:hAnsi="宋体"/>
          <w:lang w:eastAsia="zh-CN"/>
        </w:rPr>
        <w:t>包含地下室机焦侧外墙贴瓷砖、窗户及防护网拆除更换（不锈钢）、滑触线防护网及部分斜撑拆除更换（不锈钢）等</w:t>
      </w:r>
      <w:r>
        <w:rPr>
          <w:rFonts w:hint="eastAsia" w:ascii="宋体" w:hAnsi="宋体"/>
        </w:rPr>
        <w:t>。</w:t>
      </w:r>
    </w:p>
    <w:p>
      <w:pPr>
        <w:spacing w:line="360" w:lineRule="exact"/>
        <w:rPr>
          <w:rFonts w:ascii="宋体" w:hAnsi="宋体"/>
        </w:rPr>
      </w:pPr>
      <w:r>
        <w:rPr>
          <w:rFonts w:hint="eastAsia" w:ascii="宋体" w:hAnsi="宋体"/>
        </w:rPr>
        <w:t>3.  投标有效期:90天。</w:t>
      </w:r>
    </w:p>
    <w:p>
      <w:pPr>
        <w:spacing w:beforeLines="50" w:afterLines="50" w:line="360" w:lineRule="exact"/>
        <w:rPr>
          <w:rFonts w:hint="eastAsia" w:ascii="宋体" w:hAnsi="宋体"/>
          <w:b/>
        </w:rPr>
      </w:pPr>
      <w:r>
        <w:rPr>
          <w:rFonts w:hint="eastAsia" w:ascii="宋体" w:hAnsi="宋体"/>
          <w:b/>
        </w:rPr>
        <w:t>四、工期：</w:t>
      </w:r>
    </w:p>
    <w:p>
      <w:pPr>
        <w:numPr>
          <w:ilvl w:val="0"/>
          <w:numId w:val="0"/>
        </w:numPr>
        <w:spacing w:line="360" w:lineRule="auto"/>
        <w:ind w:leftChars="0"/>
        <w:rPr>
          <w:rFonts w:hint="eastAsia" w:ascii="宋体" w:hAnsi="宋体"/>
        </w:rPr>
      </w:pPr>
      <w:r>
        <w:rPr>
          <w:rFonts w:hint="eastAsia" w:ascii="宋体" w:hAnsi="宋体"/>
        </w:rPr>
        <w:t xml:space="preserve">开工日期： </w:t>
      </w:r>
      <w:r>
        <w:rPr>
          <w:rFonts w:hint="eastAsia" w:ascii="宋体" w:hAnsi="宋体"/>
          <w:lang w:val="en-US" w:eastAsia="zh-CN"/>
        </w:rPr>
        <w:t>2021年7月19日</w:t>
      </w:r>
      <w:r>
        <w:rPr>
          <w:rFonts w:hint="eastAsia" w:ascii="宋体" w:hAnsi="宋体"/>
        </w:rPr>
        <w:t xml:space="preserve">（暂定）                                          </w:t>
      </w:r>
    </w:p>
    <w:p>
      <w:pPr>
        <w:numPr>
          <w:ilvl w:val="0"/>
          <w:numId w:val="0"/>
        </w:numPr>
        <w:spacing w:line="360" w:lineRule="auto"/>
        <w:ind w:leftChars="0"/>
        <w:rPr>
          <w:rFonts w:hint="eastAsia" w:ascii="宋体" w:hAnsi="宋体"/>
        </w:rPr>
      </w:pPr>
      <w:r>
        <w:rPr>
          <w:rFonts w:hint="eastAsia" w:ascii="宋体" w:hAnsi="宋体"/>
        </w:rPr>
        <w:t xml:space="preserve">竣工日期：  </w:t>
      </w:r>
      <w:r>
        <w:rPr>
          <w:rFonts w:hint="eastAsia" w:ascii="宋体" w:hAnsi="宋体"/>
          <w:lang w:val="en-US" w:eastAsia="zh-CN"/>
        </w:rPr>
        <w:t>2021年9月7日</w:t>
      </w:r>
      <w:r>
        <w:rPr>
          <w:rFonts w:hint="eastAsia" w:ascii="宋体" w:hAnsi="宋体"/>
        </w:rPr>
        <w:t xml:space="preserve">                                               </w:t>
      </w:r>
    </w:p>
    <w:p>
      <w:pPr>
        <w:numPr>
          <w:ilvl w:val="0"/>
          <w:numId w:val="0"/>
        </w:numPr>
        <w:spacing w:line="360" w:lineRule="auto"/>
        <w:ind w:leftChars="0"/>
        <w:rPr>
          <w:rFonts w:hint="eastAsia" w:ascii="宋体" w:hAnsi="宋体"/>
        </w:rPr>
      </w:pPr>
      <w:r>
        <w:rPr>
          <w:rFonts w:hint="eastAsia" w:ascii="宋体" w:hAnsi="宋体"/>
        </w:rPr>
        <w:t xml:space="preserve">合同工期总日历天数   </w:t>
      </w:r>
      <w:r>
        <w:rPr>
          <w:rFonts w:hint="eastAsia" w:ascii="宋体" w:hAnsi="宋体"/>
          <w:lang w:val="en-US" w:eastAsia="zh-CN"/>
        </w:rPr>
        <w:t>50</w:t>
      </w:r>
      <w:r>
        <w:rPr>
          <w:rFonts w:hint="eastAsia" w:ascii="宋体" w:hAnsi="宋体"/>
        </w:rPr>
        <w:t xml:space="preserve">   天。</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本工程预结算执行《建设工程预结算管理暂行办法》。</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color w:val="FF0000"/>
          <w:kern w:val="36"/>
          <w:sz w:val="21"/>
          <w:szCs w:val="21"/>
          <w:lang w:val="en-US" w:eastAsia="zh-CN" w:bidi="ar-SA"/>
        </w:rPr>
        <w:t>该工程所有材料由承包人提供</w:t>
      </w:r>
      <w:r>
        <w:rPr>
          <w:rFonts w:hint="eastAsia" w:asciiTheme="minorHAnsi" w:hAnsiTheme="minorHAnsi" w:eastAsiaTheme="minorEastAsia" w:cstheme="minorBidi"/>
          <w:bCs/>
          <w:kern w:val="36"/>
          <w:sz w:val="21"/>
          <w:szCs w:val="21"/>
          <w:lang w:val="en-US" w:eastAsia="zh-CN" w:bidi="ar-SA"/>
        </w:rPr>
        <w:t>。</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建筑用钢材砼承包人须优先采购发包人产品；平台、梯子用钢格板优先使用新兴际华集团产品；由承包人提供使用计划，发包人收到计划经审核同意后15天内提供材料，提料、卸车、保管由承包人负责。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承包人材料采购前，所选供应商及所购材料的技术参数须经发包人书面认</w:t>
      </w:r>
      <w:bookmarkStart w:id="4" w:name="_GoBack"/>
      <w:bookmarkEnd w:id="4"/>
      <w:r>
        <w:rPr>
          <w:rFonts w:hint="eastAsia" w:asciiTheme="minorHAnsi" w:hAnsiTheme="minorHAnsi" w:eastAsiaTheme="minorEastAsia" w:cstheme="minorBidi"/>
          <w:bCs/>
          <w:kern w:val="36"/>
          <w:sz w:val="21"/>
          <w:szCs w:val="21"/>
          <w:lang w:val="en-US" w:eastAsia="zh-CN" w:bidi="ar-SA"/>
        </w:rPr>
        <w:t>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bookmarkStart w:id="0" w:name="_Hlk67732197"/>
      <w:r>
        <w:rPr>
          <w:rFonts w:hint="eastAsia" w:asciiTheme="minorHAnsi" w:hAnsiTheme="minorHAnsi" w:eastAsiaTheme="minorEastAsia" w:cstheme="minorBidi"/>
          <w:bCs/>
          <w:kern w:val="36"/>
          <w:sz w:val="21"/>
          <w:szCs w:val="21"/>
          <w:lang w:val="en-US" w:eastAsia="zh-CN" w:bidi="ar-SA"/>
        </w:rPr>
        <w:t>单价包干部分钢材价格以</w:t>
      </w:r>
      <w:r>
        <w:rPr>
          <w:rFonts w:hint="eastAsia" w:asciiTheme="minorHAnsi" w:hAnsiTheme="minorHAnsi" w:eastAsiaTheme="minorEastAsia" w:cstheme="minorBidi"/>
          <w:bCs/>
          <w:color w:val="FF0000"/>
          <w:kern w:val="36"/>
          <w:sz w:val="21"/>
          <w:szCs w:val="21"/>
          <w:lang w:val="en-US" w:eastAsia="zh-CN" w:bidi="ar-SA"/>
        </w:rPr>
        <w:t>2021年第5期</w:t>
      </w:r>
      <w:r>
        <w:rPr>
          <w:rFonts w:hint="eastAsia" w:asciiTheme="minorHAnsi" w:hAnsiTheme="minorHAnsi" w:eastAsiaTheme="minorEastAsia" w:cstheme="minorBidi"/>
          <w:bCs/>
          <w:color w:val="auto"/>
          <w:kern w:val="36"/>
          <w:sz w:val="21"/>
          <w:szCs w:val="21"/>
          <w:lang w:val="en-US" w:eastAsia="zh-CN" w:bidi="ar-SA"/>
        </w:rPr>
        <w:t>芜湖市市场信息价</w:t>
      </w:r>
      <w:r>
        <w:rPr>
          <w:rFonts w:hint="eastAsia" w:asciiTheme="minorHAnsi" w:hAnsiTheme="minorHAnsi" w:eastAsiaTheme="minorEastAsia" w:cstheme="minorBidi"/>
          <w:bCs/>
          <w:kern w:val="36"/>
          <w:sz w:val="21"/>
          <w:szCs w:val="21"/>
          <w:lang w:val="en-US" w:eastAsia="zh-CN" w:bidi="ar-SA"/>
        </w:rPr>
        <w:t>为基准，芜湖市市场信息价没有的以合肥市市场信息价为基准，若施工期间材料单价涨跌幅超过±5%时，其超过部分据实调整钢材价格，芜湖和合肥市场信息价查询不到的不予调整。</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工程内容按合同约定执行，开具增值税发票执行9%税率。</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发包人在指定位置提供施工电源及水源，之外部分承包人自行承担，现场施工水电费结算时按合同总价的7‰扣除或装表据实扣除。</w:t>
      </w:r>
    </w:p>
    <w:p>
      <w:pPr>
        <w:spacing w:beforeLines="50" w:afterLines="50" w:line="360" w:lineRule="exact"/>
        <w:rPr>
          <w:rFonts w:hint="eastAsia"/>
          <w:bCs/>
          <w:kern w:val="36"/>
          <w:szCs w:val="21"/>
        </w:rPr>
      </w:pPr>
      <w:r>
        <w:rPr>
          <w:rFonts w:hint="eastAsia"/>
          <w:bCs/>
          <w:kern w:val="36"/>
          <w:szCs w:val="21"/>
        </w:rPr>
        <w:t>1</w:t>
      </w:r>
      <w:r>
        <w:rPr>
          <w:rFonts w:hint="eastAsia"/>
          <w:bCs/>
          <w:kern w:val="36"/>
          <w:szCs w:val="21"/>
          <w:lang w:val="en-US" w:eastAsia="zh-CN"/>
        </w:rPr>
        <w:t>3</w:t>
      </w:r>
      <w:r>
        <w:rPr>
          <w:rFonts w:hint="eastAsia"/>
          <w:bCs/>
          <w:kern w:val="36"/>
          <w:szCs w:val="21"/>
        </w:rPr>
        <w:t>.  本次招标采取综合评分的方式进行评标，评分标准按以下表格计分，投标单位需对表内要求内容在投标书中如实反馈：</w:t>
      </w:r>
    </w:p>
    <w:tbl>
      <w:tblPr>
        <w:tblStyle w:val="1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482"/>
        <w:gridCol w:w="1078"/>
        <w:gridCol w:w="1098"/>
        <w:gridCol w:w="2426"/>
        <w:gridCol w:w="32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289" w:type="pct"/>
            <w:vMerge w:val="restart"/>
            <w:vAlign w:val="center"/>
          </w:tcPr>
          <w:p>
            <w:r>
              <w:rPr>
                <w:rFonts w:hint="eastAsia"/>
              </w:rPr>
              <w:t>评分标准</w:t>
            </w:r>
          </w:p>
        </w:tc>
        <w:tc>
          <w:tcPr>
            <w:tcW w:w="646" w:type="pct"/>
            <w:vAlign w:val="center"/>
          </w:tcPr>
          <w:p>
            <w:r>
              <w:rPr>
                <w:rFonts w:hint="eastAsia"/>
              </w:rPr>
              <w:t>标价（40分）</w:t>
            </w:r>
          </w:p>
        </w:tc>
        <w:tc>
          <w:tcPr>
            <w:tcW w:w="4064" w:type="pct"/>
            <w:gridSpan w:val="3"/>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89" w:type="pct"/>
            <w:vMerge w:val="continue"/>
            <w:vAlign w:val="center"/>
          </w:tcPr>
          <w:p/>
        </w:tc>
        <w:tc>
          <w:tcPr>
            <w:tcW w:w="646" w:type="pct"/>
            <w:vMerge w:val="restart"/>
            <w:vAlign w:val="center"/>
          </w:tcPr>
          <w:p>
            <w:pPr>
              <w:rPr>
                <w:highlight w:val="none"/>
              </w:rPr>
            </w:pPr>
            <w:r>
              <w:rPr>
                <w:rFonts w:hint="eastAsia"/>
                <w:highlight w:val="none"/>
              </w:rPr>
              <w:t>施工方案  （</w:t>
            </w:r>
            <w:r>
              <w:rPr>
                <w:highlight w:val="none"/>
              </w:rPr>
              <w:t>4</w:t>
            </w:r>
            <w:r>
              <w:rPr>
                <w:rFonts w:hint="eastAsia"/>
                <w:highlight w:val="none"/>
              </w:rPr>
              <w:t>0分）</w:t>
            </w:r>
          </w:p>
        </w:tc>
        <w:tc>
          <w:tcPr>
            <w:tcW w:w="2112" w:type="pct"/>
            <w:gridSpan w:val="2"/>
            <w:vAlign w:val="center"/>
          </w:tcPr>
          <w:p>
            <w:pPr>
              <w:rPr>
                <w:highlight w:val="none"/>
              </w:rPr>
            </w:pPr>
            <w:r>
              <w:rPr>
                <w:rFonts w:hint="eastAsia"/>
                <w:highlight w:val="none"/>
              </w:rPr>
              <w:t>施工现场概况：2分</w:t>
            </w:r>
          </w:p>
        </w:tc>
        <w:tc>
          <w:tcPr>
            <w:tcW w:w="1951" w:type="pct"/>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89" w:type="pct"/>
            <w:vMerge w:val="continue"/>
            <w:vAlign w:val="center"/>
          </w:tcPr>
          <w:p/>
        </w:tc>
        <w:tc>
          <w:tcPr>
            <w:tcW w:w="646" w:type="pct"/>
            <w:vMerge w:val="continue"/>
            <w:vAlign w:val="center"/>
          </w:tcPr>
          <w:p/>
        </w:tc>
        <w:tc>
          <w:tcPr>
            <w:tcW w:w="658" w:type="pct"/>
            <w:vMerge w:val="restart"/>
            <w:vAlign w:val="center"/>
          </w:tcPr>
          <w:p>
            <w:r>
              <w:rPr>
                <w:rFonts w:hint="eastAsia"/>
              </w:rPr>
              <w:t>施工方案及技术措施：共</w:t>
            </w:r>
            <w:r>
              <w:t>3</w:t>
            </w:r>
            <w:r>
              <w:rPr>
                <w:rFonts w:hint="eastAsia"/>
              </w:rPr>
              <w:t>0分</w:t>
            </w:r>
          </w:p>
        </w:tc>
        <w:tc>
          <w:tcPr>
            <w:tcW w:w="1454" w:type="pct"/>
            <w:vAlign w:val="center"/>
          </w:tcPr>
          <w:p>
            <w:r>
              <w:rPr>
                <w:rFonts w:hint="eastAsia"/>
              </w:rPr>
              <w:t>施工存在难度（</w:t>
            </w:r>
            <w:r>
              <w:t>6</w:t>
            </w:r>
            <w:r>
              <w:rPr>
                <w:rFonts w:hint="eastAsia"/>
              </w:rPr>
              <w:t>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89" w:type="pct"/>
            <w:vMerge w:val="continue"/>
            <w:vAlign w:val="center"/>
          </w:tcPr>
          <w:p/>
        </w:tc>
        <w:tc>
          <w:tcPr>
            <w:tcW w:w="646" w:type="pct"/>
            <w:vMerge w:val="continue"/>
            <w:vAlign w:val="center"/>
          </w:tcPr>
          <w:p/>
        </w:tc>
        <w:tc>
          <w:tcPr>
            <w:tcW w:w="658" w:type="pct"/>
            <w:vMerge w:val="continue"/>
            <w:vAlign w:val="center"/>
          </w:tcPr>
          <w:p/>
        </w:tc>
        <w:tc>
          <w:tcPr>
            <w:tcW w:w="1454" w:type="pct"/>
            <w:vAlign w:val="center"/>
          </w:tcPr>
          <w:p>
            <w:r>
              <w:rPr>
                <w:rFonts w:hint="eastAsia"/>
              </w:rPr>
              <w:t>采取的措施（6分）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89" w:type="pct"/>
            <w:vMerge w:val="continue"/>
            <w:vAlign w:val="center"/>
          </w:tcPr>
          <w:p/>
        </w:tc>
        <w:tc>
          <w:tcPr>
            <w:tcW w:w="646" w:type="pct"/>
            <w:vMerge w:val="continue"/>
            <w:vAlign w:val="center"/>
          </w:tcPr>
          <w:p/>
        </w:tc>
        <w:tc>
          <w:tcPr>
            <w:tcW w:w="658" w:type="pct"/>
            <w:vMerge w:val="continue"/>
            <w:vAlign w:val="center"/>
          </w:tcPr>
          <w:p/>
        </w:tc>
        <w:tc>
          <w:tcPr>
            <w:tcW w:w="1454" w:type="pct"/>
            <w:vAlign w:val="center"/>
          </w:tcPr>
          <w:p>
            <w:r>
              <w:rPr>
                <w:rFonts w:hint="eastAsia"/>
              </w:rPr>
              <w:t>人力投入计划（6分）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89" w:type="pct"/>
            <w:vMerge w:val="continue"/>
            <w:vAlign w:val="center"/>
          </w:tcPr>
          <w:p/>
        </w:tc>
        <w:tc>
          <w:tcPr>
            <w:tcW w:w="646" w:type="pct"/>
            <w:vMerge w:val="continue"/>
            <w:vAlign w:val="center"/>
          </w:tcPr>
          <w:p/>
        </w:tc>
        <w:tc>
          <w:tcPr>
            <w:tcW w:w="658" w:type="pct"/>
            <w:vMerge w:val="continue"/>
            <w:vAlign w:val="center"/>
          </w:tcPr>
          <w:p/>
        </w:tc>
        <w:tc>
          <w:tcPr>
            <w:tcW w:w="1454" w:type="pct"/>
            <w:vAlign w:val="center"/>
          </w:tcPr>
          <w:p>
            <w:r>
              <w:rPr>
                <w:rFonts w:hint="eastAsia"/>
              </w:rPr>
              <w:t>材料、机械投入计划（6分）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89" w:type="pct"/>
            <w:vMerge w:val="continue"/>
            <w:vAlign w:val="center"/>
          </w:tcPr>
          <w:p/>
        </w:tc>
        <w:tc>
          <w:tcPr>
            <w:tcW w:w="646" w:type="pct"/>
            <w:vMerge w:val="continue"/>
            <w:vAlign w:val="center"/>
          </w:tcPr>
          <w:p/>
        </w:tc>
        <w:tc>
          <w:tcPr>
            <w:tcW w:w="658" w:type="pct"/>
            <w:vMerge w:val="continue"/>
            <w:vAlign w:val="center"/>
          </w:tcPr>
          <w:p/>
        </w:tc>
        <w:tc>
          <w:tcPr>
            <w:tcW w:w="1454" w:type="pct"/>
            <w:vAlign w:val="center"/>
          </w:tcPr>
          <w:p>
            <w:r>
              <w:rPr>
                <w:rFonts w:hint="eastAsia"/>
              </w:rPr>
              <w:t>工期计划（6分）</w:t>
            </w:r>
          </w:p>
        </w:tc>
        <w:tc>
          <w:tcPr>
            <w:tcW w:w="1951" w:type="pct"/>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89" w:type="pct"/>
            <w:vMerge w:val="continue"/>
            <w:vAlign w:val="center"/>
          </w:tcPr>
          <w:p/>
        </w:tc>
        <w:tc>
          <w:tcPr>
            <w:tcW w:w="646" w:type="pct"/>
            <w:vMerge w:val="continue"/>
            <w:vAlign w:val="center"/>
          </w:tcPr>
          <w:p/>
        </w:tc>
        <w:tc>
          <w:tcPr>
            <w:tcW w:w="2112" w:type="pct"/>
            <w:gridSpan w:val="2"/>
            <w:vAlign w:val="center"/>
          </w:tcPr>
          <w:p>
            <w:r>
              <w:rPr>
                <w:rFonts w:hint="eastAsia"/>
              </w:rPr>
              <w:t>现场安全隐患及防范措施，安全措施：5分</w:t>
            </w:r>
          </w:p>
        </w:tc>
        <w:tc>
          <w:tcPr>
            <w:tcW w:w="1951" w:type="pct"/>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89" w:type="pct"/>
            <w:vMerge w:val="continue"/>
            <w:vAlign w:val="center"/>
          </w:tcPr>
          <w:p/>
        </w:tc>
        <w:tc>
          <w:tcPr>
            <w:tcW w:w="646" w:type="pct"/>
            <w:vMerge w:val="continue"/>
            <w:vAlign w:val="center"/>
          </w:tcPr>
          <w:p/>
        </w:tc>
        <w:tc>
          <w:tcPr>
            <w:tcW w:w="2112" w:type="pct"/>
            <w:gridSpan w:val="2"/>
            <w:vAlign w:val="center"/>
          </w:tcPr>
          <w:p>
            <w:r>
              <w:rPr>
                <w:rFonts w:hint="eastAsia"/>
              </w:rPr>
              <w:t>现场质量保证措施及文明施工措施： 3分</w:t>
            </w:r>
          </w:p>
        </w:tc>
        <w:tc>
          <w:tcPr>
            <w:tcW w:w="1951" w:type="pct"/>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289" w:type="pct"/>
            <w:vMerge w:val="continue"/>
            <w:vAlign w:val="center"/>
          </w:tcPr>
          <w:p>
            <w:pPr>
              <w:rPr>
                <w:highlight w:val="none"/>
              </w:rPr>
            </w:pPr>
          </w:p>
        </w:tc>
        <w:tc>
          <w:tcPr>
            <w:tcW w:w="646" w:type="pct"/>
            <w:vMerge w:val="restart"/>
            <w:vAlign w:val="center"/>
          </w:tcPr>
          <w:p>
            <w:pPr>
              <w:rPr>
                <w:highlight w:val="none"/>
              </w:rPr>
            </w:pPr>
            <w:r>
              <w:rPr>
                <w:rFonts w:hint="eastAsia"/>
                <w:highlight w:val="none"/>
              </w:rPr>
              <w:t>企业信誉  （20分）</w:t>
            </w:r>
          </w:p>
        </w:tc>
        <w:tc>
          <w:tcPr>
            <w:tcW w:w="2112" w:type="pct"/>
            <w:gridSpan w:val="2"/>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1951" w:type="pct"/>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289" w:type="pct"/>
            <w:vMerge w:val="continue"/>
            <w:vAlign w:val="center"/>
          </w:tcPr>
          <w:p>
            <w:pPr>
              <w:rPr>
                <w:highlight w:val="none"/>
              </w:rPr>
            </w:pPr>
          </w:p>
        </w:tc>
        <w:tc>
          <w:tcPr>
            <w:tcW w:w="646" w:type="pct"/>
            <w:vMerge w:val="continue"/>
            <w:vAlign w:val="center"/>
          </w:tcPr>
          <w:p>
            <w:pPr>
              <w:rPr>
                <w:highlight w:val="none"/>
              </w:rPr>
            </w:pPr>
          </w:p>
        </w:tc>
        <w:tc>
          <w:tcPr>
            <w:tcW w:w="2112" w:type="pct"/>
            <w:gridSpan w:val="2"/>
            <w:vAlign w:val="center"/>
          </w:tcPr>
          <w:p>
            <w:pPr>
              <w:rPr>
                <w:highlight w:val="none"/>
              </w:rPr>
            </w:pPr>
            <w:r>
              <w:rPr>
                <w:rFonts w:hint="eastAsia"/>
                <w:highlight w:val="none"/>
              </w:rPr>
              <w:t>项目经理业绩共</w:t>
            </w:r>
            <w:r>
              <w:rPr>
                <w:highlight w:val="none"/>
              </w:rPr>
              <w:t>2</w:t>
            </w:r>
            <w:r>
              <w:rPr>
                <w:rFonts w:hint="eastAsia"/>
                <w:highlight w:val="none"/>
              </w:rPr>
              <w:t>分</w:t>
            </w:r>
          </w:p>
        </w:tc>
        <w:tc>
          <w:tcPr>
            <w:tcW w:w="1951" w:type="pct"/>
            <w:vAlign w:val="center"/>
          </w:tcPr>
          <w:p>
            <w:pPr>
              <w:rPr>
                <w:highlight w:val="none"/>
              </w:rPr>
            </w:pPr>
            <w:r>
              <w:rPr>
                <w:rFonts w:hint="eastAsia"/>
                <w:highlight w:val="none"/>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289" w:type="pct"/>
            <w:vMerge w:val="continue"/>
            <w:vAlign w:val="center"/>
          </w:tcPr>
          <w:p>
            <w:pPr>
              <w:rPr>
                <w:highlight w:val="none"/>
              </w:rPr>
            </w:pPr>
          </w:p>
        </w:tc>
        <w:tc>
          <w:tcPr>
            <w:tcW w:w="646" w:type="pct"/>
            <w:vMerge w:val="continue"/>
            <w:vAlign w:val="center"/>
          </w:tcPr>
          <w:p>
            <w:pPr>
              <w:rPr>
                <w:highlight w:val="none"/>
              </w:rPr>
            </w:pPr>
          </w:p>
        </w:tc>
        <w:tc>
          <w:tcPr>
            <w:tcW w:w="2112" w:type="pct"/>
            <w:gridSpan w:val="2"/>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1951" w:type="pct"/>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289" w:type="pct"/>
            <w:vMerge w:val="continue"/>
            <w:vAlign w:val="center"/>
          </w:tcPr>
          <w:p>
            <w:pPr>
              <w:rPr>
                <w:highlight w:val="none"/>
              </w:rPr>
            </w:pPr>
          </w:p>
        </w:tc>
        <w:tc>
          <w:tcPr>
            <w:tcW w:w="646" w:type="pct"/>
            <w:vMerge w:val="continue"/>
            <w:vAlign w:val="center"/>
          </w:tcPr>
          <w:p>
            <w:pPr>
              <w:rPr>
                <w:highlight w:val="none"/>
              </w:rPr>
            </w:pPr>
          </w:p>
        </w:tc>
        <w:tc>
          <w:tcPr>
            <w:tcW w:w="2112" w:type="pct"/>
            <w:gridSpan w:val="2"/>
            <w:vAlign w:val="center"/>
          </w:tcPr>
          <w:p>
            <w:pPr>
              <w:rPr>
                <w:highlight w:val="none"/>
              </w:rPr>
            </w:pPr>
            <w:r>
              <w:rPr>
                <w:rFonts w:hint="eastAsia"/>
                <w:highlight w:val="none"/>
              </w:rPr>
              <w:t>履约能力综合评估（财务信誉、工程履约信誉、结算信誉）共计6分</w:t>
            </w:r>
          </w:p>
        </w:tc>
        <w:tc>
          <w:tcPr>
            <w:tcW w:w="1951" w:type="pct"/>
            <w:vAlign w:val="center"/>
          </w:tcPr>
          <w:p>
            <w:pPr>
              <w:rPr>
                <w:highlight w:val="none"/>
              </w:rPr>
            </w:pPr>
            <w:r>
              <w:rPr>
                <w:rFonts w:hint="eastAsia"/>
                <w:highlight w:val="none"/>
              </w:rPr>
              <w:t>每项2分，若有一项不良情况，计0分。</w:t>
            </w:r>
          </w:p>
        </w:tc>
      </w:tr>
    </w:tbl>
    <w:p>
      <w:pPr>
        <w:pStyle w:val="21"/>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6.投标文件需胶装</w:t>
      </w:r>
    </w:p>
    <w:p>
      <w:pPr>
        <w:spacing w:line="360" w:lineRule="exact"/>
        <w:rPr>
          <w:rFonts w:hint="eastAsia" w:ascii="宋体" w:hAnsi="宋体"/>
          <w:b/>
          <w:bCs/>
        </w:rPr>
      </w:pPr>
      <w:r>
        <w:rPr>
          <w:rFonts w:hint="eastAsia" w:ascii="宋体" w:hAnsi="宋体"/>
          <w:b/>
          <w:bCs/>
        </w:rPr>
        <w:t>九、约定和说明</w:t>
      </w:r>
    </w:p>
    <w:p>
      <w:pPr>
        <w:pStyle w:val="2"/>
        <w:ind w:left="0" w:leftChars="0" w:firstLine="420" w:firstLineChars="200"/>
        <w:rPr>
          <w:rFonts w:hint="eastAsia" w:ascii="宋体" w:hAnsi="宋体" w:cs="宋体" w:eastAsiaTheme="minorEastAsia"/>
          <w:color w:val="000000"/>
          <w:kern w:val="2"/>
          <w:sz w:val="21"/>
          <w:szCs w:val="22"/>
          <w:lang w:val="en-US" w:eastAsia="zh-CN" w:bidi="ar-SA"/>
        </w:rPr>
      </w:pPr>
      <w:r>
        <w:rPr>
          <w:rFonts w:hint="eastAsia" w:ascii="宋体" w:hAnsi="宋体" w:cs="宋体" w:eastAsiaTheme="minorEastAsia"/>
          <w:color w:val="000000"/>
          <w:kern w:val="2"/>
          <w:sz w:val="21"/>
          <w:szCs w:val="22"/>
          <w:lang w:val="en-US" w:eastAsia="zh-CN" w:bidi="ar-SA"/>
        </w:rPr>
        <w:t>因承包人原因，节点工期每延误1天，承包人向发包人支付违约金壹仟圆整（¥：1000元整）（考核条款视情况定）。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r>
        <w:rPr>
          <w:rFonts w:hint="eastAsia" w:ascii="宋体" w:hAnsi="宋体" w:cs="宋体"/>
          <w:color w:val="000000"/>
          <w:kern w:val="2"/>
          <w:sz w:val="21"/>
          <w:szCs w:val="22"/>
          <w:lang w:val="en-US" w:eastAsia="zh-CN" w:bidi="ar-SA"/>
        </w:rPr>
        <w:t>。</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rPr>
      </w:pPr>
      <w:r>
        <w:rPr>
          <w:rFonts w:hint="eastAsia" w:ascii="宋体" w:hAnsi="宋体" w:cs="宋体"/>
          <w:color w:val="000000"/>
        </w:rPr>
        <w:t>2．双方约定的工程款（进度款）支付的方式：双方约定的工程款（进度款）支付的方式：本工程无预付款，发包人次月按审定的上月进度的70%支付承包人工程款，付款前提供等额增值税专用发票。</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spacing w:line="360" w:lineRule="exact"/>
        <w:ind w:firstLine="420" w:firstLineChars="200"/>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eastAsia="zh-CN"/>
        </w:rPr>
        <w:t>本项目拦标价</w:t>
      </w:r>
      <w:r>
        <w:rPr>
          <w:rFonts w:hint="eastAsia" w:ascii="宋体" w:hAnsi="宋体"/>
          <w:bCs/>
          <w:lang w:val="en-US" w:eastAsia="zh-CN"/>
        </w:rPr>
        <w:t>详见报价单，超过综合单价拦标价及低于优惠率拦标价的作废标处理</w:t>
      </w:r>
      <w:r>
        <w:rPr>
          <w:rFonts w:ascii="宋体" w:hAnsi="宋体"/>
          <w:bCs/>
        </w:rPr>
        <w:t>。</w:t>
      </w:r>
    </w:p>
    <w:p>
      <w:pPr>
        <w:numPr>
          <w:ilvl w:val="0"/>
          <w:numId w:val="8"/>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sectPr>
          <w:footerReference r:id="rId3" w:type="default"/>
          <w:pgSz w:w="11906" w:h="16838"/>
          <w:pgMar w:top="1440" w:right="1797" w:bottom="1440" w:left="1797" w:header="851" w:footer="992" w:gutter="0"/>
          <w:cols w:space="720" w:num="1"/>
          <w:docGrid w:type="linesAndChars" w:linePitch="312" w:charSpace="0"/>
        </w:sectPr>
      </w:pPr>
    </w:p>
    <w:p>
      <w:pPr>
        <w:spacing w:line="300" w:lineRule="auto"/>
        <w:jc w:val="center"/>
        <w:rPr>
          <w:rFonts w:ascii="宋体" w:hAnsi="宋体"/>
          <w:b/>
          <w:bCs/>
          <w:sz w:val="36"/>
          <w:szCs w:val="36"/>
        </w:rPr>
      </w:pPr>
      <w:r>
        <w:rPr>
          <w:rFonts w:hint="eastAsia" w:ascii="宋体" w:hAnsi="宋体"/>
          <w:b/>
          <w:bCs/>
          <w:sz w:val="36"/>
          <w:szCs w:val="36"/>
          <w:u w:val="single"/>
        </w:rPr>
        <w:t xml:space="preserve"> </w:t>
      </w:r>
      <w:r>
        <w:rPr>
          <w:rFonts w:hint="eastAsia"/>
          <w:b/>
          <w:bCs/>
          <w:sz w:val="36"/>
          <w:szCs w:val="36"/>
          <w:u w:val="single"/>
          <w:lang w:eastAsia="zh-CN"/>
        </w:rPr>
        <w:t>焦化部地下室机焦侧外墙美化</w:t>
      </w:r>
      <w:r>
        <w:rPr>
          <w:rFonts w:hint="eastAsia" w:ascii="宋体" w:hAnsi="宋体"/>
          <w:b/>
          <w:bCs/>
          <w:sz w:val="36"/>
          <w:szCs w:val="36"/>
        </w:rPr>
        <w:t>工程报价单</w:t>
      </w:r>
    </w:p>
    <w:tbl>
      <w:tblPr>
        <w:tblStyle w:val="13"/>
        <w:tblW w:w="15377" w:type="dxa"/>
        <w:tblInd w:w="93" w:type="dxa"/>
        <w:shd w:val="clear" w:color="auto" w:fill="auto"/>
        <w:tblLayout w:type="autofit"/>
        <w:tblCellMar>
          <w:top w:w="0" w:type="dxa"/>
          <w:left w:w="108" w:type="dxa"/>
          <w:bottom w:w="0" w:type="dxa"/>
          <w:right w:w="108" w:type="dxa"/>
        </w:tblCellMar>
      </w:tblPr>
      <w:tblGrid>
        <w:gridCol w:w="780"/>
        <w:gridCol w:w="1650"/>
        <w:gridCol w:w="876"/>
        <w:gridCol w:w="995"/>
        <w:gridCol w:w="1626"/>
        <w:gridCol w:w="2141"/>
        <w:gridCol w:w="7309"/>
      </w:tblGrid>
      <w:tr>
        <w:tblPrEx>
          <w:shd w:val="clear" w:color="auto" w:fill="auto"/>
          <w:tblCellMar>
            <w:top w:w="0" w:type="dxa"/>
            <w:left w:w="108" w:type="dxa"/>
            <w:bottom w:w="0" w:type="dxa"/>
            <w:right w:w="108" w:type="dxa"/>
          </w:tblCellMar>
        </w:tblPrEx>
        <w:trPr>
          <w:trHeight w:val="5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分项名称</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暂估工程量</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拦标价</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报价</w:t>
            </w:r>
          </w:p>
        </w:tc>
        <w:tc>
          <w:tcPr>
            <w:tcW w:w="7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工作内容</w:t>
            </w:r>
          </w:p>
        </w:tc>
      </w:tr>
      <w:tr>
        <w:tblPrEx>
          <w:tblCellMar>
            <w:top w:w="0" w:type="dxa"/>
            <w:left w:w="108" w:type="dxa"/>
            <w:bottom w:w="0" w:type="dxa"/>
            <w:right w:w="108" w:type="dxa"/>
          </w:tblCellMar>
        </w:tblPrEx>
        <w:trPr>
          <w:trHeight w:val="560" w:hRule="atLeast"/>
        </w:trPr>
        <w:tc>
          <w:tcPr>
            <w:tcW w:w="1537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一、单价包干部分</w:t>
            </w:r>
          </w:p>
        </w:tc>
      </w:tr>
      <w:tr>
        <w:tblPrEx>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墙面瓷砖</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m2</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2300</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Style w:val="32"/>
                <w:lang w:val="en-US" w:eastAsia="zh-CN" w:bidi="ar"/>
              </w:rPr>
              <w:t>80元</w:t>
            </w:r>
            <w:r>
              <w:rPr>
                <w:rStyle w:val="27"/>
                <w:rFonts w:eastAsia="宋体"/>
                <w:lang w:val="en-US" w:eastAsia="zh-CN" w:bidi="ar"/>
              </w:rPr>
              <w:t>/m2</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Style w:val="32"/>
                <w:u w:val="none"/>
                <w:lang w:val="en-US" w:eastAsia="zh-CN" w:bidi="ar"/>
              </w:rPr>
              <w:t>元</w:t>
            </w:r>
            <w:r>
              <w:rPr>
                <w:rStyle w:val="27"/>
                <w:rFonts w:eastAsia="宋体"/>
                <w:u w:val="none"/>
                <w:lang w:val="en-US" w:eastAsia="zh-CN" w:bidi="ar"/>
              </w:rPr>
              <w:t>/m2</w:t>
            </w:r>
          </w:p>
        </w:tc>
        <w:tc>
          <w:tcPr>
            <w:tcW w:w="7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9"/>
                <w:lang w:val="en-US" w:eastAsia="zh-CN" w:bidi="ar"/>
              </w:rPr>
              <w:t>包括卸车、运输、倒运、墙面处理、抹灰、铺设瓷砖等涉及的全部工序及人工费、机械费、材料费</w:t>
            </w:r>
            <w:r>
              <w:rPr>
                <w:rStyle w:val="34"/>
                <w:lang w:val="en-US" w:eastAsia="zh-CN" w:bidi="ar"/>
              </w:rPr>
              <w:t>（不包含瓷砖费用）</w:t>
            </w:r>
            <w:r>
              <w:rPr>
                <w:rStyle w:val="29"/>
                <w:lang w:val="en-US" w:eastAsia="zh-CN" w:bidi="ar"/>
              </w:rPr>
              <w:t>、措施费、不可竞争费、税金、水电费等全部费用。</w:t>
            </w:r>
          </w:p>
        </w:tc>
      </w:tr>
      <w:tr>
        <w:tblPrEx>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百叶窗（不锈钢）</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m2</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460</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Style w:val="32"/>
                <w:lang w:val="en-US" w:eastAsia="zh-CN" w:bidi="ar"/>
              </w:rPr>
              <w:t>580元</w:t>
            </w:r>
            <w:r>
              <w:rPr>
                <w:rStyle w:val="27"/>
                <w:rFonts w:eastAsia="宋体"/>
                <w:lang w:val="en-US" w:eastAsia="zh-CN" w:bidi="ar"/>
              </w:rPr>
              <w:t>/m2</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Style w:val="32"/>
                <w:u w:val="none"/>
                <w:lang w:val="en-US" w:eastAsia="zh-CN" w:bidi="ar"/>
              </w:rPr>
              <w:t>元</w:t>
            </w:r>
            <w:r>
              <w:rPr>
                <w:rStyle w:val="27"/>
                <w:rFonts w:eastAsia="宋体"/>
                <w:u w:val="none"/>
                <w:lang w:val="en-US" w:eastAsia="zh-CN" w:bidi="ar"/>
              </w:rPr>
              <w:t>/m2</w:t>
            </w:r>
          </w:p>
        </w:tc>
        <w:tc>
          <w:tcPr>
            <w:tcW w:w="7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包括原窗户拆除、分解、卸车、运输、倒运、安装等涉及的全部工序及人工费、机械费、材料费、措施费、不可竞争费、税金、水电费等全部费用。</w:t>
            </w:r>
          </w:p>
        </w:tc>
      </w:tr>
      <w:tr>
        <w:tblPrEx>
          <w:shd w:val="clear" w:color="auto" w:fill="auto"/>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窗户防护网更换（不锈钢含龙骨）</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m2</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455</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Style w:val="32"/>
                <w:lang w:val="en-US" w:eastAsia="zh-CN" w:bidi="ar"/>
              </w:rPr>
              <w:t>480元</w:t>
            </w:r>
            <w:r>
              <w:rPr>
                <w:rStyle w:val="27"/>
                <w:rFonts w:eastAsia="宋体"/>
                <w:lang w:val="en-US" w:eastAsia="zh-CN" w:bidi="ar"/>
              </w:rPr>
              <w:t>/m2</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Style w:val="32"/>
                <w:u w:val="none"/>
                <w:lang w:val="en-US" w:eastAsia="zh-CN" w:bidi="ar"/>
              </w:rPr>
              <w:t>元</w:t>
            </w:r>
            <w:r>
              <w:rPr>
                <w:rStyle w:val="27"/>
                <w:rFonts w:eastAsia="宋体"/>
                <w:u w:val="none"/>
                <w:lang w:val="en-US" w:eastAsia="zh-CN" w:bidi="ar"/>
              </w:rPr>
              <w:t>/m2</w:t>
            </w:r>
          </w:p>
        </w:tc>
        <w:tc>
          <w:tcPr>
            <w:tcW w:w="7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包括原窗户防护网拆除、分解、卸车、运输、倒运、安装等涉及的全部工序及人工费、机械费、材料费、措施费、不可竞争费、税金、水电费等全部费用。</w:t>
            </w:r>
          </w:p>
        </w:tc>
      </w:tr>
      <w:tr>
        <w:tblPrEx>
          <w:shd w:val="clear" w:color="auto" w:fill="auto"/>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滑触线防护网及部分斜撑更换（不锈钢含龙骨）</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m2</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280</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Style w:val="32"/>
                <w:lang w:val="en-US" w:eastAsia="zh-CN" w:bidi="ar"/>
              </w:rPr>
              <w:t>480元</w:t>
            </w:r>
            <w:r>
              <w:rPr>
                <w:rStyle w:val="27"/>
                <w:rFonts w:eastAsia="宋体"/>
                <w:lang w:val="en-US" w:eastAsia="zh-CN" w:bidi="ar"/>
              </w:rPr>
              <w:t>/m2</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Style w:val="32"/>
                <w:u w:val="none"/>
                <w:lang w:val="en-US" w:eastAsia="zh-CN" w:bidi="ar"/>
              </w:rPr>
              <w:t>元</w:t>
            </w:r>
            <w:r>
              <w:rPr>
                <w:rStyle w:val="27"/>
                <w:rFonts w:eastAsia="宋体"/>
                <w:u w:val="none"/>
                <w:lang w:val="en-US" w:eastAsia="zh-CN" w:bidi="ar"/>
              </w:rPr>
              <w:t>/m2</w:t>
            </w:r>
          </w:p>
        </w:tc>
        <w:tc>
          <w:tcPr>
            <w:tcW w:w="7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包括原滑触线防护网拆除、分解、卸车、运输、倒运、安装等涉及的全部工序及人工费、机械费、材料费、措施费、不可竞争费、税金、水电费等全部费用。</w:t>
            </w:r>
          </w:p>
        </w:tc>
      </w:tr>
      <w:tr>
        <w:tblPrEx>
          <w:shd w:val="clear" w:color="auto" w:fill="auto"/>
          <w:tblCellMar>
            <w:top w:w="0" w:type="dxa"/>
            <w:left w:w="108" w:type="dxa"/>
            <w:bottom w:w="0" w:type="dxa"/>
            <w:right w:w="108" w:type="dxa"/>
          </w:tblCellMar>
        </w:tblPrEx>
        <w:trPr>
          <w:trHeight w:val="560" w:hRule="atLeast"/>
        </w:trPr>
        <w:tc>
          <w:tcPr>
            <w:tcW w:w="1537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二、除单价包干外工作量</w:t>
            </w:r>
          </w:p>
        </w:tc>
      </w:tr>
      <w:tr>
        <w:tblPrEx>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优惠率（不包含材料费）</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24"/>
                <w:szCs w:val="24"/>
                <w:u w:val="none"/>
              </w:rPr>
            </w:pPr>
            <w:r>
              <w:rPr>
                <w:rStyle w:val="28"/>
                <w:lang w:val="en-US" w:eastAsia="zh-CN" w:bidi="ar"/>
              </w:rPr>
              <w:t>暂估</w:t>
            </w:r>
            <w:r>
              <w:rPr>
                <w:rStyle w:val="32"/>
                <w:lang w:val="en-US" w:eastAsia="zh-CN" w:bidi="ar"/>
              </w:rPr>
              <w:t>金额</w:t>
            </w:r>
            <w:r>
              <w:rPr>
                <w:rStyle w:val="35"/>
                <w:rFonts w:ascii="宋体" w:hAnsi="宋体" w:eastAsia="宋体" w:cs="宋体"/>
                <w:sz w:val="24"/>
                <w:szCs w:val="24"/>
                <w:lang w:val="en-US" w:eastAsia="zh-CN" w:bidi="ar"/>
              </w:rPr>
              <w:t xml:space="preserve"> 100000</w:t>
            </w:r>
            <w:r>
              <w:rPr>
                <w:rStyle w:val="32"/>
                <w:lang w:val="en-US" w:eastAsia="zh-CN" w:bidi="ar"/>
              </w:rPr>
              <w:t>元</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32"/>
                <w:lang w:val="en-US" w:eastAsia="zh-CN" w:bidi="ar"/>
              </w:rPr>
              <w:t>优惠</w:t>
            </w:r>
            <w:r>
              <w:rPr>
                <w:rStyle w:val="35"/>
                <w:rFonts w:ascii="宋体" w:hAnsi="宋体" w:eastAsia="宋体" w:cs="宋体"/>
                <w:sz w:val="24"/>
                <w:szCs w:val="24"/>
                <w:lang w:val="en-US" w:eastAsia="zh-CN" w:bidi="ar"/>
              </w:rPr>
              <w:t xml:space="preserve">      </w:t>
            </w:r>
            <w:r>
              <w:rPr>
                <w:rStyle w:val="27"/>
                <w:rFonts w:eastAsia="宋体"/>
                <w:lang w:val="en-US" w:eastAsia="zh-CN" w:bidi="ar"/>
              </w:rPr>
              <w:t>%</w:t>
            </w:r>
          </w:p>
        </w:tc>
        <w:tc>
          <w:tcPr>
            <w:tcW w:w="7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36"/>
                <w:lang w:val="en-US" w:eastAsia="zh-CN" w:bidi="ar"/>
              </w:rPr>
              <w:t>执行</w:t>
            </w:r>
            <w:r>
              <w:rPr>
                <w:rStyle w:val="31"/>
                <w:rFonts w:eastAsia="宋体"/>
                <w:lang w:val="en-US" w:eastAsia="zh-CN" w:bidi="ar"/>
              </w:rPr>
              <w:t>2018</w:t>
            </w:r>
            <w:r>
              <w:rPr>
                <w:rStyle w:val="36"/>
                <w:lang w:val="en-US" w:eastAsia="zh-CN" w:bidi="ar"/>
              </w:rPr>
              <w:t>版安徽省建设工程计价定额及配套费用定额，材料费不参与总价优惠。措施项目费以现场确认形式据实计取，二次搬运费不计取。</w:t>
            </w:r>
          </w:p>
        </w:tc>
      </w:tr>
    </w:tbl>
    <w:p>
      <w:pPr>
        <w:tabs>
          <w:tab w:val="left" w:pos="720"/>
          <w:tab w:val="left" w:pos="7200"/>
        </w:tabs>
        <w:snapToGrid w:val="0"/>
        <w:spacing w:line="240" w:lineRule="auto"/>
        <w:ind w:firstLine="720" w:firstLineChars="300"/>
        <w:rPr>
          <w:b/>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sz w:val="24"/>
          <w:szCs w:val="24"/>
        </w:rPr>
        <w:t>注：本报价单需加盖投标单位公章和</w:t>
      </w:r>
      <w:r>
        <w:rPr>
          <w:rFonts w:hint="eastAsia"/>
          <w:sz w:val="24"/>
          <w:szCs w:val="24"/>
        </w:rPr>
        <w:t>法人代表印章或授权代理人签字。</w:t>
      </w:r>
      <w:r>
        <w:rPr>
          <w:rFonts w:hint="eastAsia" w:ascii="宋体" w:hAnsi="宋体" w:cs="宋体"/>
          <w:sz w:val="24"/>
          <w:szCs w:val="24"/>
          <w:lang w:val="en-US" w:eastAsia="zh-CN"/>
        </w:rPr>
        <w:t xml:space="preserve">                                                                                                                   </w:t>
      </w:r>
    </w:p>
    <w:p>
      <w:pPr>
        <w:tabs>
          <w:tab w:val="left" w:pos="720"/>
          <w:tab w:val="left" w:pos="7200"/>
        </w:tabs>
        <w:snapToGrid w:val="0"/>
        <w:spacing w:line="240" w:lineRule="auto"/>
        <w:ind w:left="0" w:leftChars="0" w:firstLine="0" w:firstLineChars="0"/>
        <w:rPr>
          <w:rFonts w:hint="eastAsia" w:ascii="仿宋_GB2312" w:eastAsia="仿宋_GB2312"/>
          <w:b/>
          <w:sz w:val="28"/>
          <w:szCs w:val="28"/>
        </w:rPr>
      </w:pPr>
      <w:r>
        <w:rPr>
          <w:rFonts w:hint="eastAsia"/>
        </w:rPr>
        <w:pict>
          <v:shape id="_x0000_s1029" o:spid="_x0000_s1029" o:spt="75" type="#_x0000_t75" style="position:absolute;left:0pt;margin-left:7.65pt;margin-top:14pt;height:56.7pt;width:61.75pt;z-index:251662336;mso-width-relative:page;mso-height-relative:page;" o:ole="t" filled="f" o:preferrelative="t" stroked="f" coordsize="21600,21600">
            <v:path/>
            <v:fill on="f" focussize="0,0"/>
            <v:stroke on="f" joinstyle="miter"/>
            <v:imagedata r:id="rId6" o:title=""/>
            <o:lock v:ext="edit" aspectratio="t"/>
          </v:shape>
          <o:OLEObject Type="Embed" ProgID="PBrush" ShapeID="_x0000_s1029"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1" w:name="_Toc15231775"/>
      <w:bookmarkStart w:id="2" w:name="_Toc532887698"/>
      <w:bookmarkStart w:id="3" w:name="_Toc15291886"/>
      <w:r>
        <w:rPr>
          <w:sz w:val="18"/>
          <w:szCs w:val="18"/>
        </w:rPr>
        <w:t xml:space="preserve"> 专项施工方案</w:t>
      </w:r>
      <w:bookmarkEnd w:id="1"/>
      <w:bookmarkEnd w:id="2"/>
      <w:bookmarkEnd w:id="3"/>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6"/>
  </w:num>
  <w:num w:numId="2">
    <w:abstractNumId w:val="8"/>
  </w:num>
  <w:num w:numId="3">
    <w:abstractNumId w:val="10"/>
  </w:num>
  <w:num w:numId="4">
    <w:abstractNumId w:val="9"/>
  </w:num>
  <w:num w:numId="5">
    <w:abstractNumId w:val="4"/>
  </w:num>
  <w:num w:numId="6">
    <w:abstractNumId w:val="2"/>
  </w:num>
  <w:num w:numId="7">
    <w:abstractNumId w:val="5"/>
  </w:num>
  <w:num w:numId="8">
    <w:abstractNumId w:val="1"/>
  </w:num>
  <w:num w:numId="9">
    <w:abstractNumId w:val="0"/>
    <w:lvlOverride w:ilvl="0">
      <w:startOverride w:val="1"/>
    </w:lvlOverride>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29C3A92"/>
    <w:rsid w:val="03CC35F1"/>
    <w:rsid w:val="0423636D"/>
    <w:rsid w:val="083D3F56"/>
    <w:rsid w:val="08806402"/>
    <w:rsid w:val="0DFC1491"/>
    <w:rsid w:val="0E4F2C23"/>
    <w:rsid w:val="104501EF"/>
    <w:rsid w:val="1CAB7BE0"/>
    <w:rsid w:val="1DC136C9"/>
    <w:rsid w:val="214D2E1E"/>
    <w:rsid w:val="21F73AF2"/>
    <w:rsid w:val="23883F50"/>
    <w:rsid w:val="24C93CD8"/>
    <w:rsid w:val="24E835CF"/>
    <w:rsid w:val="282A37D0"/>
    <w:rsid w:val="326329B3"/>
    <w:rsid w:val="34481C4C"/>
    <w:rsid w:val="3567787B"/>
    <w:rsid w:val="364C51F0"/>
    <w:rsid w:val="386D04A2"/>
    <w:rsid w:val="3C062CAD"/>
    <w:rsid w:val="58251DDC"/>
    <w:rsid w:val="59A06F0E"/>
    <w:rsid w:val="5F533CAB"/>
    <w:rsid w:val="66296C18"/>
    <w:rsid w:val="68C2388E"/>
    <w:rsid w:val="6DF65BBA"/>
    <w:rsid w:val="6F286C4E"/>
    <w:rsid w:val="724E1F86"/>
    <w:rsid w:val="73F30113"/>
    <w:rsid w:val="77676C2F"/>
    <w:rsid w:val="78877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11"/>
    <w:basedOn w:val="14"/>
    <w:uiPriority w:val="0"/>
    <w:rPr>
      <w:rFonts w:hint="eastAsia" w:ascii="宋体" w:hAnsi="宋体" w:eastAsia="宋体" w:cs="宋体"/>
      <w:color w:val="FF0000"/>
      <w:sz w:val="20"/>
      <w:szCs w:val="20"/>
      <w:u w:val="none"/>
    </w:rPr>
  </w:style>
  <w:style w:type="character" w:customStyle="1" w:styleId="35">
    <w:name w:val="font122"/>
    <w:basedOn w:val="14"/>
    <w:uiPriority w:val="0"/>
    <w:rPr>
      <w:rFonts w:hint="eastAsia" w:ascii="宋体" w:hAnsi="宋体" w:eastAsia="宋体" w:cs="宋体"/>
      <w:color w:val="000000"/>
      <w:sz w:val="24"/>
      <w:szCs w:val="24"/>
      <w:u w:val="single"/>
    </w:rPr>
  </w:style>
  <w:style w:type="character" w:customStyle="1" w:styleId="36">
    <w:name w:val="font101"/>
    <w:basedOn w:val="14"/>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5</TotalTime>
  <ScaleCrop>false</ScaleCrop>
  <LinksUpToDate>false</LinksUpToDate>
  <CharactersWithSpaces>11263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2021-07-05T07:51:30Z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9C715AAECA884F55A9461866D6FA45E2</vt:lpwstr>
  </property>
</Properties>
</file>