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eastAsia" w:ascii="宋体" w:hAnsi="宋体" w:eastAsia="宋体"/>
          <w:sz w:val="32"/>
          <w:szCs w:val="28"/>
          <w:lang w:eastAsia="zh-CN"/>
        </w:rPr>
      </w:pPr>
      <w:r>
        <w:rPr>
          <w:rFonts w:hint="eastAsia" w:ascii="宋体" w:hAnsi="宋体"/>
          <w:sz w:val="32"/>
          <w:szCs w:val="28"/>
          <w:lang w:eastAsia="zh-CN"/>
        </w:rPr>
        <w:t>小棒热坯输送提升改造土建工程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7004XBRPTJGC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小棒热坯输送提升改造土建工程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highlight w:val="none"/>
          <w:u w:val="none"/>
        </w:rPr>
        <w:t>建筑工程施工总承包叁级及以上</w:t>
      </w:r>
      <w:r>
        <w:rPr>
          <w:rFonts w:hint="eastAsia" w:ascii="宋体" w:hAnsi="宋体"/>
          <w:bCs/>
          <w:color w:val="FF0000"/>
          <w:sz w:val="24"/>
          <w:szCs w:val="24"/>
          <w:highlight w:val="none"/>
          <w:u w:val="none"/>
        </w:rPr>
        <w:t>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12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小棒热坯输送提升改造土建工程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小棒热坯输送提升改造土建工程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小棒热坯输送提升改造土建工程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07</w:t>
      </w:r>
      <w:r>
        <w:rPr>
          <w:rFonts w:hint="eastAsia" w:ascii="宋体" w:hAnsi="宋体" w:cs="宋体"/>
          <w:bCs/>
          <w:color w:val="FF0000"/>
          <w:kern w:val="36"/>
        </w:rPr>
        <w:t>月</w:t>
      </w:r>
      <w:r>
        <w:rPr>
          <w:rFonts w:hint="eastAsia" w:ascii="宋体" w:hAnsi="宋体" w:cs="宋体"/>
          <w:bCs/>
          <w:color w:val="FF0000"/>
          <w:kern w:val="36"/>
          <w:u w:val="single"/>
          <w:lang w:val="en-US" w:eastAsia="zh-CN"/>
        </w:rPr>
        <w:t>12</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对已有设备基础及平台破除改造、液压沟等施工。工作量：土方开挖约120m3，土方回填约25m3，钢筋砼凿除约100m3，砼浇筑约250m3，钢筋制安约25t，钢结构制安约2t，预埋螺栓、预埋件制安约3t，成品预埋螺栓安装约5t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rPr>
      </w:pPr>
      <w:r>
        <w:rPr>
          <w:rFonts w:hint="eastAsia" w:ascii="宋体" w:hAnsi="宋体"/>
        </w:rPr>
        <w:t>开工日期：2021年</w:t>
      </w:r>
      <w:r>
        <w:rPr>
          <w:rFonts w:hint="eastAsia" w:ascii="宋体" w:hAnsi="宋体"/>
          <w:lang w:val="en-US" w:eastAsia="zh-CN"/>
        </w:rPr>
        <w:t>8</w:t>
      </w:r>
      <w:r>
        <w:rPr>
          <w:rFonts w:hint="eastAsia" w:ascii="宋体" w:hAnsi="宋体"/>
        </w:rPr>
        <w:t>月</w:t>
      </w:r>
      <w:r>
        <w:rPr>
          <w:rFonts w:hint="eastAsia" w:ascii="宋体" w:hAnsi="宋体"/>
          <w:lang w:val="en-US" w:eastAsia="zh-CN"/>
        </w:rPr>
        <w:t>1</w:t>
      </w:r>
      <w:r>
        <w:rPr>
          <w:rFonts w:hint="eastAsia" w:ascii="宋体" w:hAnsi="宋体"/>
        </w:rPr>
        <w:t xml:space="preserve">日（暂定）                                          </w:t>
      </w:r>
    </w:p>
    <w:p>
      <w:pPr>
        <w:spacing w:line="360" w:lineRule="exact"/>
        <w:rPr>
          <w:rFonts w:hint="eastAsia" w:ascii="宋体" w:hAnsi="宋体"/>
        </w:rPr>
      </w:pPr>
      <w:r>
        <w:rPr>
          <w:rFonts w:hint="eastAsia" w:ascii="宋体" w:hAnsi="宋体"/>
        </w:rPr>
        <w:t>竣工日期：2021年</w:t>
      </w:r>
      <w:r>
        <w:rPr>
          <w:rFonts w:hint="eastAsia" w:ascii="宋体" w:hAnsi="宋体"/>
          <w:lang w:val="en-US" w:eastAsia="zh-CN"/>
        </w:rPr>
        <w:t>9</w:t>
      </w:r>
      <w:r>
        <w:rPr>
          <w:rFonts w:hint="eastAsia" w:ascii="宋体" w:hAnsi="宋体"/>
        </w:rPr>
        <w:t>月</w:t>
      </w:r>
      <w:r>
        <w:rPr>
          <w:rFonts w:hint="eastAsia" w:ascii="宋体" w:hAnsi="宋体"/>
          <w:lang w:val="en-US" w:eastAsia="zh-CN"/>
        </w:rPr>
        <w:t>30</w:t>
      </w:r>
      <w:r>
        <w:rPr>
          <w:rFonts w:hint="eastAsia" w:ascii="宋体" w:hAnsi="宋体"/>
        </w:rPr>
        <w:t xml:space="preserve">日                                              </w:t>
      </w:r>
    </w:p>
    <w:p>
      <w:pPr>
        <w:spacing w:line="360" w:lineRule="exact"/>
        <w:rPr>
          <w:rFonts w:hint="eastAsia"/>
          <w:kern w:val="36"/>
        </w:rPr>
      </w:pPr>
      <w:r>
        <w:rPr>
          <w:rFonts w:hint="eastAsia" w:ascii="宋体" w:hAnsi="宋体"/>
        </w:rPr>
        <w:t>合同工期总日历天数</w:t>
      </w:r>
      <w:r>
        <w:rPr>
          <w:rFonts w:hint="eastAsia" w:ascii="宋体" w:hAnsi="宋体"/>
          <w:lang w:val="en-US" w:eastAsia="zh-CN"/>
        </w:rPr>
        <w:t>60</w:t>
      </w:r>
      <w:r>
        <w:rPr>
          <w:rFonts w:hint="eastAsia" w:ascii="宋体" w:hAnsi="宋体"/>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color w:val="FF0000"/>
          <w:kern w:val="2"/>
          <w:sz w:val="21"/>
          <w:szCs w:val="22"/>
          <w:lang w:val="en-US" w:eastAsia="zh-CN" w:bidi="ar-SA"/>
        </w:rPr>
        <w:t>该工程钢筋由发包人提供，其他所有材料由承包人提供。</w:t>
      </w:r>
      <w:r>
        <w:rPr>
          <w:rFonts w:hint="eastAsia" w:ascii="宋体" w:hAnsi="宋体" w:cs="宋体" w:eastAsiaTheme="minorEastAsia"/>
          <w:bCs/>
          <w:kern w:val="2"/>
          <w:sz w:val="21"/>
          <w:szCs w:val="22"/>
          <w:lang w:val="en-US" w:eastAsia="zh-CN" w:bidi="ar-SA"/>
        </w:rPr>
        <w:t>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单价包干部分钢材价格以</w:t>
      </w:r>
      <w:r>
        <w:rPr>
          <w:rFonts w:hint="eastAsia" w:ascii="宋体" w:hAnsi="宋体" w:cs="宋体" w:eastAsiaTheme="minorEastAsia"/>
          <w:bCs/>
          <w:color w:val="FF0000"/>
          <w:kern w:val="2"/>
          <w:sz w:val="21"/>
          <w:szCs w:val="22"/>
          <w:lang w:val="en-US" w:eastAsia="zh-CN" w:bidi="ar-SA"/>
        </w:rPr>
        <w:t>2021年第5期</w:t>
      </w:r>
      <w:r>
        <w:rPr>
          <w:rFonts w:hint="eastAsia" w:ascii="宋体" w:hAnsi="宋体" w:cs="宋体" w:eastAsiaTheme="minorEastAsia"/>
          <w:bCs/>
          <w:kern w:val="2"/>
          <w:sz w:val="21"/>
          <w:szCs w:val="22"/>
          <w:lang w:val="en-US" w:eastAsia="zh-CN" w:bidi="ar-SA"/>
        </w:rPr>
        <w:t>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w:t>
      </w:r>
      <w:r>
        <w:rPr>
          <w:rFonts w:hint="eastAsia" w:ascii="宋体" w:hAnsi="宋体"/>
          <w:bCs/>
        </w:rPr>
        <w:t>拦标价</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b/>
          <w:bCs/>
          <w:sz w:val="32"/>
          <w:szCs w:val="32"/>
          <w:u w:val="single"/>
          <w:lang w:eastAsia="zh-CN"/>
        </w:rPr>
        <w:t>小棒热坯输送提升机改造土建工程</w:t>
      </w:r>
      <w:r>
        <w:rPr>
          <w:rFonts w:hint="eastAsia" w:ascii="宋体" w:hAnsi="宋体"/>
          <w:b/>
          <w:bCs/>
          <w:sz w:val="32"/>
          <w:szCs w:val="32"/>
        </w:rPr>
        <w:t>报价单</w:t>
      </w:r>
    </w:p>
    <w:tbl>
      <w:tblPr>
        <w:tblStyle w:val="13"/>
        <w:tblW w:w="14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32"/>
        <w:gridCol w:w="662"/>
        <w:gridCol w:w="906"/>
        <w:gridCol w:w="1677"/>
        <w:gridCol w:w="9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78"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432"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662"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906"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677"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9169"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4" w:type="dxa"/>
            <w:gridSpan w:val="6"/>
            <w:noWrap w:val="0"/>
            <w:vAlign w:val="center"/>
          </w:tcPr>
          <w:p>
            <w:pPr>
              <w:jc w:val="left"/>
              <w:rPr>
                <w:rFonts w:ascii="宋体" w:hAnsi="宋体" w:cs="宋体"/>
                <w:sz w:val="21"/>
                <w:szCs w:val="21"/>
              </w:rPr>
            </w:pPr>
            <w:r>
              <w:rPr>
                <w:rFonts w:hint="eastAsia" w:ascii="宋体" w:hAnsi="宋体" w:cs="宋体"/>
                <w:sz w:val="21"/>
                <w:szCs w:val="21"/>
              </w:rPr>
              <w:t>一、单价</w:t>
            </w:r>
            <w:r>
              <w:rPr>
                <w:rFonts w:hint="eastAsia" w:ascii="宋体" w:hAnsi="宋体" w:cs="宋体"/>
                <w:sz w:val="21"/>
                <w:szCs w:val="21"/>
                <w:lang w:val="en-US" w:eastAsia="zh-CN"/>
              </w:rPr>
              <w:t>包干</w:t>
            </w:r>
            <w:r>
              <w:rPr>
                <w:rFonts w:hint="eastAsia" w:ascii="宋体" w:hAnsi="宋体" w:cs="宋体"/>
                <w:sz w:val="21"/>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78"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4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土方开挖</w:t>
            </w:r>
          </w:p>
        </w:tc>
        <w:tc>
          <w:tcPr>
            <w:tcW w:w="662" w:type="dxa"/>
            <w:noWrap w:val="0"/>
            <w:vAlign w:val="center"/>
          </w:tcPr>
          <w:p>
            <w:pPr>
              <w:jc w:val="center"/>
              <w:rPr>
                <w:rFonts w:hint="default" w:ascii="宋体" w:hAnsi="宋体" w:cs="宋体"/>
                <w:sz w:val="21"/>
                <w:szCs w:val="21"/>
                <w:vertAlign w:val="superscript"/>
                <w:lang w:val="en-US"/>
              </w:rPr>
            </w:pPr>
            <w:r>
              <w:rPr>
                <w:rFonts w:hint="eastAsia" w:ascii="宋体" w:hAnsi="宋体" w:cs="宋体"/>
                <w:i w:val="0"/>
                <w:color w:val="000000"/>
                <w:kern w:val="0"/>
                <w:sz w:val="21"/>
                <w:szCs w:val="21"/>
                <w:u w:val="none"/>
                <w:vertAlign w:val="baseline"/>
                <w:lang w:val="en-US" w:eastAsia="zh-CN" w:bidi="ar"/>
              </w:rPr>
              <w:t>m</w:t>
            </w:r>
            <w:r>
              <w:rPr>
                <w:rFonts w:hint="eastAsia" w:ascii="宋体" w:hAnsi="宋体" w:cs="宋体"/>
                <w:i w:val="0"/>
                <w:color w:val="000000"/>
                <w:kern w:val="0"/>
                <w:sz w:val="21"/>
                <w:szCs w:val="21"/>
                <w:u w:val="none"/>
                <w:vertAlign w:val="superscript"/>
                <w:lang w:val="en-US" w:eastAsia="zh-CN" w:bidi="ar"/>
              </w:rPr>
              <w:t>3</w:t>
            </w:r>
          </w:p>
        </w:tc>
        <w:tc>
          <w:tcPr>
            <w:tcW w:w="906"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1677" w:type="dxa"/>
            <w:noWrap w:val="0"/>
            <w:vAlign w:val="center"/>
          </w:tcPr>
          <w:p>
            <w:pPr>
              <w:widowControl/>
              <w:jc w:val="right"/>
              <w:rPr>
                <w:rFonts w:hint="eastAsia" w:ascii="宋体" w:hAnsi="宋体" w:cs="宋体"/>
                <w:sz w:val="21"/>
                <w:szCs w:val="21"/>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3</w:t>
            </w:r>
          </w:p>
        </w:tc>
        <w:tc>
          <w:tcPr>
            <w:tcW w:w="9169"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包括开挖、装车、外排、人工清底等涉及的全部工序及人工费、机械费、材料费、措施费、不可竞争费、税金、水电费等全部费用。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8"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4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土方回填</w:t>
            </w:r>
          </w:p>
        </w:tc>
        <w:tc>
          <w:tcPr>
            <w:tcW w:w="662" w:type="dxa"/>
            <w:noWrap w:val="0"/>
            <w:vAlign w:val="center"/>
          </w:tcPr>
          <w:p>
            <w:pPr>
              <w:jc w:val="center"/>
              <w:rPr>
                <w:rFonts w:ascii="宋体" w:hAnsi="宋体" w:cs="宋体"/>
                <w:sz w:val="21"/>
                <w:szCs w:val="21"/>
              </w:rPr>
            </w:pPr>
            <w:r>
              <w:rPr>
                <w:rFonts w:hint="eastAsia" w:ascii="宋体" w:hAnsi="宋体" w:cs="宋体"/>
                <w:i w:val="0"/>
                <w:color w:val="000000"/>
                <w:kern w:val="0"/>
                <w:sz w:val="21"/>
                <w:szCs w:val="21"/>
                <w:u w:val="none"/>
                <w:vertAlign w:val="baseline"/>
                <w:lang w:val="en-US" w:eastAsia="zh-CN" w:bidi="ar"/>
              </w:rPr>
              <w:t>m</w:t>
            </w:r>
            <w:r>
              <w:rPr>
                <w:rFonts w:hint="eastAsia" w:ascii="宋体" w:hAnsi="宋体" w:cs="宋体"/>
                <w:i w:val="0"/>
                <w:color w:val="000000"/>
                <w:kern w:val="0"/>
                <w:sz w:val="21"/>
                <w:szCs w:val="21"/>
                <w:u w:val="none"/>
                <w:vertAlign w:val="superscript"/>
                <w:lang w:val="en-US" w:eastAsia="zh-CN" w:bidi="ar"/>
              </w:rPr>
              <w:t>3</w:t>
            </w:r>
          </w:p>
        </w:tc>
        <w:tc>
          <w:tcPr>
            <w:tcW w:w="906"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677" w:type="dxa"/>
            <w:noWrap w:val="0"/>
            <w:vAlign w:val="center"/>
          </w:tcPr>
          <w:p>
            <w:pPr>
              <w:widowControl/>
              <w:jc w:val="right"/>
              <w:rPr>
                <w:rFonts w:ascii="宋体" w:hAnsi="宋体" w:cs="宋体"/>
                <w:sz w:val="21"/>
                <w:szCs w:val="21"/>
                <w:u w:val="single"/>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3</w:t>
            </w:r>
          </w:p>
        </w:tc>
        <w:tc>
          <w:tcPr>
            <w:tcW w:w="9169"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包括装车、运输、回填、平整、夯实等涉及的全部工序及人工费、机械费、材料费、措施费、不可竞争费、税金、水电费等全部费用。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578"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4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钢筋砼凿除</w:t>
            </w:r>
          </w:p>
        </w:tc>
        <w:tc>
          <w:tcPr>
            <w:tcW w:w="662" w:type="dxa"/>
            <w:noWrap w:val="0"/>
            <w:vAlign w:val="center"/>
          </w:tcPr>
          <w:p>
            <w:pPr>
              <w:jc w:val="center"/>
              <w:rPr>
                <w:rFonts w:hint="eastAsia" w:ascii="宋体" w:hAnsi="宋体" w:cs="宋体"/>
                <w:sz w:val="21"/>
                <w:szCs w:val="21"/>
              </w:rPr>
            </w:pPr>
            <w:r>
              <w:rPr>
                <w:rFonts w:hint="eastAsia" w:ascii="宋体" w:hAnsi="宋体" w:cs="宋体"/>
                <w:i w:val="0"/>
                <w:color w:val="000000"/>
                <w:kern w:val="0"/>
                <w:sz w:val="21"/>
                <w:szCs w:val="21"/>
                <w:u w:val="none"/>
                <w:vertAlign w:val="baseline"/>
                <w:lang w:val="en-US" w:eastAsia="zh-CN" w:bidi="ar"/>
              </w:rPr>
              <w:t>m</w:t>
            </w:r>
            <w:r>
              <w:rPr>
                <w:rFonts w:hint="eastAsia" w:ascii="宋体" w:hAnsi="宋体" w:cs="宋体"/>
                <w:i w:val="0"/>
                <w:color w:val="000000"/>
                <w:kern w:val="0"/>
                <w:sz w:val="21"/>
                <w:szCs w:val="21"/>
                <w:u w:val="none"/>
                <w:vertAlign w:val="superscript"/>
                <w:lang w:val="en-US" w:eastAsia="zh-CN" w:bidi="ar"/>
              </w:rPr>
              <w:t>3</w:t>
            </w:r>
          </w:p>
        </w:tc>
        <w:tc>
          <w:tcPr>
            <w:tcW w:w="90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677"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3</w:t>
            </w:r>
          </w:p>
        </w:tc>
        <w:tc>
          <w:tcPr>
            <w:tcW w:w="9169"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包括凿除、装车、外排等涉及的全部工序及人工费、机械费、材料费、措施费、不可竞争费、税金、水电费等全部费用。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8"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43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砼垫层</w:t>
            </w:r>
          </w:p>
        </w:tc>
        <w:tc>
          <w:tcPr>
            <w:tcW w:w="662" w:type="dxa"/>
            <w:noWrap w:val="0"/>
            <w:vAlign w:val="center"/>
          </w:tcPr>
          <w:p>
            <w:pPr>
              <w:jc w:val="center"/>
              <w:rPr>
                <w:rFonts w:hint="default" w:ascii="宋体" w:hAnsi="宋体" w:cs="宋体"/>
                <w:sz w:val="21"/>
                <w:szCs w:val="21"/>
                <w:vertAlign w:val="superscript"/>
                <w:lang w:val="en-US" w:eastAsia="zh-CN"/>
              </w:rPr>
            </w:pPr>
            <w:r>
              <w:rPr>
                <w:rFonts w:hint="eastAsia" w:ascii="宋体" w:hAnsi="宋体" w:cs="宋体"/>
                <w:i w:val="0"/>
                <w:color w:val="000000"/>
                <w:kern w:val="0"/>
                <w:sz w:val="21"/>
                <w:szCs w:val="21"/>
                <w:u w:val="none"/>
                <w:vertAlign w:val="baseline"/>
                <w:lang w:val="en-US" w:eastAsia="zh-CN" w:bidi="ar"/>
              </w:rPr>
              <w:t>m</w:t>
            </w:r>
            <w:r>
              <w:rPr>
                <w:rFonts w:hint="eastAsia" w:ascii="宋体" w:hAnsi="宋体" w:cs="宋体"/>
                <w:i w:val="0"/>
                <w:color w:val="000000"/>
                <w:kern w:val="0"/>
                <w:sz w:val="21"/>
                <w:szCs w:val="21"/>
                <w:u w:val="none"/>
                <w:vertAlign w:val="superscript"/>
                <w:lang w:val="en-US" w:eastAsia="zh-CN" w:bidi="ar"/>
              </w:rPr>
              <w:t>3</w:t>
            </w:r>
          </w:p>
        </w:tc>
        <w:tc>
          <w:tcPr>
            <w:tcW w:w="906"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677"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3</w:t>
            </w:r>
          </w:p>
        </w:tc>
        <w:tc>
          <w:tcPr>
            <w:tcW w:w="916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000000"/>
                <w:kern w:val="0"/>
                <w:sz w:val="21"/>
                <w:szCs w:val="21"/>
                <w:u w:val="none"/>
                <w:lang w:val="en-US" w:eastAsia="zh-CN" w:bidi="ar"/>
              </w:rPr>
              <w:t>包括卸车、运输、倒运、支模、对拉丝、浇筑、养生等涉及的全部工序及人工费、机械费、材料费、措施费、不可竞争费、税金、水电费等全部费用。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43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砼浇筑</w:t>
            </w:r>
          </w:p>
        </w:tc>
        <w:tc>
          <w:tcPr>
            <w:tcW w:w="662" w:type="dxa"/>
            <w:noWrap w:val="0"/>
            <w:vAlign w:val="center"/>
          </w:tcPr>
          <w:p>
            <w:pPr>
              <w:jc w:val="center"/>
              <w:rPr>
                <w:rFonts w:hint="default" w:ascii="宋体" w:hAnsi="宋体" w:cs="宋体"/>
                <w:sz w:val="21"/>
                <w:szCs w:val="21"/>
                <w:lang w:val="en-US" w:eastAsia="zh-CN"/>
              </w:rPr>
            </w:pPr>
            <w:r>
              <w:rPr>
                <w:rFonts w:hint="eastAsia" w:ascii="宋体" w:hAnsi="宋体" w:cs="宋体"/>
                <w:i w:val="0"/>
                <w:color w:val="000000"/>
                <w:kern w:val="0"/>
                <w:sz w:val="21"/>
                <w:szCs w:val="21"/>
                <w:u w:val="none"/>
                <w:vertAlign w:val="baseline"/>
                <w:lang w:val="en-US" w:eastAsia="zh-CN" w:bidi="ar"/>
              </w:rPr>
              <w:t>m</w:t>
            </w:r>
            <w:r>
              <w:rPr>
                <w:rFonts w:hint="eastAsia" w:ascii="宋体" w:hAnsi="宋体" w:cs="宋体"/>
                <w:i w:val="0"/>
                <w:color w:val="000000"/>
                <w:kern w:val="0"/>
                <w:sz w:val="21"/>
                <w:szCs w:val="21"/>
                <w:u w:val="none"/>
                <w:vertAlign w:val="superscript"/>
                <w:lang w:val="en-US" w:eastAsia="zh-CN" w:bidi="ar"/>
              </w:rPr>
              <w:t>3</w:t>
            </w:r>
          </w:p>
        </w:tc>
        <w:tc>
          <w:tcPr>
            <w:tcW w:w="906"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677"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3</w:t>
            </w:r>
          </w:p>
        </w:tc>
        <w:tc>
          <w:tcPr>
            <w:tcW w:w="9169"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包括卸车、运输、倒运、脚手架、支模、对拉丝、浇筑、养生等涉及的全部工序及人工费、机械费、材料费、措施费、不可竞争费、税金、水电费等全部费用。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143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钢筋制安</w:t>
            </w:r>
          </w:p>
        </w:tc>
        <w:tc>
          <w:tcPr>
            <w:tcW w:w="662" w:type="dxa"/>
            <w:noWrap w:val="0"/>
            <w:vAlign w:val="center"/>
          </w:tcPr>
          <w:p>
            <w:pPr>
              <w:jc w:val="center"/>
              <w:rPr>
                <w:rFonts w:hint="default" w:ascii="宋体" w:hAnsi="宋体" w:cs="宋体"/>
                <w:sz w:val="21"/>
                <w:szCs w:val="21"/>
                <w:vertAlign w:val="superscript"/>
                <w:lang w:val="en-US" w:eastAsia="zh-CN"/>
              </w:rPr>
            </w:pPr>
            <w:r>
              <w:rPr>
                <w:rFonts w:hint="eastAsia" w:ascii="宋体" w:hAnsi="宋体" w:cs="宋体"/>
                <w:i w:val="0"/>
                <w:color w:val="000000"/>
                <w:kern w:val="0"/>
                <w:sz w:val="21"/>
                <w:szCs w:val="21"/>
                <w:u w:val="none"/>
                <w:vertAlign w:val="baseline"/>
                <w:lang w:val="en-US" w:eastAsia="zh-CN" w:bidi="ar"/>
              </w:rPr>
              <w:t>t</w:t>
            </w:r>
          </w:p>
        </w:tc>
        <w:tc>
          <w:tcPr>
            <w:tcW w:w="906"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677"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t</w:t>
            </w:r>
          </w:p>
        </w:tc>
        <w:tc>
          <w:tcPr>
            <w:tcW w:w="9169"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包括卸车、运输、倒运、制作、安装等涉及的全部工序及人工费、机械费、材料费（不包含钢筋主材费用）、措施费、不可竞争费、税金、水电费等全部费用。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7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432"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钢结构制安</w:t>
            </w:r>
          </w:p>
        </w:tc>
        <w:tc>
          <w:tcPr>
            <w:tcW w:w="662"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0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77"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916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包括钢梯、平台、栏杆、盖板等所有钢构制安，包括卸车、运输、倒运、制作、安装、除锈、刷漆等涉及的全部工序及人工费、机械费、材料费、措施费、不可竞争费、税金、水电费等全部费用。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4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预埋螺栓、预埋件制安</w:t>
            </w:r>
          </w:p>
        </w:tc>
        <w:tc>
          <w:tcPr>
            <w:tcW w:w="662" w:type="dxa"/>
            <w:noWrap w:val="0"/>
            <w:vAlign w:val="center"/>
          </w:tcPr>
          <w:p>
            <w:pPr>
              <w:jc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vertAlign w:val="baseline"/>
                <w:lang w:val="en-US" w:eastAsia="zh-CN" w:bidi="ar"/>
              </w:rPr>
              <w:t>t</w:t>
            </w:r>
          </w:p>
        </w:tc>
        <w:tc>
          <w:tcPr>
            <w:tcW w:w="90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77"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vertAlign w:val="baseline"/>
                <w:lang w:val="en-US" w:eastAsia="zh-CN" w:bidi="ar"/>
              </w:rPr>
              <w:t>t</w:t>
            </w:r>
          </w:p>
        </w:tc>
        <w:tc>
          <w:tcPr>
            <w:tcW w:w="916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包括螺栓、埋件、预埋镀锌穿线管的卸车、运输、倒运、制作、安装等涉及的全部工序及人工费、机械费、材料费、措施费、不可竞争费、税金、水电费等全部费用。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noWrap w:val="0"/>
            <w:vAlign w:val="center"/>
          </w:tcPr>
          <w:p>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432"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成品预埋螺栓安装</w:t>
            </w:r>
          </w:p>
        </w:tc>
        <w:tc>
          <w:tcPr>
            <w:tcW w:w="662"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vertAlign w:val="baseline"/>
                <w:lang w:val="en-US" w:eastAsia="zh-CN" w:bidi="ar"/>
              </w:rPr>
              <w:t>t</w:t>
            </w:r>
          </w:p>
        </w:tc>
        <w:tc>
          <w:tcPr>
            <w:tcW w:w="90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77"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t</w:t>
            </w:r>
          </w:p>
        </w:tc>
        <w:tc>
          <w:tcPr>
            <w:tcW w:w="916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包括成品预埋螺栓的卸车、运输、倒运、安装等涉及的全部工序及人工费、机械费、材料费</w:t>
            </w:r>
            <w:r>
              <w:rPr>
                <w:rStyle w:val="34"/>
                <w:sz w:val="21"/>
                <w:szCs w:val="21"/>
                <w:lang w:val="en-US" w:eastAsia="zh-CN" w:bidi="ar"/>
              </w:rPr>
              <w:t>（不包含螺栓主材费用，成品螺栓由设备厂家提供）</w:t>
            </w:r>
            <w:r>
              <w:rPr>
                <w:rStyle w:val="25"/>
                <w:sz w:val="21"/>
                <w:szCs w:val="21"/>
                <w:lang w:val="en-US" w:eastAsia="zh-CN" w:bidi="ar"/>
              </w:rPr>
              <w:t>、措施费、不可竞争费、税金、水电费等全部费用。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424" w:type="dxa"/>
            <w:gridSpan w:val="6"/>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jc w:val="center"/>
        </w:trPr>
        <w:tc>
          <w:tcPr>
            <w:tcW w:w="578"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432" w:type="dxa"/>
            <w:noWrap w:val="0"/>
            <w:vAlign w:val="center"/>
          </w:tcPr>
          <w:p>
            <w:pPr>
              <w:jc w:val="left"/>
              <w:rPr>
                <w:rFonts w:hint="eastAsia" w:ascii="宋体" w:hAnsi="宋体" w:cs="宋体"/>
                <w:sz w:val="21"/>
                <w:szCs w:val="21"/>
              </w:rPr>
            </w:pPr>
            <w:r>
              <w:rPr>
                <w:rFonts w:hint="eastAsia"/>
                <w:sz w:val="21"/>
                <w:szCs w:val="21"/>
              </w:rPr>
              <w:t>优惠率（不包含材料费）</w:t>
            </w:r>
          </w:p>
        </w:tc>
        <w:tc>
          <w:tcPr>
            <w:tcW w:w="1568" w:type="dxa"/>
            <w:gridSpan w:val="2"/>
            <w:noWrap w:val="0"/>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sz w:val="21"/>
                <w:szCs w:val="21"/>
              </w:rPr>
              <w:t>暂</w:t>
            </w:r>
            <w:r>
              <w:rPr>
                <w:rFonts w:hint="eastAsia" w:ascii="宋体" w:hAnsi="宋体" w:cs="宋体"/>
                <w:sz w:val="21"/>
                <w:szCs w:val="21"/>
                <w:lang w:val="en-US" w:eastAsia="zh-CN"/>
              </w:rPr>
              <w:t>估</w:t>
            </w:r>
            <w:r>
              <w:rPr>
                <w:rFonts w:hint="eastAsia" w:ascii="宋体" w:hAnsi="宋体" w:cs="宋体"/>
                <w:sz w:val="21"/>
                <w:szCs w:val="21"/>
              </w:rPr>
              <w:t>金额</w:t>
            </w:r>
            <w:r>
              <w:rPr>
                <w:rFonts w:hint="eastAsia" w:ascii="宋体" w:hAnsi="宋体" w:cs="宋体"/>
                <w:sz w:val="21"/>
                <w:szCs w:val="21"/>
                <w:u w:val="single"/>
                <w:lang w:val="en-US" w:eastAsia="zh-CN"/>
              </w:rPr>
              <w:t>100000</w:t>
            </w:r>
            <w:r>
              <w:rPr>
                <w:rFonts w:hint="eastAsia" w:ascii="宋体" w:hAnsi="宋体" w:cs="宋体"/>
                <w:sz w:val="21"/>
                <w:szCs w:val="21"/>
              </w:rPr>
              <w:t>元</w:t>
            </w:r>
          </w:p>
        </w:tc>
        <w:tc>
          <w:tcPr>
            <w:tcW w:w="1677" w:type="dxa"/>
            <w:noWrap w:val="0"/>
            <w:vAlign w:val="center"/>
          </w:tcPr>
          <w:p>
            <w:pPr>
              <w:spacing w:before="156" w:beforeLines="50" w:after="156" w:afterLines="50"/>
              <w:jc w:val="left"/>
              <w:rPr>
                <w:rFonts w:hint="eastAsia" w:ascii="宋体" w:hAnsi="宋体" w:cs="宋体"/>
                <w:sz w:val="21"/>
                <w:szCs w:val="21"/>
                <w:u w:val="single"/>
              </w:rPr>
            </w:pPr>
            <w:r>
              <w:rPr>
                <w:rFonts w:hint="eastAsia" w:ascii="宋体" w:hAnsi="宋体" w:cs="宋体"/>
                <w:sz w:val="21"/>
                <w:szCs w:val="21"/>
              </w:rPr>
              <w:t>优惠</w:t>
            </w:r>
            <w:r>
              <w:rPr>
                <w:rFonts w:hint="eastAsia" w:ascii="宋体" w:hAnsi="宋体" w:cs="宋体"/>
                <w:sz w:val="21"/>
                <w:szCs w:val="21"/>
                <w:u w:val="single"/>
              </w:rPr>
              <w:t xml:space="preserve">     </w:t>
            </w:r>
            <w:r>
              <w:rPr>
                <w:rFonts w:hint="eastAsia" w:ascii="宋体" w:hAnsi="宋体" w:cs="宋体"/>
                <w:sz w:val="21"/>
                <w:szCs w:val="21"/>
              </w:rPr>
              <w:t>%</w:t>
            </w:r>
          </w:p>
        </w:tc>
        <w:tc>
          <w:tcPr>
            <w:tcW w:w="9169"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w:t>
            </w:r>
          </w:p>
        </w:tc>
      </w:tr>
    </w:tbl>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4D2E1E"/>
    <w:rsid w:val="21F73AF2"/>
    <w:rsid w:val="22574413"/>
    <w:rsid w:val="23883F50"/>
    <w:rsid w:val="24C93CD8"/>
    <w:rsid w:val="24E835CF"/>
    <w:rsid w:val="282A37D0"/>
    <w:rsid w:val="326329B3"/>
    <w:rsid w:val="34481C4C"/>
    <w:rsid w:val="47614EF9"/>
    <w:rsid w:val="492349FE"/>
    <w:rsid w:val="59545629"/>
    <w:rsid w:val="59A06F0E"/>
    <w:rsid w:val="5D882CE0"/>
    <w:rsid w:val="66296C1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2021-07-05T08:35:31Z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2FA7562817C24DA3BD1AB1BD62A1C4E2</vt:lpwstr>
  </property>
</Properties>
</file>