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6"/>
          <w:szCs w:val="32"/>
          <w:u w:val="none"/>
          <w:lang w:eastAsia="zh-CN"/>
        </w:rPr>
      </w:pPr>
      <w:r>
        <w:rPr>
          <w:rFonts w:hint="eastAsia" w:ascii="宋体" w:hAnsi="宋体"/>
          <w:sz w:val="36"/>
          <w:szCs w:val="32"/>
          <w:u w:val="none"/>
          <w:lang w:eastAsia="zh-CN"/>
        </w:rPr>
        <w:t>小棒热坯输送提升</w:t>
      </w:r>
      <w:r>
        <w:rPr>
          <w:rFonts w:hint="eastAsia" w:ascii="宋体" w:hAnsi="宋体"/>
          <w:sz w:val="36"/>
          <w:szCs w:val="32"/>
          <w:u w:val="none"/>
          <w:lang w:val="en-US" w:eastAsia="zh-CN"/>
        </w:rPr>
        <w:t>机</w:t>
      </w:r>
      <w:r>
        <w:rPr>
          <w:rFonts w:hint="eastAsia" w:ascii="宋体" w:hAnsi="宋体"/>
          <w:sz w:val="36"/>
          <w:szCs w:val="32"/>
          <w:u w:val="none"/>
          <w:lang w:eastAsia="zh-CN"/>
        </w:rPr>
        <w:t>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707XBRPSSTSJGZGC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ind w:firstLine="843" w:firstLineChars="300"/>
        <w:jc w:val="both"/>
        <w:rPr>
          <w:sz w:val="32"/>
          <w:szCs w:val="32"/>
        </w:rPr>
      </w:pP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u w:val="single"/>
          <w:lang w:eastAsia="zh-CN"/>
        </w:rPr>
        <w:t>小棒热坯输送提升</w:t>
      </w:r>
      <w:r>
        <w:rPr>
          <w:rFonts w:hint="eastAsia" w:ascii="宋体" w:hAnsi="宋体"/>
          <w:color w:val="FF0000"/>
          <w:sz w:val="24"/>
          <w:szCs w:val="22"/>
          <w:u w:val="single"/>
          <w:lang w:val="en-US" w:eastAsia="zh-CN"/>
        </w:rPr>
        <w:t>机</w:t>
      </w:r>
      <w:r>
        <w:rPr>
          <w:rFonts w:hint="eastAsia" w:ascii="宋体" w:hAnsi="宋体"/>
          <w:color w:val="FF0000"/>
          <w:sz w:val="24"/>
          <w:szCs w:val="22"/>
          <w:u w:val="single"/>
          <w:lang w:eastAsia="zh-CN"/>
        </w:rPr>
        <w:t>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562" w:hanging="562" w:hangingChars="200"/>
        <w:rPr>
          <w:rFonts w:ascii="宋体" w:hAnsi="宋体"/>
          <w:bCs/>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single"/>
        </w:rPr>
        <w:t xml:space="preserve"> 国家建设部门颁发的</w:t>
      </w:r>
      <w:r>
        <w:rPr>
          <w:rFonts w:hint="eastAsia" w:ascii="宋体" w:hAnsi="宋体"/>
          <w:bCs/>
          <w:color w:val="FF0000"/>
          <w:sz w:val="24"/>
          <w:szCs w:val="24"/>
          <w:u w:val="single"/>
          <w:lang w:val="en-US" w:eastAsia="zh-CN"/>
        </w:rPr>
        <w:t>机电</w:t>
      </w:r>
      <w:r>
        <w:rPr>
          <w:rFonts w:hint="eastAsia" w:ascii="宋体" w:hAnsi="宋体"/>
          <w:bCs/>
          <w:color w:val="FF0000"/>
          <w:sz w:val="24"/>
          <w:szCs w:val="24"/>
          <w:u w:val="single"/>
        </w:rPr>
        <w:t>工程施工总承包</w:t>
      </w:r>
      <w:r>
        <w:rPr>
          <w:rFonts w:hint="eastAsia"/>
          <w:color w:val="FF0000"/>
          <w:sz w:val="24"/>
          <w:szCs w:val="24"/>
          <w:u w:val="single"/>
        </w:rPr>
        <w:t>叁级</w:t>
      </w:r>
      <w:r>
        <w:rPr>
          <w:rFonts w:hint="eastAsia" w:ascii="宋体" w:hAnsi="宋体"/>
          <w:bCs/>
          <w:sz w:val="24"/>
          <w:szCs w:val="24"/>
          <w:u w:val="single"/>
        </w:rPr>
        <w:t>及以上资质证书</w:t>
      </w:r>
      <w:r>
        <w:rPr>
          <w:rFonts w:hint="eastAsia" w:ascii="宋体" w:hAnsi="宋体"/>
          <w:bCs/>
          <w:sz w:val="24"/>
          <w:szCs w:val="24"/>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机电工程</w:t>
      </w:r>
      <w:r>
        <w:rPr>
          <w:rFonts w:hint="eastAsia" w:hAnsi="宋体"/>
          <w:color w:val="auto"/>
          <w:sz w:val="24"/>
          <w:szCs w:val="24"/>
          <w:highlight w:val="none"/>
        </w:rPr>
        <w:t>专业</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二</w:t>
      </w:r>
      <w:r>
        <w:rPr>
          <w:rFonts w:hAnsi="宋体"/>
          <w:color w:val="auto"/>
          <w:sz w:val="24"/>
          <w:szCs w:val="24"/>
          <w:highlight w:val="none"/>
          <w:u w:val="single"/>
        </w:rPr>
        <w:t xml:space="preserve"> </w:t>
      </w:r>
      <w:r>
        <w:rPr>
          <w:rFonts w:hint="eastAsia" w:hAnsi="宋体"/>
          <w:color w:val="auto"/>
          <w:sz w:val="24"/>
          <w:szCs w:val="24"/>
          <w:highlight w:val="none"/>
        </w:rPr>
        <w:t>级注册建造师执业资格。</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hint="eastAsia" w:ascii="宋体" w:hAnsi="宋体"/>
          <w:bCs/>
          <w:color w:val="FF0000"/>
          <w:sz w:val="24"/>
          <w:szCs w:val="24"/>
          <w:lang w:val="en-US" w:eastAsia="zh-CN"/>
        </w:rPr>
        <w:t>13955377521</w:t>
      </w:r>
      <w:r>
        <w:rPr>
          <w:rFonts w:ascii="宋体" w:hAnsi="宋体"/>
          <w:bCs/>
          <w:color w:val="FF0000"/>
          <w:sz w:val="24"/>
          <w:szCs w:val="24"/>
        </w:rPr>
        <w:t>@1</w:t>
      </w:r>
      <w:r>
        <w:rPr>
          <w:rFonts w:hint="eastAsia" w:ascii="宋体" w:hAnsi="宋体"/>
          <w:bCs/>
          <w:color w:val="FF0000"/>
          <w:sz w:val="24"/>
          <w:szCs w:val="24"/>
          <w:lang w:val="en-US" w:eastAsia="zh-CN"/>
        </w:rPr>
        <w:t>39</w:t>
      </w:r>
      <w:r>
        <w:rPr>
          <w:rFonts w:ascii="宋体" w:hAnsi="宋体"/>
          <w:bCs/>
          <w:color w:val="FF0000"/>
          <w:sz w:val="24"/>
          <w:szCs w:val="24"/>
        </w:rPr>
        <w:t>.com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sz w:val="24"/>
          <w:szCs w:val="22"/>
          <w:u w:val="single"/>
          <w:lang w:eastAsia="zh-CN"/>
        </w:rPr>
        <w:t>小棒热坯输送提升</w:t>
      </w:r>
      <w:r>
        <w:rPr>
          <w:rFonts w:hint="eastAsia" w:ascii="宋体" w:hAnsi="宋体"/>
          <w:sz w:val="24"/>
          <w:szCs w:val="22"/>
          <w:u w:val="single"/>
          <w:lang w:val="en-US" w:eastAsia="zh-CN"/>
        </w:rPr>
        <w:t>机</w:t>
      </w:r>
      <w:r>
        <w:rPr>
          <w:rFonts w:hint="eastAsia" w:ascii="宋体" w:hAnsi="宋体"/>
          <w:sz w:val="24"/>
          <w:szCs w:val="22"/>
          <w:u w:val="single"/>
          <w:lang w:eastAsia="zh-CN"/>
        </w:rPr>
        <w:t>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w:t>
      </w:r>
      <w:r>
        <w:rPr>
          <w:rFonts w:hint="eastAsia" w:ascii="宋体" w:hAnsi="宋体" w:eastAsia="宋体" w:cs="宋体"/>
          <w:color w:val="2A2A2A"/>
          <w:kern w:val="0"/>
          <w:sz w:val="24"/>
          <w:szCs w:val="24"/>
          <w:lang w:val="en-US" w:eastAsia="zh-CN"/>
        </w:rPr>
        <w:t>刘伟</w:t>
      </w:r>
      <w:r>
        <w:rPr>
          <w:rFonts w:hint="eastAsia" w:ascii="宋体" w:hAnsi="宋体" w:eastAsia="宋体" w:cs="宋体"/>
          <w:color w:val="2A2A2A"/>
          <w:kern w:val="0"/>
          <w:sz w:val="24"/>
          <w:szCs w:val="24"/>
        </w:rPr>
        <w:t>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刘  伟</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u w:val="single"/>
          <w:lang w:eastAsia="zh-CN"/>
        </w:rPr>
        <w:t>小棒热坯输送提升</w:t>
      </w:r>
      <w:r>
        <w:rPr>
          <w:rFonts w:hint="eastAsia" w:ascii="宋体" w:hAnsi="宋体"/>
          <w:color w:val="FF0000"/>
          <w:sz w:val="24"/>
          <w:szCs w:val="22"/>
          <w:u w:val="single"/>
          <w:lang w:val="en-US" w:eastAsia="zh-CN"/>
        </w:rPr>
        <w:t>机</w:t>
      </w:r>
      <w:r>
        <w:rPr>
          <w:rFonts w:hint="eastAsia" w:ascii="宋体" w:hAnsi="宋体"/>
          <w:color w:val="FF0000"/>
          <w:sz w:val="24"/>
          <w:szCs w:val="22"/>
          <w:u w:val="single"/>
          <w:lang w:eastAsia="zh-CN"/>
        </w:rPr>
        <w:t>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szCs w:val="22"/>
          <w:u w:val="single"/>
          <w:lang w:eastAsia="zh-CN"/>
        </w:rPr>
        <w:t>小棒热坯输送提升</w:t>
      </w:r>
      <w:r>
        <w:rPr>
          <w:rFonts w:hint="eastAsia" w:ascii="宋体" w:hAnsi="宋体"/>
          <w:color w:val="FF0000"/>
          <w:sz w:val="24"/>
          <w:szCs w:val="22"/>
          <w:u w:val="single"/>
          <w:lang w:val="en-US" w:eastAsia="zh-CN"/>
        </w:rPr>
        <w:t>机</w:t>
      </w:r>
      <w:r>
        <w:rPr>
          <w:rFonts w:hint="eastAsia" w:ascii="宋体" w:hAnsi="宋体"/>
          <w:color w:val="FF0000"/>
          <w:sz w:val="24"/>
          <w:szCs w:val="22"/>
          <w:u w:val="single"/>
          <w:lang w:eastAsia="zh-CN"/>
        </w:rPr>
        <w:t>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300" w:lineRule="auto"/>
        <w:ind w:firstLine="420" w:firstLineChars="200"/>
        <w:rPr>
          <w:sz w:val="21"/>
          <w:szCs w:val="21"/>
          <w:u w:val="single"/>
        </w:rPr>
      </w:pPr>
      <w:r>
        <w:rPr>
          <w:rFonts w:hint="eastAsia" w:ascii="宋体" w:hAnsi="宋体"/>
          <w:sz w:val="21"/>
          <w:szCs w:val="20"/>
          <w:u w:val="single"/>
          <w:lang w:eastAsia="zh-CN"/>
        </w:rPr>
        <w:t>小棒热坯输送提升机改造安装工程</w:t>
      </w:r>
      <w:r>
        <w:rPr>
          <w:rFonts w:hint="eastAsia" w:ascii="宋体" w:hAnsi="宋体"/>
          <w:sz w:val="21"/>
          <w:szCs w:val="20"/>
          <w:u w:val="single"/>
        </w:rPr>
        <w:t>，</w:t>
      </w:r>
      <w:r>
        <w:rPr>
          <w:rFonts w:hint="eastAsia"/>
          <w:sz w:val="21"/>
          <w:szCs w:val="21"/>
          <w:u w:val="single"/>
        </w:rPr>
        <w:t>具体内容详见发包人确认下发的图纸</w:t>
      </w:r>
      <w:r>
        <w:rPr>
          <w:rFonts w:hint="eastAsia"/>
          <w:sz w:val="21"/>
          <w:szCs w:val="21"/>
          <w:u w:val="single"/>
          <w:lang w:val="en-US" w:eastAsia="zh-CN"/>
        </w:rPr>
        <w:t>和投标方现场踏勘</w:t>
      </w:r>
      <w:r>
        <w:rPr>
          <w:rFonts w:hint="eastAsia"/>
          <w:sz w:val="21"/>
          <w:szCs w:val="21"/>
          <w:u w:val="single"/>
        </w:rPr>
        <w:t>。</w:t>
      </w:r>
    </w:p>
    <w:p>
      <w:pPr>
        <w:numPr>
          <w:ilvl w:val="0"/>
          <w:numId w:val="2"/>
        </w:numPr>
        <w:spacing w:before="156" w:beforeLines="50" w:after="156" w:afterLines="50" w:line="300" w:lineRule="auto"/>
        <w:ind w:firstLine="420" w:firstLineChars="200"/>
        <w:rPr>
          <w:color w:val="auto"/>
          <w:sz w:val="21"/>
          <w:szCs w:val="21"/>
          <w:u w:val="single"/>
        </w:rPr>
      </w:pPr>
      <w:r>
        <w:rPr>
          <w:rFonts w:hint="eastAsia" w:ascii="宋体" w:hAnsi="宋体"/>
          <w:color w:val="auto"/>
          <w:sz w:val="21"/>
          <w:szCs w:val="20"/>
          <w:u w:val="single"/>
        </w:rPr>
        <w:t>工程概况和估算工作量：</w:t>
      </w:r>
      <w:r>
        <w:rPr>
          <w:rFonts w:hint="eastAsia" w:ascii="宋体" w:hAnsi="宋体"/>
          <w:color w:val="auto"/>
          <w:sz w:val="21"/>
          <w:szCs w:val="20"/>
          <w:u w:val="single"/>
          <w:lang w:eastAsia="zh-CN"/>
        </w:rPr>
        <w:t>小棒热坯输送提升机改造安装工程</w:t>
      </w:r>
      <w:r>
        <w:rPr>
          <w:rFonts w:hint="eastAsia" w:ascii="宋体" w:hAnsi="宋体"/>
          <w:color w:val="auto"/>
          <w:sz w:val="21"/>
          <w:szCs w:val="20"/>
          <w:u w:val="single"/>
        </w:rPr>
        <w:t>，</w:t>
      </w:r>
      <w:r>
        <w:rPr>
          <w:rFonts w:hint="eastAsia" w:ascii="宋体" w:hAnsi="宋体" w:eastAsia="宋体" w:cs="Times New Roman"/>
          <w:color w:val="auto"/>
          <w:sz w:val="21"/>
          <w:szCs w:val="20"/>
          <w:u w:val="single"/>
          <w:lang w:val="en-US" w:eastAsia="zh-CN"/>
        </w:rPr>
        <w:t>包含对原有提升机、辊道、拨钢机等设备拆除，新设备及部分利旧设备安装，配套液压管道、循环水管道等</w:t>
      </w:r>
      <w:r>
        <w:rPr>
          <w:rFonts w:hint="eastAsia" w:ascii="宋体" w:hAnsi="宋体" w:eastAsia="宋体" w:cs="Times New Roman"/>
          <w:color w:val="auto"/>
          <w:sz w:val="21"/>
          <w:szCs w:val="20"/>
          <w:u w:val="single"/>
          <w:lang w:eastAsia="zh-CN"/>
        </w:rPr>
        <w:t>施工。</w:t>
      </w:r>
      <w:r>
        <w:rPr>
          <w:rFonts w:hint="eastAsia" w:ascii="宋体" w:hAnsi="宋体"/>
          <w:color w:val="auto"/>
          <w:sz w:val="21"/>
          <w:szCs w:val="20"/>
          <w:u w:val="single"/>
        </w:rPr>
        <w:t>工作量：</w:t>
      </w:r>
      <w:r>
        <w:rPr>
          <w:rFonts w:hint="eastAsia" w:ascii="宋体" w:hAnsi="宋体"/>
          <w:color w:val="auto"/>
          <w:sz w:val="21"/>
          <w:szCs w:val="20"/>
          <w:u w:val="single"/>
          <w:lang w:val="en-US" w:eastAsia="zh-CN"/>
        </w:rPr>
        <w:t>利旧设备拆除、安装约17t</w:t>
      </w:r>
      <w:r>
        <w:rPr>
          <w:rFonts w:hint="eastAsia" w:ascii="宋体" w:hAnsi="宋体"/>
          <w:color w:val="auto"/>
          <w:sz w:val="21"/>
          <w:szCs w:val="20"/>
          <w:u w:val="single"/>
          <w:vertAlign w:val="baseline"/>
          <w:lang w:val="en-US" w:eastAsia="zh-CN"/>
        </w:rPr>
        <w:t>，设备拆除约32t，设备分解约32t，设备安装约56t</w:t>
      </w:r>
      <w:r>
        <w:rPr>
          <w:rFonts w:hint="eastAsia" w:ascii="宋体" w:hAnsi="宋体"/>
          <w:color w:val="auto"/>
          <w:sz w:val="21"/>
          <w:szCs w:val="20"/>
          <w:u w:val="single"/>
        </w:rPr>
        <w:t>等工作量。</w:t>
      </w:r>
    </w:p>
    <w:p>
      <w:pPr>
        <w:spacing w:line="360" w:lineRule="exact"/>
        <w:ind w:firstLine="420" w:firstLineChars="200"/>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spacing w:line="240" w:lineRule="auto"/>
        <w:ind w:right="4830" w:rightChars="2300" w:firstLine="0" w:firstLineChars="0"/>
        <w:rPr>
          <w:rFonts w:ascii="宋体" w:hAnsi="宋体" w:cs="宋体"/>
          <w:sz w:val="24"/>
        </w:rPr>
      </w:pPr>
      <w:r>
        <w:rPr>
          <w:rFonts w:hint="eastAsia" w:ascii="宋体" w:hAnsi="宋体" w:cs="宋体"/>
          <w:sz w:val="24"/>
          <w:szCs w:val="24"/>
        </w:rPr>
        <w:t>开工日期：</w:t>
      </w:r>
      <w:r>
        <w:rPr>
          <w:rFonts w:ascii="宋体" w:hAnsi="宋体"/>
          <w:bCs/>
          <w:sz w:val="24"/>
          <w:szCs w:val="24"/>
          <w:u w:val="single"/>
        </w:rPr>
        <w:t xml:space="preserve"> </w:t>
      </w:r>
      <w:r>
        <w:rPr>
          <w:rFonts w:hint="eastAsia" w:ascii="宋体" w:hAnsi="宋体"/>
          <w:bCs/>
          <w:sz w:val="24"/>
          <w:szCs w:val="24"/>
          <w:u w:val="single"/>
          <w:lang w:val="en-US" w:eastAsia="zh-CN"/>
        </w:rPr>
        <w:t>2021年8月1日</w:t>
      </w:r>
      <w:r>
        <w:rPr>
          <w:rFonts w:hint="eastAsia" w:ascii="宋体" w:hAnsi="宋体" w:cs="宋体"/>
          <w:sz w:val="24"/>
          <w:szCs w:val="24"/>
        </w:rPr>
        <w:t xml:space="preserve">  </w:t>
      </w:r>
      <w:r>
        <w:rPr>
          <w:rFonts w:hint="eastAsia" w:ascii="宋体" w:hAnsi="宋体" w:cs="宋体"/>
          <w:sz w:val="24"/>
          <w:szCs w:val="24"/>
          <w:lang w:val="en-US" w:eastAsia="zh-CN"/>
        </w:rPr>
        <w:t>(暂定）</w:t>
      </w: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2021年9月15日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kern w:val="36"/>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45</w:t>
      </w:r>
      <w:r>
        <w:rPr>
          <w:rFonts w:ascii="宋体" w:hAnsi="宋体" w:cs="宋体"/>
          <w:sz w:val="24"/>
          <w:szCs w:val="24"/>
          <w:u w:val="single"/>
        </w:rPr>
        <w:t xml:space="preserve"> </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sz w:val="22"/>
          <w:szCs w:val="22"/>
        </w:rPr>
      </w:pPr>
      <w:r>
        <w:rPr>
          <w:rFonts w:hint="eastAsia"/>
          <w:sz w:val="22"/>
          <w:szCs w:val="22"/>
        </w:rPr>
        <w:t>本工程预结算执行《建设工程预结算管理暂行办法》。</w:t>
      </w:r>
    </w:p>
    <w:p>
      <w:pPr>
        <w:numPr>
          <w:ilvl w:val="0"/>
          <w:numId w:val="3"/>
        </w:numPr>
        <w:spacing w:before="156" w:beforeLines="50" w:after="156" w:afterLines="50"/>
        <w:rPr>
          <w:strike w:val="0"/>
          <w:dstrike w:val="0"/>
          <w:sz w:val="22"/>
          <w:szCs w:val="22"/>
          <w:u w:val="none"/>
        </w:rPr>
      </w:pPr>
      <w:r>
        <w:rPr>
          <w:rFonts w:hint="eastAsia"/>
          <w:sz w:val="22"/>
          <w:szCs w:val="22"/>
        </w:rPr>
        <w:t>本工程按</w:t>
      </w:r>
      <w:r>
        <w:rPr>
          <w:rFonts w:hint="eastAsia"/>
          <w:b/>
          <w:bCs/>
          <w:sz w:val="22"/>
          <w:szCs w:val="22"/>
        </w:rPr>
        <w:t>单价包干</w:t>
      </w:r>
      <w:r>
        <w:rPr>
          <w:rFonts w:hint="eastAsia"/>
          <w:sz w:val="22"/>
          <w:szCs w:val="22"/>
        </w:rPr>
        <w:t>结合定额优惠率（材料费不参与总价优惠）的方式进行报价。未列分项工作量（执行优惠率部分）</w:t>
      </w:r>
      <w:r>
        <w:rPr>
          <w:rFonts w:hint="eastAsia" w:ascii="宋体" w:hAnsi="宋体" w:cs="宋体"/>
          <w:sz w:val="22"/>
          <w:szCs w:val="22"/>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2"/>
          <w:szCs w:val="22"/>
          <w:u w:val="none"/>
        </w:rPr>
        <w:t>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sz w:val="22"/>
          <w:szCs w:val="22"/>
        </w:rPr>
      </w:pPr>
      <w:r>
        <w:rPr>
          <w:rFonts w:hint="eastAsia"/>
          <w:color w:val="FF0000"/>
          <w:sz w:val="22"/>
          <w:szCs w:val="22"/>
          <w:u w:val="single"/>
        </w:rPr>
        <w:t>该工程</w:t>
      </w:r>
      <w:r>
        <w:rPr>
          <w:rFonts w:hint="eastAsia"/>
          <w:color w:val="FF0000"/>
          <w:sz w:val="22"/>
          <w:szCs w:val="22"/>
          <w:u w:val="single"/>
          <w:lang w:val="en-US" w:eastAsia="zh-CN"/>
        </w:rPr>
        <w:t>阀门</w:t>
      </w:r>
      <w:r>
        <w:rPr>
          <w:rFonts w:hint="eastAsia"/>
          <w:color w:val="FF0000"/>
          <w:sz w:val="22"/>
          <w:szCs w:val="22"/>
          <w:u w:val="single"/>
          <w:lang w:eastAsia="zh-CN"/>
        </w:rPr>
        <w:t>由发包人提供，</w:t>
      </w:r>
      <w:r>
        <w:rPr>
          <w:rFonts w:hint="eastAsia" w:ascii="宋体" w:hAnsi="宋体"/>
          <w:b w:val="0"/>
          <w:bCs w:val="0"/>
          <w:color w:val="FF0000"/>
          <w:sz w:val="22"/>
          <w:szCs w:val="21"/>
          <w:u w:val="single"/>
          <w:lang w:eastAsia="zh-CN"/>
        </w:rPr>
        <w:t>其他</w:t>
      </w:r>
      <w:r>
        <w:rPr>
          <w:rFonts w:hint="eastAsia" w:ascii="宋体" w:hAnsi="宋体"/>
          <w:b w:val="0"/>
          <w:bCs w:val="0"/>
          <w:color w:val="FF0000"/>
          <w:sz w:val="22"/>
          <w:szCs w:val="21"/>
          <w:u w:val="single"/>
        </w:rPr>
        <w:t>所有材料由承包人提供</w:t>
      </w:r>
      <w:r>
        <w:rPr>
          <w:rFonts w:hint="eastAsia"/>
          <w:sz w:val="22"/>
          <w:szCs w:val="22"/>
        </w:rPr>
        <w:t>。</w:t>
      </w:r>
    </w:p>
    <w:p>
      <w:pPr>
        <w:numPr>
          <w:ilvl w:val="0"/>
          <w:numId w:val="3"/>
        </w:numPr>
        <w:spacing w:before="156" w:beforeLines="50" w:after="156" w:afterLines="50"/>
        <w:rPr>
          <w:sz w:val="22"/>
          <w:szCs w:val="22"/>
        </w:rPr>
      </w:pPr>
      <w:r>
        <w:rPr>
          <w:rFonts w:hint="eastAsia"/>
          <w:sz w:val="22"/>
          <w:szCs w:val="22"/>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sz w:val="22"/>
          <w:szCs w:val="22"/>
        </w:rPr>
      </w:pPr>
      <w:r>
        <w:rPr>
          <w:sz w:val="22"/>
          <w:szCs w:val="22"/>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sz w:val="22"/>
          <w:szCs w:val="22"/>
        </w:rPr>
      </w:pPr>
      <w:r>
        <w:rPr>
          <w:sz w:val="22"/>
          <w:szCs w:val="22"/>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b w:val="0"/>
          <w:bCs w:val="0"/>
          <w:sz w:val="22"/>
          <w:szCs w:val="22"/>
        </w:rPr>
      </w:pPr>
      <w:r>
        <w:rPr>
          <w:sz w:val="22"/>
          <w:szCs w:val="22"/>
        </w:rPr>
        <w:t>发包人有权提出复检要求，承包人应无偿无条件满足抽检时发现承包人采购材料违规，有权处罚和收回采购权，收回采购权后发包人供应材料按进价（含税）加5%</w:t>
      </w:r>
      <w:r>
        <w:rPr>
          <w:b w:val="0"/>
          <w:bCs w:val="0"/>
          <w:sz w:val="22"/>
          <w:szCs w:val="22"/>
        </w:rPr>
        <w:t>管理费结算（从承包价扣除）。</w:t>
      </w:r>
    </w:p>
    <w:p>
      <w:pPr>
        <w:numPr>
          <w:ilvl w:val="0"/>
          <w:numId w:val="3"/>
        </w:numPr>
        <w:spacing w:before="156" w:beforeLines="50" w:after="156" w:afterLines="50"/>
        <w:rPr>
          <w:color w:val="auto"/>
          <w:sz w:val="22"/>
          <w:szCs w:val="22"/>
          <w:u w:val="none"/>
        </w:rPr>
      </w:pPr>
      <w:r>
        <w:rPr>
          <w:rFonts w:hint="eastAsia"/>
          <w:color w:val="auto"/>
          <w:sz w:val="22"/>
          <w:szCs w:val="22"/>
          <w:u w:val="none"/>
        </w:rPr>
        <w:t>单价包干部分钢材价格以</w:t>
      </w:r>
      <w:r>
        <w:rPr>
          <w:rFonts w:hint="eastAsia"/>
          <w:b/>
          <w:bCs/>
          <w:color w:val="auto"/>
          <w:sz w:val="22"/>
          <w:szCs w:val="22"/>
          <w:u w:val="none"/>
        </w:rPr>
        <w:t>2021年</w:t>
      </w:r>
      <w:r>
        <w:rPr>
          <w:rFonts w:hint="eastAsia"/>
          <w:b/>
          <w:bCs/>
          <w:color w:val="auto"/>
          <w:sz w:val="22"/>
          <w:szCs w:val="22"/>
          <w:u w:val="none"/>
          <w:lang w:val="en-US" w:eastAsia="zh-CN"/>
        </w:rPr>
        <w:t>第5期</w:t>
      </w:r>
      <w:r>
        <w:rPr>
          <w:rFonts w:hint="eastAsia"/>
          <w:color w:val="auto"/>
          <w:sz w:val="22"/>
          <w:szCs w:val="22"/>
          <w:u w:val="none"/>
        </w:rPr>
        <w:t>芜湖市市场信息价为基准，芜湖市市场信息价没有的以合肥市市场信息价为基准，若施工期间材料单价涨跌幅超过±</w:t>
      </w:r>
      <w:r>
        <w:rPr>
          <w:color w:val="auto"/>
          <w:sz w:val="22"/>
          <w:szCs w:val="22"/>
          <w:u w:val="none"/>
        </w:rPr>
        <w:t>5</w:t>
      </w:r>
      <w:r>
        <w:rPr>
          <w:rFonts w:hint="eastAsia"/>
          <w:color w:val="auto"/>
          <w:sz w:val="22"/>
          <w:szCs w:val="22"/>
          <w:u w:val="none"/>
        </w:rPr>
        <w:t>%时，其超过部分据实调整钢材价格，芜湖和合肥市场信息价查询不到的不予调整。</w:t>
      </w:r>
    </w:p>
    <w:p>
      <w:pPr>
        <w:numPr>
          <w:ilvl w:val="0"/>
          <w:numId w:val="3"/>
        </w:numPr>
        <w:spacing w:before="156" w:beforeLines="50" w:after="156" w:afterLines="50"/>
        <w:rPr>
          <w:rFonts w:hint="eastAsia"/>
          <w:b w:val="0"/>
          <w:bCs w:val="0"/>
          <w:color w:val="auto"/>
          <w:sz w:val="22"/>
          <w:szCs w:val="22"/>
          <w:highlight w:val="none"/>
        </w:rPr>
      </w:pPr>
      <w:r>
        <w:rPr>
          <w:rFonts w:hint="eastAsia"/>
          <w:b w:val="0"/>
          <w:bCs w:val="0"/>
          <w:color w:val="auto"/>
          <w:sz w:val="22"/>
          <w:szCs w:val="22"/>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sz w:val="22"/>
          <w:szCs w:val="22"/>
          <w:highlight w:val="none"/>
        </w:rPr>
      </w:pPr>
      <w:r>
        <w:rPr>
          <w:rFonts w:hint="eastAsia"/>
          <w:sz w:val="22"/>
          <w:szCs w:val="22"/>
          <w:highlight w:val="none"/>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sz w:val="22"/>
          <w:szCs w:val="22"/>
        </w:rPr>
      </w:pPr>
      <w:r>
        <w:rPr>
          <w:rFonts w:hint="eastAsia"/>
          <w:sz w:val="22"/>
          <w:szCs w:val="22"/>
          <w:highlight w:val="none"/>
        </w:rPr>
        <w:t>工程内容按合同约定执行，开具增值税发票执行9%</w:t>
      </w:r>
      <w:r>
        <w:rPr>
          <w:rFonts w:hint="eastAsia"/>
          <w:sz w:val="22"/>
          <w:szCs w:val="22"/>
        </w:rPr>
        <w:t>税率。</w:t>
      </w:r>
    </w:p>
    <w:p>
      <w:pPr>
        <w:numPr>
          <w:ilvl w:val="0"/>
          <w:numId w:val="3"/>
        </w:numPr>
        <w:spacing w:beforeLines="50" w:afterLines="50" w:line="360" w:lineRule="exact"/>
        <w:ind w:left="420" w:leftChars="0" w:hanging="420" w:firstLineChars="0"/>
        <w:rPr>
          <w:rFonts w:hint="eastAsia" w:ascii="宋体" w:hAnsi="宋体"/>
          <w:sz w:val="22"/>
          <w:szCs w:val="22"/>
        </w:rPr>
      </w:pPr>
      <w:r>
        <w:rPr>
          <w:rFonts w:hint="eastAsia" w:ascii="宋体" w:hAnsi="宋体"/>
          <w:sz w:val="22"/>
          <w:szCs w:val="22"/>
        </w:rPr>
        <w:t>发包人在指定位置提供施工电源及水源，之外部分承包人自行承担，现场施工水电费结算时按合同总价的７‰扣除或装表据实扣除。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309"/>
        <w:gridCol w:w="2891"/>
        <w:gridCol w:w="3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restart"/>
            <w:vAlign w:val="center"/>
          </w:tcPr>
          <w:p>
            <w:pPr>
              <w:rPr>
                <w:rFonts w:ascii="宋体" w:hAnsi="宋体" w:cs="宋体"/>
                <w:color w:val="000000"/>
              </w:rPr>
            </w:pPr>
          </w:p>
        </w:tc>
        <w:tc>
          <w:tcPr>
            <w:tcW w:w="992" w:type="dxa"/>
            <w:vMerge w:val="restart"/>
            <w:vAlign w:val="center"/>
          </w:tcPr>
          <w:p>
            <w:pPr>
              <w:rPr>
                <w:rFonts w:ascii="宋体" w:hAnsi="宋体" w:cs="宋体"/>
                <w:color w:val="000000"/>
              </w:rPr>
            </w:pPr>
            <w:r>
              <w:rPr>
                <w:rFonts w:hint="eastAsia"/>
                <w:highlight w:val="none"/>
              </w:rPr>
              <w:t>施工方案  （</w:t>
            </w:r>
            <w:r>
              <w:rPr>
                <w:highlight w:val="none"/>
              </w:rPr>
              <w:t>4</w:t>
            </w:r>
            <w:r>
              <w:rPr>
                <w:rFonts w:hint="eastAsia"/>
                <w:highlight w:val="none"/>
              </w:rPr>
              <w:t>0分）</w:t>
            </w:r>
          </w:p>
        </w:tc>
        <w:tc>
          <w:tcPr>
            <w:tcW w:w="4200" w:type="dxa"/>
            <w:gridSpan w:val="2"/>
            <w:vAlign w:val="center"/>
          </w:tcPr>
          <w:p>
            <w:pPr>
              <w:rPr>
                <w:rFonts w:ascii="宋体" w:hAnsi="宋体" w:cs="宋体"/>
                <w:color w:val="000000"/>
              </w:rPr>
            </w:pPr>
            <w:r>
              <w:rPr>
                <w:rFonts w:hint="eastAsia"/>
              </w:rPr>
              <w:t>施工现场概况：2分</w:t>
            </w:r>
          </w:p>
        </w:tc>
        <w:tc>
          <w:tcPr>
            <w:tcW w:w="3880" w:type="dxa"/>
            <w:vAlign w:val="center"/>
          </w:tcPr>
          <w:p>
            <w:pPr>
              <w:rPr>
                <w:rFonts w:ascii="宋体" w:hAnsi="宋体" w:cs="宋体"/>
                <w:color w:val="000000"/>
              </w:rPr>
            </w:pPr>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1309" w:type="dxa"/>
            <w:vMerge w:val="restart"/>
            <w:vAlign w:val="center"/>
          </w:tcPr>
          <w:p>
            <w:pPr>
              <w:rPr>
                <w:rFonts w:ascii="宋体" w:hAnsi="宋体" w:cs="宋体"/>
                <w:color w:val="000000"/>
              </w:rPr>
            </w:pPr>
            <w:r>
              <w:rPr>
                <w:rFonts w:hint="eastAsia"/>
              </w:rPr>
              <w:t>施工方案及技术措施：共</w:t>
            </w:r>
            <w:r>
              <w:t>3</w:t>
            </w:r>
            <w:r>
              <w:rPr>
                <w:rFonts w:hint="eastAsia"/>
              </w:rPr>
              <w:t>0分</w:t>
            </w:r>
          </w:p>
        </w:tc>
        <w:tc>
          <w:tcPr>
            <w:tcW w:w="2891" w:type="dxa"/>
            <w:vAlign w:val="center"/>
          </w:tcPr>
          <w:p>
            <w:pPr>
              <w:rPr>
                <w:rFonts w:ascii="宋体" w:hAnsi="宋体" w:cs="宋体"/>
                <w:color w:val="000000"/>
              </w:rPr>
            </w:pPr>
            <w:r>
              <w:rPr>
                <w:rFonts w:hint="eastAsia"/>
              </w:rPr>
              <w:t>施工存在难度（</w:t>
            </w:r>
            <w:r>
              <w:t>6</w:t>
            </w:r>
            <w:r>
              <w:rPr>
                <w:rFonts w:hint="eastAsia"/>
              </w:rPr>
              <w:t>分）</w:t>
            </w:r>
          </w:p>
        </w:tc>
        <w:tc>
          <w:tcPr>
            <w:tcW w:w="3880" w:type="dxa"/>
            <w:vAlign w:val="center"/>
          </w:tcPr>
          <w:p>
            <w:pPr>
              <w:rPr>
                <w:rFonts w:ascii="宋体" w:hAnsi="宋体" w:cs="宋体"/>
                <w:color w:val="000000"/>
              </w:rPr>
            </w:pPr>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1309" w:type="dxa"/>
            <w:vMerge w:val="continue"/>
            <w:vAlign w:val="center"/>
          </w:tcPr>
          <w:p>
            <w:pPr>
              <w:rPr>
                <w:rFonts w:ascii="宋体" w:hAnsi="宋体" w:cs="宋体"/>
                <w:color w:val="000000"/>
              </w:rPr>
            </w:pPr>
          </w:p>
        </w:tc>
        <w:tc>
          <w:tcPr>
            <w:tcW w:w="2891" w:type="dxa"/>
            <w:vAlign w:val="center"/>
          </w:tcPr>
          <w:p>
            <w:pPr>
              <w:rPr>
                <w:rFonts w:ascii="宋体" w:hAnsi="宋体" w:cs="宋体"/>
                <w:color w:val="000000"/>
              </w:rPr>
            </w:pPr>
            <w:r>
              <w:rPr>
                <w:rFonts w:hint="eastAsia"/>
              </w:rPr>
              <w:t>采取的措施（6分）</w:t>
            </w:r>
          </w:p>
        </w:tc>
        <w:tc>
          <w:tcPr>
            <w:tcW w:w="3880" w:type="dxa"/>
            <w:vAlign w:val="center"/>
          </w:tcPr>
          <w:p>
            <w:pPr>
              <w:rPr>
                <w:rFonts w:ascii="宋体" w:hAnsi="宋体" w:cs="宋体"/>
                <w:color w:val="000000"/>
              </w:rPr>
            </w:pPr>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1309" w:type="dxa"/>
            <w:vMerge w:val="continue"/>
            <w:vAlign w:val="center"/>
          </w:tcPr>
          <w:p>
            <w:pPr>
              <w:rPr>
                <w:rFonts w:ascii="宋体" w:hAnsi="宋体" w:cs="宋体"/>
                <w:color w:val="000000"/>
              </w:rPr>
            </w:pPr>
          </w:p>
        </w:tc>
        <w:tc>
          <w:tcPr>
            <w:tcW w:w="2891" w:type="dxa"/>
            <w:vAlign w:val="center"/>
          </w:tcPr>
          <w:p>
            <w:pPr>
              <w:rPr>
                <w:rFonts w:ascii="宋体" w:hAnsi="宋体" w:cs="宋体"/>
                <w:color w:val="000000"/>
              </w:rPr>
            </w:pPr>
            <w:r>
              <w:rPr>
                <w:rFonts w:hint="eastAsia"/>
              </w:rPr>
              <w:t>人力投入计划（6分）</w:t>
            </w:r>
          </w:p>
        </w:tc>
        <w:tc>
          <w:tcPr>
            <w:tcW w:w="3880" w:type="dxa"/>
            <w:vAlign w:val="center"/>
          </w:tcPr>
          <w:p>
            <w:pPr>
              <w:rPr>
                <w:rFonts w:ascii="宋体" w:hAnsi="宋体" w:cs="宋体"/>
                <w:color w:val="000000"/>
              </w:rPr>
            </w:pPr>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1309" w:type="dxa"/>
            <w:vMerge w:val="continue"/>
            <w:vAlign w:val="center"/>
          </w:tcPr>
          <w:p>
            <w:pPr>
              <w:rPr>
                <w:rFonts w:ascii="宋体" w:hAnsi="宋体" w:cs="宋体"/>
                <w:color w:val="000000"/>
              </w:rPr>
            </w:pPr>
          </w:p>
        </w:tc>
        <w:tc>
          <w:tcPr>
            <w:tcW w:w="2891" w:type="dxa"/>
            <w:vAlign w:val="center"/>
          </w:tcPr>
          <w:p>
            <w:pPr>
              <w:rPr>
                <w:rFonts w:ascii="宋体" w:hAnsi="宋体" w:cs="宋体"/>
                <w:color w:val="000000"/>
              </w:rPr>
            </w:pPr>
            <w:r>
              <w:rPr>
                <w:rFonts w:hint="eastAsia"/>
              </w:rPr>
              <w:t>材料、机械投入计划（6分）</w:t>
            </w:r>
          </w:p>
        </w:tc>
        <w:tc>
          <w:tcPr>
            <w:tcW w:w="3880" w:type="dxa"/>
            <w:vAlign w:val="center"/>
          </w:tcPr>
          <w:p>
            <w:pPr>
              <w:rPr>
                <w:rFonts w:ascii="宋体" w:hAnsi="宋体" w:cs="宋体"/>
                <w:color w:val="000000"/>
              </w:rPr>
            </w:pPr>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1309" w:type="dxa"/>
            <w:vMerge w:val="continue"/>
            <w:vAlign w:val="center"/>
          </w:tcPr>
          <w:p>
            <w:pPr>
              <w:rPr>
                <w:rFonts w:ascii="宋体" w:hAnsi="宋体" w:cs="宋体"/>
                <w:color w:val="000000"/>
              </w:rPr>
            </w:pPr>
          </w:p>
        </w:tc>
        <w:tc>
          <w:tcPr>
            <w:tcW w:w="2891" w:type="dxa"/>
            <w:vAlign w:val="center"/>
          </w:tcPr>
          <w:p>
            <w:pPr>
              <w:rPr>
                <w:rFonts w:ascii="宋体" w:hAnsi="宋体" w:cs="宋体"/>
                <w:color w:val="000000"/>
              </w:rPr>
            </w:pPr>
            <w:r>
              <w:rPr>
                <w:rFonts w:hint="eastAsia"/>
              </w:rPr>
              <w:t>工期计划（6分）</w:t>
            </w:r>
            <w:bookmarkStart w:id="3" w:name="_GoBack"/>
            <w:bookmarkEnd w:id="3"/>
          </w:p>
        </w:tc>
        <w:tc>
          <w:tcPr>
            <w:tcW w:w="3880" w:type="dxa"/>
            <w:vAlign w:val="center"/>
          </w:tcPr>
          <w:p>
            <w:pPr>
              <w:rPr>
                <w:rFonts w:ascii="宋体" w:hAnsi="宋体" w:cs="宋体"/>
                <w:color w:val="000000"/>
              </w:rPr>
            </w:pPr>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4200" w:type="dxa"/>
            <w:gridSpan w:val="2"/>
            <w:vAlign w:val="center"/>
          </w:tcPr>
          <w:p>
            <w:pPr>
              <w:rPr>
                <w:rFonts w:ascii="宋体" w:hAnsi="宋体" w:cs="宋体"/>
                <w:color w:val="000000"/>
              </w:rPr>
            </w:pPr>
            <w:r>
              <w:rPr>
                <w:rFonts w:hint="eastAsia"/>
              </w:rPr>
              <w:t>现场安全隐患及防范措施，安全措施：5分</w:t>
            </w:r>
          </w:p>
        </w:tc>
        <w:tc>
          <w:tcPr>
            <w:tcW w:w="3880" w:type="dxa"/>
            <w:vAlign w:val="center"/>
          </w:tcPr>
          <w:p>
            <w:pPr>
              <w:rPr>
                <w:rFonts w:ascii="宋体" w:hAnsi="宋体" w:cs="宋体"/>
                <w:color w:val="000000"/>
              </w:rPr>
            </w:pPr>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rPr>
            </w:pPr>
          </w:p>
        </w:tc>
        <w:tc>
          <w:tcPr>
            <w:tcW w:w="4200" w:type="dxa"/>
            <w:gridSpan w:val="2"/>
            <w:vAlign w:val="center"/>
          </w:tcPr>
          <w:p>
            <w:pPr>
              <w:rPr>
                <w:rFonts w:ascii="宋体" w:hAnsi="宋体" w:cs="宋体"/>
                <w:color w:val="000000"/>
              </w:rPr>
            </w:pPr>
            <w:r>
              <w:rPr>
                <w:rFonts w:hint="eastAsia"/>
              </w:rPr>
              <w:t>现场质量保证措施及文明施工措施： 3分</w:t>
            </w:r>
          </w:p>
        </w:tc>
        <w:tc>
          <w:tcPr>
            <w:tcW w:w="3880" w:type="dxa"/>
            <w:vAlign w:val="center"/>
          </w:tcPr>
          <w:p>
            <w:pPr>
              <w:rPr>
                <w:rFonts w:ascii="宋体" w:hAnsi="宋体" w:cs="宋体"/>
                <w:color w:val="000000"/>
              </w:rPr>
            </w:pPr>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rPr>
                <w:rFonts w:ascii="宋体" w:hAnsi="宋体" w:cs="宋体"/>
                <w:color w:val="000000"/>
              </w:rPr>
            </w:pPr>
          </w:p>
        </w:tc>
        <w:tc>
          <w:tcPr>
            <w:tcW w:w="992" w:type="dxa"/>
            <w:vMerge w:val="restart"/>
            <w:vAlign w:val="center"/>
          </w:tcPr>
          <w:p>
            <w:pPr>
              <w:rPr>
                <w:rFonts w:ascii="宋体" w:hAnsi="宋体" w:cs="宋体"/>
                <w:color w:val="000000"/>
              </w:rPr>
            </w:pPr>
            <w:r>
              <w:rPr>
                <w:rFonts w:hint="eastAsia"/>
                <w:highlight w:val="none"/>
              </w:rPr>
              <w:t>企业信誉  （20分）</w:t>
            </w:r>
          </w:p>
        </w:tc>
        <w:tc>
          <w:tcPr>
            <w:tcW w:w="4200" w:type="dxa"/>
            <w:gridSpan w:val="2"/>
            <w:vAlign w:val="center"/>
          </w:tcPr>
          <w:p>
            <w:pPr>
              <w:rPr>
                <w:rFonts w:ascii="宋体" w:hAnsi="宋体" w:cs="宋体"/>
                <w:color w:val="000000"/>
                <w:kern w:val="0"/>
              </w:rPr>
            </w:pPr>
            <w:r>
              <w:rPr>
                <w:rFonts w:hint="eastAsia"/>
                <w:highlight w:val="none"/>
              </w:rPr>
              <w:t xml:space="preserve">企业资金状况及信用等级： </w:t>
            </w:r>
            <w:r>
              <w:rPr>
                <w:highlight w:val="none"/>
              </w:rPr>
              <w:t>2</w:t>
            </w:r>
            <w:r>
              <w:rPr>
                <w:rFonts w:hint="eastAsia"/>
                <w:highlight w:val="none"/>
              </w:rPr>
              <w:t>分</w:t>
            </w:r>
          </w:p>
        </w:tc>
        <w:tc>
          <w:tcPr>
            <w:tcW w:w="3880" w:type="dxa"/>
            <w:vAlign w:val="center"/>
          </w:tcPr>
          <w:p>
            <w:pPr>
              <w:rPr>
                <w:rFonts w:ascii="宋体" w:hAnsi="宋体" w:cs="宋体"/>
                <w:color w:val="000000"/>
                <w:u w:val="singl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kern w:val="0"/>
              </w:rPr>
            </w:pPr>
          </w:p>
        </w:tc>
        <w:tc>
          <w:tcPr>
            <w:tcW w:w="4200" w:type="dxa"/>
            <w:gridSpan w:val="2"/>
            <w:vAlign w:val="center"/>
          </w:tcPr>
          <w:p>
            <w:pPr>
              <w:rPr>
                <w:rFonts w:ascii="宋体" w:hAnsi="宋体" w:cs="宋体"/>
                <w:color w:val="000000"/>
                <w:kern w:val="0"/>
              </w:rPr>
            </w:pPr>
            <w:r>
              <w:rPr>
                <w:rFonts w:hint="eastAsia"/>
              </w:rPr>
              <w:t>项目经理业绩共</w:t>
            </w:r>
            <w:r>
              <w:t>2</w:t>
            </w:r>
            <w:r>
              <w:rPr>
                <w:rFonts w:hint="eastAsia"/>
              </w:rPr>
              <w:t>分</w:t>
            </w:r>
          </w:p>
        </w:tc>
        <w:tc>
          <w:tcPr>
            <w:tcW w:w="3880" w:type="dxa"/>
            <w:vAlign w:val="center"/>
          </w:tcPr>
          <w:p>
            <w:pPr>
              <w:rPr>
                <w:rFonts w:ascii="宋体" w:hAnsi="宋体" w:cs="宋体"/>
                <w:color w:val="000000"/>
                <w:u w:val="single"/>
              </w:rPr>
            </w:pPr>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kern w:val="0"/>
              </w:rPr>
            </w:pPr>
          </w:p>
        </w:tc>
        <w:tc>
          <w:tcPr>
            <w:tcW w:w="4200" w:type="dxa"/>
            <w:gridSpan w:val="2"/>
            <w:vAlign w:val="center"/>
          </w:tcPr>
          <w:p>
            <w:pPr>
              <w:rPr>
                <w:rFonts w:ascii="宋体" w:hAnsi="宋体" w:cs="宋体"/>
                <w:color w:val="000000"/>
                <w:kern w:val="0"/>
              </w:rPr>
            </w:pPr>
            <w:r>
              <w:rPr>
                <w:rFonts w:hint="eastAsia"/>
                <w:highlight w:val="none"/>
              </w:rPr>
              <w:t>企业类似项目业绩共1</w:t>
            </w:r>
            <w:r>
              <w:rPr>
                <w:highlight w:val="none"/>
              </w:rPr>
              <w:t>0</w:t>
            </w:r>
            <w:r>
              <w:rPr>
                <w:rFonts w:hint="eastAsia"/>
                <w:highlight w:val="none"/>
              </w:rPr>
              <w:t>分</w:t>
            </w:r>
          </w:p>
        </w:tc>
        <w:tc>
          <w:tcPr>
            <w:tcW w:w="3880" w:type="dxa"/>
            <w:vAlign w:val="center"/>
          </w:tcPr>
          <w:p>
            <w:pPr>
              <w:rPr>
                <w:rFonts w:ascii="宋体" w:hAnsi="宋体" w:cs="宋体"/>
                <w:color w:val="000000"/>
                <w:u w:val="singl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rPr>
                <w:rFonts w:ascii="宋体" w:hAnsi="宋体" w:cs="宋体"/>
                <w:color w:val="000000"/>
              </w:rPr>
            </w:pPr>
          </w:p>
        </w:tc>
        <w:tc>
          <w:tcPr>
            <w:tcW w:w="992" w:type="dxa"/>
            <w:vMerge w:val="continue"/>
            <w:vAlign w:val="center"/>
          </w:tcPr>
          <w:p>
            <w:pPr>
              <w:rPr>
                <w:rFonts w:ascii="宋体" w:hAnsi="宋体" w:cs="宋体"/>
                <w:color w:val="000000"/>
                <w:kern w:val="0"/>
              </w:rPr>
            </w:pPr>
          </w:p>
        </w:tc>
        <w:tc>
          <w:tcPr>
            <w:tcW w:w="4200" w:type="dxa"/>
            <w:gridSpan w:val="2"/>
            <w:vAlign w:val="center"/>
          </w:tcPr>
          <w:p>
            <w:pPr>
              <w:rPr>
                <w:rFonts w:ascii="宋体" w:hAnsi="宋体" w:cs="宋体"/>
                <w:color w:val="000000"/>
                <w:kern w:val="0"/>
              </w:rPr>
            </w:pPr>
            <w:r>
              <w:rPr>
                <w:rFonts w:hint="eastAsia"/>
              </w:rPr>
              <w:t>履约能力综合评估（财务信誉、工程履约信誉、结算信誉）共计6分</w:t>
            </w:r>
          </w:p>
        </w:tc>
        <w:tc>
          <w:tcPr>
            <w:tcW w:w="3880" w:type="dxa"/>
            <w:vAlign w:val="center"/>
          </w:tcPr>
          <w:p>
            <w:pPr>
              <w:rPr>
                <w:rFonts w:ascii="宋体" w:hAnsi="宋体" w:cs="宋体"/>
                <w:color w:val="000000"/>
                <w:u w:val="single"/>
              </w:rPr>
            </w:pPr>
            <w:r>
              <w:rPr>
                <w:rFonts w:hint="eastAsi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Align w:val="center"/>
          </w:tcPr>
          <w:p>
            <w:pPr>
              <w:rPr>
                <w:rFonts w:ascii="宋体" w:hAnsi="宋体" w:cs="宋体"/>
                <w:color w:val="000000"/>
              </w:rPr>
            </w:pPr>
            <w:r>
              <w:rPr>
                <w:rFonts w:hint="eastAsia"/>
              </w:rPr>
              <w:t>评分标准</w:t>
            </w:r>
          </w:p>
        </w:tc>
        <w:tc>
          <w:tcPr>
            <w:tcW w:w="992" w:type="dxa"/>
            <w:vAlign w:val="center"/>
          </w:tcPr>
          <w:p>
            <w:pPr>
              <w:rPr>
                <w:rFonts w:ascii="宋体" w:hAnsi="宋体" w:cs="宋体"/>
                <w:color w:val="000000"/>
              </w:rPr>
            </w:pPr>
            <w:r>
              <w:rPr>
                <w:rFonts w:hint="eastAsia"/>
              </w:rPr>
              <w:t>标价（40分）</w:t>
            </w:r>
          </w:p>
        </w:tc>
        <w:tc>
          <w:tcPr>
            <w:tcW w:w="8080" w:type="dxa"/>
            <w:gridSpan w:val="3"/>
            <w:vAlign w:val="center"/>
          </w:tcPr>
          <w:p>
            <w:pPr>
              <w:rPr>
                <w:rFonts w:ascii="宋体" w:hAnsi="宋体" w:cs="宋体"/>
                <w:color w:val="000000"/>
                <w:u w:val="single"/>
              </w:rPr>
            </w:pPr>
            <w:r>
              <w:rPr>
                <w:rFonts w:hint="eastAsia"/>
              </w:rPr>
              <w:t>满足招标文件要求的前提下，取所有投标方有效报价的最低价作为评标基准价，其得分为40分，其他投标方得分为：价格分=40*评标基准价÷有效报价。</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sectPr>
          <w:pgSz w:w="11906" w:h="16838"/>
          <w:pgMar w:top="1440" w:right="1418" w:bottom="1440" w:left="1418" w:header="851" w:footer="992" w:gutter="0"/>
          <w:cols w:space="720" w:num="1"/>
          <w:docGrid w:type="lines" w:linePitch="312" w:charSpace="0"/>
        </w:sectPr>
      </w:pPr>
      <w:r>
        <w:rPr>
          <w:rFonts w:hint="eastAsia" w:ascii="宋体" w:hAnsi="宋体" w:cs="宋体"/>
          <w:color w:val="000000"/>
        </w:rPr>
        <w:t>1.</w:t>
      </w:r>
      <w:r>
        <w:rPr>
          <w:rFonts w:hint="eastAsia" w:hAnsi="宋体"/>
          <w:sz w:val="21"/>
          <w:szCs w:val="21"/>
        </w:rPr>
        <w:t>因承包人原因，节点工期每延误1天，承包人向发包人支付违约金壹仟圆整（￥：1000元整）。竣工工期每延误1天，承包人向发包人支付违约金贰仟圆整（￥：2000元整）。</w:t>
      </w:r>
      <w:r>
        <w:rPr>
          <w:rFonts w:ascii="宋体" w:hAnsi="宋体" w:cs="宋体"/>
          <w:sz w:val="21"/>
          <w:szCs w:val="21"/>
        </w:rPr>
        <w:t>因承包人原因，工期延误7天以上或施工质量达不到要求，发包人有权终</w:t>
      </w:r>
      <w:r>
        <w:rPr>
          <w:rFonts w:ascii="宋体" w:hAnsi="宋体" w:cs="宋体"/>
          <w:color w:val="auto"/>
          <w:sz w:val="21"/>
          <w:szCs w:val="21"/>
        </w:rPr>
        <w:t>止合同，另行选择施工队伍</w:t>
      </w:r>
      <w:r>
        <w:rPr>
          <w:rFonts w:hint="eastAsia" w:ascii="宋体" w:hAnsi="宋体" w:cs="宋体"/>
          <w:color w:val="auto"/>
          <w:sz w:val="21"/>
          <w:szCs w:val="21"/>
        </w:rPr>
        <w:t>。</w:t>
      </w:r>
      <w:r>
        <w:rPr>
          <w:rFonts w:hint="eastAsia" w:ascii="宋体" w:hAnsi="宋体" w:cs="宋体"/>
          <w:b w:val="0"/>
          <w:bCs w:val="0"/>
          <w:color w:val="auto"/>
          <w:sz w:val="21"/>
          <w:szCs w:val="21"/>
        </w:rPr>
        <w:t>若中标方达不到合同中规定的合格标准，按不合格工程量造价的1.2倍向招标方支付违约金，同时中标方必须无条件返工直至合格。</w:t>
      </w:r>
    </w:p>
    <w:p>
      <w:pPr>
        <w:spacing w:line="360" w:lineRule="exact"/>
        <w:ind w:firstLine="210" w:firstLineChars="1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eastAsia="宋体"/>
          <w:color w:val="auto"/>
          <w:sz w:val="21"/>
          <w:szCs w:val="20"/>
          <w:lang w:eastAsia="zh-CN"/>
        </w:rPr>
      </w:pPr>
      <w:r>
        <w:rPr>
          <w:rFonts w:hint="eastAsia" w:ascii="宋体" w:hAnsi="宋体" w:cs="宋体"/>
          <w:color w:val="000000"/>
        </w:rPr>
        <w:t>2．双方约定的工程款（进度款）支付的方式：</w:t>
      </w:r>
      <w:r>
        <w:rPr>
          <w:rFonts w:hint="eastAsia"/>
          <w:sz w:val="21"/>
          <w:szCs w:val="21"/>
        </w:rPr>
        <w:t>以上工程无预付款</w:t>
      </w:r>
      <w:r>
        <w:rPr>
          <w:rFonts w:hint="eastAsia"/>
          <w:color w:val="auto"/>
          <w:sz w:val="21"/>
          <w:szCs w:val="20"/>
        </w:rPr>
        <w:t>；进度款按月支付已完工程量的70% ，付款前提供等额增值税专用发票。</w:t>
      </w:r>
    </w:p>
    <w:p>
      <w:pPr>
        <w:widowControl/>
        <w:spacing w:before="156" w:beforeLines="50" w:after="156" w:afterLines="50"/>
        <w:ind w:firstLine="420"/>
        <w:rPr>
          <w:sz w:val="21"/>
          <w:szCs w:val="21"/>
        </w:rPr>
      </w:pPr>
      <w:r>
        <w:rPr>
          <w:sz w:val="21"/>
          <w:szCs w:val="21"/>
        </w:rPr>
        <w:t>工程竣工验收合格、结算审核后付至审核价的9</w:t>
      </w:r>
      <w:r>
        <w:rPr>
          <w:rFonts w:hint="eastAsia"/>
          <w:sz w:val="21"/>
          <w:szCs w:val="21"/>
        </w:rPr>
        <w:t>7</w:t>
      </w:r>
      <w:r>
        <w:rPr>
          <w:sz w:val="21"/>
          <w:szCs w:val="21"/>
        </w:rPr>
        <w:t>%，留</w:t>
      </w:r>
      <w:r>
        <w:rPr>
          <w:rFonts w:hint="eastAsia"/>
          <w:sz w:val="21"/>
          <w:szCs w:val="21"/>
        </w:rPr>
        <w:t>3</w:t>
      </w:r>
      <w:r>
        <w:rPr>
          <w:sz w:val="21"/>
          <w:szCs w:val="21"/>
        </w:rPr>
        <w:t>%为质保金，质保金返还按保修规定。承包人应于发包人支付全部或部分工程款项前向发包人开具增值税专用发票，工程款以6个月承兑汇票支付</w:t>
      </w:r>
      <w:r>
        <w:rPr>
          <w:rFonts w:hint="eastAsia"/>
          <w:sz w:val="21"/>
          <w:szCs w:val="21"/>
        </w:rPr>
        <w:t>。</w:t>
      </w:r>
    </w:p>
    <w:p>
      <w:pPr>
        <w:spacing w:before="156" w:beforeLines="50" w:after="156" w:afterLines="50" w:line="360" w:lineRule="auto"/>
        <w:ind w:firstLine="420"/>
        <w:rPr>
          <w:rFonts w:hint="eastAsia" w:ascii="宋体" w:hAnsi="宋体" w:cs="宋体"/>
          <w:color w:val="000000"/>
        </w:rPr>
      </w:pPr>
      <w:r>
        <w:rPr>
          <w:rFonts w:hint="eastAsia" w:ascii="宋体"/>
          <w:sz w:val="21"/>
          <w:szCs w:val="21"/>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9"/>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spacing w:line="300" w:lineRule="auto"/>
        <w:jc w:val="center"/>
        <w:rPr>
          <w:rFonts w:hint="eastAsia" w:ascii="宋体" w:hAnsi="宋体"/>
          <w:b/>
          <w:bCs/>
          <w:sz w:val="36"/>
          <w:szCs w:val="36"/>
          <w:u w:val="single"/>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both"/>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b/>
          <w:bCs/>
          <w:sz w:val="36"/>
          <w:szCs w:val="36"/>
          <w:lang w:eastAsia="zh-CN"/>
        </w:rPr>
      </w:pPr>
    </w:p>
    <w:p>
      <w:pPr>
        <w:spacing w:line="300" w:lineRule="auto"/>
        <w:jc w:val="center"/>
        <w:rPr>
          <w:rFonts w:hint="eastAsia" w:ascii="宋体" w:hAnsi="宋体"/>
          <w:b/>
          <w:bCs/>
          <w:sz w:val="36"/>
          <w:szCs w:val="36"/>
        </w:rPr>
      </w:pPr>
      <w:r>
        <w:rPr>
          <w:rFonts w:hint="eastAsia"/>
          <w:b/>
          <w:bCs/>
          <w:sz w:val="36"/>
          <w:szCs w:val="36"/>
          <w:lang w:eastAsia="zh-CN"/>
        </w:rPr>
        <w:t>小棒热坯输送提升机改造安装工程</w:t>
      </w:r>
      <w:r>
        <w:rPr>
          <w:rFonts w:hint="eastAsia" w:ascii="宋体" w:hAnsi="宋体"/>
          <w:b/>
          <w:bCs/>
          <w:sz w:val="36"/>
          <w:szCs w:val="36"/>
        </w:rPr>
        <w:t>报价单</w:t>
      </w:r>
    </w:p>
    <w:tbl>
      <w:tblPr>
        <w:tblStyle w:val="13"/>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7"/>
        <w:gridCol w:w="728"/>
        <w:gridCol w:w="900"/>
        <w:gridCol w:w="1650"/>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3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28"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00"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650"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597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0"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利旧设备拆除、安装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1"/>
                <w:szCs w:val="21"/>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650" w:type="dxa"/>
            <w:noWrap w:val="0"/>
            <w:vAlign w:val="center"/>
          </w:tcPr>
          <w:p>
            <w:pPr>
              <w:widowControl/>
              <w:wordWrap/>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包括保护性拆除、运输、倒运、除锈、刷漆等涉及的全部工序及人工费、机械费、材料费、措施费、不可竞争费、税金、水电费等全部费用。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设备拆除</w:t>
            </w:r>
          </w:p>
        </w:tc>
        <w:tc>
          <w:tcPr>
            <w:tcW w:w="728"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0"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0"/>
                <w:szCs w:val="20"/>
                <w:u w:val="none"/>
                <w:lang w:val="en-US" w:eastAsia="zh-CN" w:bidi="ar"/>
              </w:rPr>
              <w:t>包括拆除、运输、倒运等涉及的全部工序及人工费、机械费、材料费、措施费、不可竞争费、税金、水电费等全部费用。由施工现场送至厂内指定地点。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设备分解</w:t>
            </w:r>
          </w:p>
        </w:tc>
        <w:tc>
          <w:tcPr>
            <w:tcW w:w="728"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包括分解成块（600mm以内）等涉及的全部工序及人工费、机械费、材料费、措施费、不可竞争费、税金、水电费等全部费用。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包括提升机设备、液压设备等所有设备的卸车、运输、倒运、检验、安装、调试、标识等涉及的全部工序及人工费、机械费、材料费、措施费、不可竞争费、税金、水电费等全部费用。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DN100及以下成品管安装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38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DN100及以下阀门安装</w:t>
            </w:r>
          </w:p>
        </w:tc>
        <w:tc>
          <w:tcPr>
            <w:tcW w:w="72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元/套</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38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液压管道安装</w:t>
            </w:r>
          </w:p>
        </w:tc>
        <w:tc>
          <w:tcPr>
            <w:tcW w:w="728"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900"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5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59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管件、管夹的卸车、运输、倒运、安装、试压、清洗、调试、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60"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387"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1628" w:type="dxa"/>
            <w:gridSpan w:val="2"/>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暂</w:t>
            </w:r>
            <w:r>
              <w:rPr>
                <w:rFonts w:hint="eastAsia" w:ascii="宋体" w:hAnsi="宋体" w:cs="宋体"/>
                <w:sz w:val="24"/>
                <w:szCs w:val="24"/>
                <w:lang w:val="en-US" w:eastAsia="zh-CN"/>
              </w:rPr>
              <w:t>估</w:t>
            </w:r>
            <w:r>
              <w:rPr>
                <w:rFonts w:hint="eastAsia" w:ascii="宋体" w:hAnsi="宋体" w:cs="宋体"/>
                <w:sz w:val="24"/>
                <w:szCs w:val="24"/>
              </w:rPr>
              <w:t>金额</w:t>
            </w:r>
            <w:r>
              <w:rPr>
                <w:rFonts w:hint="eastAsia" w:ascii="宋体" w:hAnsi="宋体" w:cs="宋体"/>
                <w:sz w:val="24"/>
                <w:szCs w:val="24"/>
                <w:u w:val="single"/>
                <w:lang w:val="en-US" w:eastAsia="zh-CN"/>
              </w:rPr>
              <w:t>50000</w:t>
            </w:r>
            <w:r>
              <w:rPr>
                <w:rFonts w:hint="eastAsia" w:ascii="宋体" w:hAnsi="宋体" w:cs="宋体"/>
                <w:sz w:val="24"/>
                <w:szCs w:val="24"/>
              </w:rPr>
              <w:t>元</w:t>
            </w:r>
          </w:p>
        </w:tc>
        <w:tc>
          <w:tcPr>
            <w:tcW w:w="1650" w:type="dxa"/>
            <w:noWrap w:val="0"/>
            <w:vAlign w:val="center"/>
          </w:tcPr>
          <w:p>
            <w:pPr>
              <w:spacing w:before="156" w:beforeLines="50" w:after="156" w:afterLines="50"/>
              <w:jc w:val="left"/>
              <w:rPr>
                <w:rFonts w:hint="eastAsia" w:ascii="宋体" w:hAnsi="宋体" w:cs="宋体"/>
                <w:sz w:val="24"/>
                <w:szCs w:val="24"/>
                <w:u w:val="single"/>
              </w:rPr>
            </w:pPr>
            <w:r>
              <w:rPr>
                <w:rFonts w:hint="eastAsia" w:ascii="宋体" w:hAnsi="宋体" w:cs="宋体"/>
                <w:sz w:val="24"/>
                <w:szCs w:val="24"/>
              </w:rPr>
              <w:t>优惠</w:t>
            </w:r>
            <w:r>
              <w:rPr>
                <w:rFonts w:hint="eastAsia" w:ascii="宋体" w:hAnsi="宋体" w:cs="宋体"/>
                <w:sz w:val="24"/>
                <w:szCs w:val="24"/>
                <w:u w:val="single"/>
              </w:rPr>
              <w:t xml:space="preserve">     </w:t>
            </w:r>
            <w:r>
              <w:rPr>
                <w:rFonts w:hint="eastAsia" w:ascii="宋体" w:hAnsi="宋体" w:cs="宋体"/>
                <w:sz w:val="24"/>
                <w:szCs w:val="24"/>
              </w:rPr>
              <w:t>%</w:t>
            </w:r>
          </w:p>
        </w:tc>
        <w:tc>
          <w:tcPr>
            <w:tcW w:w="5970"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w:t>
            </w:r>
          </w:p>
        </w:tc>
      </w:tr>
    </w:tbl>
    <w:p>
      <w:pPr>
        <w:spacing w:line="240" w:lineRule="auto"/>
        <w:jc w:val="left"/>
        <w:rPr>
          <w:rFonts w:hint="eastAsia"/>
          <w:b/>
          <w:sz w:val="28"/>
          <w:szCs w:val="28"/>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pStyle w:val="5"/>
        <w:spacing w:after="0" w:line="240" w:lineRule="auto"/>
        <w:jc w:val="center"/>
        <w:rPr>
          <w:b w:val="0"/>
          <w:bCs w:val="0"/>
          <w:color w:val="FF0000"/>
          <w:sz w:val="30"/>
          <w:szCs w:val="30"/>
        </w:rPr>
      </w:pPr>
    </w:p>
    <w:p>
      <w:pPr>
        <w:rPr>
          <w:b w:val="0"/>
          <w:bCs w:val="0"/>
          <w:color w:val="FF0000"/>
          <w:sz w:val="30"/>
          <w:szCs w:val="30"/>
        </w:rPr>
      </w:pPr>
    </w:p>
    <w:p>
      <w:pPr>
        <w:spacing w:line="300" w:lineRule="auto"/>
        <w:rPr>
          <w:rFonts w:hint="eastAsia"/>
          <w:b/>
        </w:rPr>
      </w:pPr>
    </w:p>
    <w:p>
      <w:pPr>
        <w:tabs>
          <w:tab w:val="left" w:pos="720"/>
          <w:tab w:val="left" w:pos="7200"/>
        </w:tabs>
        <w:snapToGrid w:val="0"/>
        <w:spacing w:line="240" w:lineRule="atLeast"/>
        <w:ind w:firstLine="1265" w:firstLineChars="600"/>
        <w:rPr>
          <w:rFonts w:hint="eastAsia"/>
          <w:b/>
        </w:rPr>
      </w:pPr>
      <w:r>
        <w:rPr>
          <w:b/>
        </w:rPr>
        <w:t xml:space="preserve">            </w:t>
      </w:r>
      <w:r>
        <w:rPr>
          <w:rFonts w:hint="eastAsia"/>
          <w:b/>
        </w:rPr>
        <w:t xml:space="preserve">           </w:t>
      </w: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ind w:firstLine="1265" w:firstLineChars="600"/>
        <w:rPr>
          <w:rFonts w:hint="eastAsia"/>
          <w:b/>
        </w:rPr>
      </w:pPr>
    </w:p>
    <w:p>
      <w:pPr>
        <w:tabs>
          <w:tab w:val="left" w:pos="720"/>
          <w:tab w:val="left" w:pos="7200"/>
        </w:tabs>
        <w:snapToGrid w:val="0"/>
        <w:spacing w:line="240" w:lineRule="atLeast"/>
        <w:rPr>
          <w:rFonts w:hint="eastAsia"/>
          <w:b/>
        </w:rPr>
      </w:pPr>
    </w:p>
    <w:p>
      <w:pPr>
        <w:tabs>
          <w:tab w:val="left" w:pos="720"/>
          <w:tab w:val="left" w:pos="7200"/>
        </w:tabs>
        <w:snapToGrid w:val="0"/>
        <w:spacing w:line="240" w:lineRule="atLeast"/>
        <w:ind w:firstLine="2530" w:firstLineChars="1200"/>
        <w:rPr>
          <w:rFonts w:hint="eastAsia" w:ascii="黑体" w:eastAsia="黑体"/>
          <w:b/>
          <w:sz w:val="28"/>
          <w:szCs w:val="28"/>
        </w:rPr>
      </w:pP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p>
    <w:p>
      <w:pPr>
        <w:tabs>
          <w:tab w:val="left" w:pos="720"/>
        </w:tabs>
        <w:snapToGrid w:val="0"/>
        <w:spacing w:line="240" w:lineRule="atLeast"/>
        <w:ind w:firstLine="1260" w:firstLineChars="600"/>
        <w:rPr>
          <w:rFonts w:hint="eastAsia" w:ascii="黑体" w:eastAsia="黑体"/>
          <w:b/>
          <w:sz w:val="28"/>
          <w:szCs w:val="28"/>
        </w:rPr>
      </w:pPr>
      <w:r>
        <w:rPr>
          <w:rFonts w:hint="eastAsia"/>
        </w:rPr>
        <w:pict>
          <v:shape id="对象 5" o:spid="_x0000_s1026" o:spt="75" type="#_x0000_t75" style="position:absolute;left:0pt;margin-left:-3.8pt;margin-top:2.4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rFonts w:hint="eastAsia" w:ascii="黑体" w:eastAsia="黑体"/>
          <w:b/>
          <w:sz w:val="28"/>
          <w:szCs w:val="28"/>
        </w:rPr>
        <w:t>Wuhu Xinxing Ductile Iron Pipes Co.,Ltd</w:t>
      </w:r>
    </w:p>
    <w:p>
      <w:pPr>
        <w:ind w:firstLine="2811" w:firstLineChars="10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6E3F0"/>
    <w:multiLevelType w:val="singleLevel"/>
    <w:tmpl w:val="AB76E3F0"/>
    <w:lvl w:ilvl="0" w:tentative="0">
      <w:start w:val="11"/>
      <w:numFmt w:val="chineseCounting"/>
      <w:suff w:val="nothing"/>
      <w:lvlText w:val="%1、"/>
      <w:lvlJc w:val="left"/>
      <w:rPr>
        <w:rFonts w:hint="eastAsia"/>
      </w:r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234F820"/>
    <w:multiLevelType w:val="singleLevel"/>
    <w:tmpl w:val="7234F820"/>
    <w:lvl w:ilvl="0" w:tentative="0">
      <w:start w:val="1"/>
      <w:numFmt w:val="decimal"/>
      <w:suff w:val="space"/>
      <w:lvlText w:val="%1."/>
      <w:lvlJc w:val="left"/>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10"/>
  </w:num>
  <w:num w:numId="3">
    <w:abstractNumId w:val="8"/>
  </w:num>
  <w:num w:numId="4">
    <w:abstractNumId w:val="11"/>
  </w:num>
  <w:num w:numId="5">
    <w:abstractNumId w:val="9"/>
  </w:num>
  <w:num w:numId="6">
    <w:abstractNumId w:val="4"/>
  </w:num>
  <w:num w:numId="7">
    <w:abstractNumId w:val="2"/>
  </w:num>
  <w:num w:numId="8">
    <w:abstractNumId w:val="5"/>
  </w:num>
  <w:num w:numId="9">
    <w:abstractNumId w:val="0"/>
  </w:num>
  <w:num w:numId="10">
    <w:abstractNumId w:val="1"/>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A6B3360"/>
    <w:rsid w:val="0DFC1491"/>
    <w:rsid w:val="1A3C34B8"/>
    <w:rsid w:val="1DC136C9"/>
    <w:rsid w:val="211513A7"/>
    <w:rsid w:val="214D2E1E"/>
    <w:rsid w:val="21F73AF2"/>
    <w:rsid w:val="23883F50"/>
    <w:rsid w:val="24C93CD8"/>
    <w:rsid w:val="24E835CF"/>
    <w:rsid w:val="25046EBE"/>
    <w:rsid w:val="27980F8C"/>
    <w:rsid w:val="282A37D0"/>
    <w:rsid w:val="326329B3"/>
    <w:rsid w:val="34481C4C"/>
    <w:rsid w:val="39F82DCA"/>
    <w:rsid w:val="41577A74"/>
    <w:rsid w:val="45F271D8"/>
    <w:rsid w:val="59A06F0E"/>
    <w:rsid w:val="5C7B43DC"/>
    <w:rsid w:val="66296C18"/>
    <w:rsid w:val="6EC26C26"/>
    <w:rsid w:val="724E1F86"/>
    <w:rsid w:val="738B4091"/>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10</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刘伟</cp:lastModifiedBy>
  <cp:lastPrinted>2020-11-26T06:22:00Z</cp:lastPrinted>
  <dcterms:modified xsi:type="dcterms:W3CDTF">2021-07-07T07:38:32Z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