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铸管部检修零星土建工程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06ZGTJGC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rPr>
        <w:t>铸管部检修零星土建工程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color w:val="FF0000"/>
          <w:sz w:val="24"/>
          <w:szCs w:val="24"/>
          <w:u w:val="none"/>
        </w:rPr>
      </w:pPr>
      <w:r>
        <w:rPr>
          <w:rFonts w:hint="eastAsia" w:ascii="宋体" w:hAnsi="宋体"/>
          <w:bCs/>
          <w:sz w:val="24"/>
          <w:szCs w:val="24"/>
        </w:rPr>
        <w:t>投标人须具有国家建设部门颁发的</w:t>
      </w:r>
      <w:r>
        <w:rPr>
          <w:rFonts w:hint="eastAsia" w:ascii="宋体" w:hAnsi="宋体"/>
          <w:bCs/>
          <w:color w:val="FF0000"/>
          <w:sz w:val="24"/>
          <w:szCs w:val="24"/>
          <w:u w:val="none"/>
        </w:rPr>
        <w:t>建筑工程施工总承包叁级及以上资质</w:t>
      </w:r>
      <w:r>
        <w:rPr>
          <w:rFonts w:hint="eastAsia" w:ascii="宋体" w:hAnsi="宋体"/>
          <w:bCs/>
          <w:color w:val="FF0000"/>
          <w:sz w:val="24"/>
          <w:szCs w:val="24"/>
          <w:u w:val="none"/>
          <w:lang w:eastAsia="zh-CN"/>
        </w:rPr>
        <w:t>，</w:t>
      </w:r>
      <w:r>
        <w:rPr>
          <w:rFonts w:hint="eastAsia" w:hAnsi="宋体"/>
          <w:color w:val="auto"/>
          <w:sz w:val="24"/>
          <w:szCs w:val="24"/>
          <w:u w:val="none"/>
        </w:rPr>
        <w:t>项目经理至少具有</w:t>
      </w:r>
      <w:r>
        <w:rPr>
          <w:rFonts w:hint="eastAsia" w:hAnsi="宋体"/>
          <w:color w:val="FF0000"/>
          <w:sz w:val="24"/>
          <w:szCs w:val="24"/>
          <w:u w:val="none"/>
          <w:lang w:val="en-US" w:eastAsia="zh-CN"/>
        </w:rPr>
        <w:t>建筑工程</w:t>
      </w:r>
      <w:r>
        <w:rPr>
          <w:rFonts w:hint="eastAsia" w:hAnsi="宋体"/>
          <w:color w:val="auto"/>
          <w:sz w:val="24"/>
          <w:szCs w:val="24"/>
          <w:u w:val="none"/>
          <w:lang w:val="en-US" w:eastAsia="zh-CN"/>
        </w:rPr>
        <w:t>专业</w:t>
      </w:r>
      <w:r>
        <w:rPr>
          <w:rFonts w:hint="eastAsia" w:hAnsi="宋体"/>
          <w:color w:val="FF0000"/>
          <w:sz w:val="24"/>
          <w:szCs w:val="24"/>
          <w:u w:val="none"/>
        </w:rPr>
        <w:t>二级</w:t>
      </w:r>
      <w:r>
        <w:rPr>
          <w:rFonts w:hint="eastAsia" w:hAnsi="宋体"/>
          <w:color w:val="auto"/>
          <w:sz w:val="24"/>
          <w:szCs w:val="24"/>
          <w:u w:val="none"/>
        </w:rPr>
        <w:t>建造师注册人员</w:t>
      </w:r>
      <w:r>
        <w:rPr>
          <w:rFonts w:hint="eastAsia" w:hAnsi="宋体"/>
          <w:color w:val="FF0000"/>
          <w:sz w:val="24"/>
          <w:szCs w:val="24"/>
          <w:u w:val="none"/>
        </w:rPr>
        <w:t>。</w:t>
      </w:r>
    </w:p>
    <w:p>
      <w:pPr>
        <w:pStyle w:val="2"/>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22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rPr>
        <w:t>铸管部检修零星土建工程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朱文涛</w:t>
      </w:r>
      <w:r>
        <w:rPr>
          <w:rFonts w:hint="eastAsia" w:ascii="宋体" w:hAnsi="宋体" w:eastAsia="宋体" w:cs="宋体"/>
          <w:color w:val="2A2A2A"/>
          <w:kern w:val="0"/>
          <w:sz w:val="24"/>
          <w:szCs w:val="24"/>
        </w:rPr>
        <w:t xml:space="preserve">        </w:t>
      </w:r>
      <w:r>
        <w:rPr>
          <w:rFonts w:ascii="宋体" w:hAnsi="宋体" w:eastAsia="宋体" w:cs="宋体"/>
          <w:color w:val="2A2A2A"/>
          <w:kern w:val="0"/>
          <w:sz w:val="24"/>
          <w:szCs w:val="24"/>
        </w:rPr>
        <w:t>15</w:t>
      </w:r>
      <w:r>
        <w:rPr>
          <w:rFonts w:hint="eastAsia" w:ascii="宋体" w:hAnsi="宋体" w:eastAsia="宋体" w:cs="宋体"/>
          <w:color w:val="2A2A2A"/>
          <w:kern w:val="0"/>
          <w:sz w:val="24"/>
          <w:szCs w:val="24"/>
        </w:rPr>
        <w:t>131563263</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rPr>
        <w:t>铸管部检修零星土建工程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rPr>
        <w:t>铸管部检修零星土建工程</w:t>
      </w:r>
      <w:bookmarkStart w:id="3" w:name="_GoBack"/>
      <w:bookmarkEnd w:id="3"/>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壹万陆仟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7</w:t>
      </w:r>
      <w:r>
        <w:rPr>
          <w:rFonts w:hint="eastAsia" w:ascii="宋体" w:hAnsi="宋体" w:cs="宋体"/>
          <w:bCs/>
          <w:color w:val="FF0000"/>
          <w:kern w:val="36"/>
        </w:rPr>
        <w:t>月</w:t>
      </w:r>
      <w:r>
        <w:rPr>
          <w:rFonts w:hint="eastAsia" w:ascii="宋体" w:hAnsi="宋体" w:cs="宋体"/>
          <w:bCs/>
          <w:color w:val="FF0000"/>
          <w:kern w:val="36"/>
          <w:u w:val="single"/>
          <w:lang w:val="en-US" w:eastAsia="zh-CN"/>
        </w:rPr>
        <w:t>22</w:t>
      </w:r>
      <w:r>
        <w:rPr>
          <w:rFonts w:hint="eastAsia" w:ascii="宋体" w:hAnsi="宋体" w:cs="宋体"/>
          <w:bCs/>
          <w:color w:val="FF0000"/>
          <w:kern w:val="36"/>
        </w:rPr>
        <w:t>日</w:t>
      </w:r>
      <w:r>
        <w:rPr>
          <w:rFonts w:hint="eastAsia" w:ascii="宋体" w:hAnsi="宋体" w:cs="宋体"/>
          <w:bCs/>
          <w:color w:val="FF0000"/>
          <w:kern w:val="36"/>
          <w:u w:val="single"/>
          <w:lang w:val="en-US" w:eastAsia="zh-CN"/>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szCs w:val="21"/>
        </w:rPr>
      </w:pPr>
      <w:r>
        <w:rPr>
          <w:rFonts w:hint="eastAsia"/>
        </w:rPr>
        <w:t>施工具体内</w:t>
      </w:r>
      <w:r>
        <w:rPr>
          <w:rFonts w:hint="eastAsia"/>
          <w:szCs w:val="21"/>
        </w:rPr>
        <w:t>容详见发包人确认下发的图纸。</w:t>
      </w:r>
    </w:p>
    <w:p>
      <w:pPr>
        <w:numPr>
          <w:ilvl w:val="0"/>
          <w:numId w:val="2"/>
        </w:numPr>
        <w:spacing w:line="360" w:lineRule="auto"/>
        <w:ind w:left="420" w:leftChars="0" w:hanging="420" w:firstLineChars="0"/>
        <w:rPr>
          <w:rFonts w:ascii="宋体" w:hAnsi="宋体"/>
          <w:sz w:val="24"/>
          <w:szCs w:val="22"/>
        </w:rPr>
      </w:pPr>
      <w:r>
        <w:rPr>
          <w:rFonts w:hint="eastAsia"/>
          <w:szCs w:val="21"/>
        </w:rPr>
        <w:t>工程概况和估算工作量：</w:t>
      </w:r>
    </w:p>
    <w:p>
      <w:pPr>
        <w:numPr>
          <w:ilvl w:val="0"/>
          <w:numId w:val="0"/>
        </w:numPr>
        <w:spacing w:beforeLines="50" w:afterLines="50" w:line="360" w:lineRule="exact"/>
        <w:ind w:leftChars="0"/>
        <w:rPr>
          <w:rFonts w:hint="eastAsia"/>
        </w:rPr>
      </w:pPr>
      <w:r>
        <w:rPr>
          <w:rFonts w:hint="eastAsia"/>
          <w:lang w:val="en-US" w:eastAsia="zh-CN"/>
        </w:rPr>
        <w:t>2.1铸管部</w:t>
      </w:r>
      <w:r>
        <w:rPr>
          <w:rFonts w:hint="eastAsia"/>
          <w:lang w:eastAsia="zh-CN"/>
        </w:rPr>
        <w:t>热模离心机埋地除尘管道土建工程</w:t>
      </w:r>
      <w:r>
        <w:rPr>
          <w:rFonts w:hint="eastAsia"/>
        </w:rPr>
        <w:t>，包含</w:t>
      </w:r>
      <w:r>
        <w:rPr>
          <w:rFonts w:hint="eastAsia"/>
          <w:lang w:val="en-US" w:eastAsia="zh-CN"/>
        </w:rPr>
        <w:t>平车轨道拆除与安装、埋地管道沟槽开挖与清底、检修井、钢筋砼箍圈、平车基础制作、地坪恢复</w:t>
      </w:r>
      <w:r>
        <w:rPr>
          <w:rFonts w:hint="eastAsia"/>
        </w:rPr>
        <w:t>等全部工程量。</w:t>
      </w:r>
    </w:p>
    <w:p>
      <w:pPr>
        <w:numPr>
          <w:ilvl w:val="0"/>
          <w:numId w:val="0"/>
        </w:numPr>
        <w:spacing w:beforeLines="50" w:afterLines="50" w:line="360" w:lineRule="exact"/>
        <w:ind w:leftChars="0"/>
        <w:rPr>
          <w:rFonts w:hint="eastAsia"/>
        </w:rPr>
      </w:pPr>
      <w:r>
        <w:rPr>
          <w:rFonts w:hint="eastAsia"/>
          <w:lang w:val="en-US" w:eastAsia="zh-CN"/>
        </w:rPr>
        <w:t>2.2铸管部水冷电炉土建工程，包含厂房柱包角凿除与恢复，地坪破除与修复，原有混凝土池壁凿毛，增加混凝土墙并做防水，植入钢筋、贴止水带</w:t>
      </w:r>
      <w:r>
        <w:rPr>
          <w:rFonts w:hint="eastAsia"/>
        </w:rPr>
        <w:t>等全部工程量。</w:t>
      </w:r>
    </w:p>
    <w:p>
      <w:pPr>
        <w:numPr>
          <w:ilvl w:val="0"/>
          <w:numId w:val="0"/>
        </w:numPr>
        <w:spacing w:beforeLines="50" w:afterLines="50" w:line="360" w:lineRule="exact"/>
        <w:ind w:leftChars="0"/>
        <w:rPr>
          <w:rFonts w:hint="eastAsia"/>
        </w:rPr>
      </w:pPr>
      <w:r>
        <w:rPr>
          <w:rFonts w:hint="eastAsia"/>
          <w:lang w:val="en-US" w:eastAsia="zh-CN"/>
        </w:rPr>
        <w:t>2.3铸管部水冷离心机土建工程，管道支架基础破除与恢复</w:t>
      </w:r>
      <w:r>
        <w:rPr>
          <w:rFonts w:hint="eastAsia"/>
        </w:rPr>
        <w:t>等全部工程量。</w:t>
      </w:r>
    </w:p>
    <w:p>
      <w:pPr>
        <w:numPr>
          <w:ilvl w:val="0"/>
          <w:numId w:val="0"/>
        </w:numPr>
        <w:spacing w:beforeLines="50" w:afterLines="50" w:line="360" w:lineRule="exact"/>
        <w:ind w:leftChars="0"/>
        <w:rPr>
          <w:rFonts w:hint="eastAsia"/>
          <w:szCs w:val="21"/>
          <w:lang w:val="en-US" w:eastAsia="zh-CN"/>
        </w:rPr>
      </w:pPr>
      <w:r>
        <w:rPr>
          <w:rFonts w:hint="eastAsia"/>
          <w:lang w:val="en-US" w:eastAsia="zh-CN"/>
        </w:rPr>
        <w:t>2.4铸管部热模电炉土建工程，厂房柱包角凿除与恢复、地坪破除与修复，炉台梁板柱拆除</w:t>
      </w:r>
      <w:r>
        <w:rPr>
          <w:rFonts w:hint="eastAsia"/>
        </w:rPr>
        <w:t>等全部工程量。</w:t>
      </w:r>
    </w:p>
    <w:p>
      <w:pPr>
        <w:spacing w:line="360" w:lineRule="exact"/>
        <w:rPr>
          <w:rFonts w:ascii="宋体" w:hAnsi="宋体"/>
        </w:rPr>
      </w:pPr>
      <w:r>
        <w:rPr>
          <w:rFonts w:hint="eastAsia" w:ascii="宋体" w:hAnsi="宋体"/>
        </w:rPr>
        <w:t>3.  投标有效期:90天。</w:t>
      </w:r>
    </w:p>
    <w:p>
      <w:pPr>
        <w:numPr>
          <w:ilvl w:val="0"/>
          <w:numId w:val="0"/>
        </w:numPr>
        <w:spacing w:line="360" w:lineRule="auto"/>
        <w:rPr>
          <w:rFonts w:hint="eastAsia" w:ascii="宋体" w:hAnsi="宋体"/>
          <w:b/>
        </w:rPr>
      </w:pPr>
      <w:r>
        <w:rPr>
          <w:rFonts w:hint="eastAsia" w:ascii="宋体" w:hAnsi="宋体"/>
          <w:b/>
        </w:rPr>
        <w:t>四、工期：</w:t>
      </w:r>
    </w:p>
    <w:p>
      <w:pPr>
        <w:numPr>
          <w:ilvl w:val="0"/>
          <w:numId w:val="0"/>
        </w:numPr>
        <w:spacing w:beforeLines="50" w:afterLines="50" w:line="360" w:lineRule="exact"/>
        <w:ind w:leftChars="0"/>
        <w:rPr>
          <w:rFonts w:hint="eastAsia"/>
          <w:lang w:val="en-US" w:eastAsia="zh-CN"/>
        </w:rPr>
      </w:pPr>
      <w:r>
        <w:rPr>
          <w:rFonts w:hint="eastAsia"/>
          <w:lang w:val="en-US" w:eastAsia="zh-CN"/>
        </w:rPr>
        <w:t xml:space="preserve">开工日期： 2021-8-20           （暂定）                             </w:t>
      </w:r>
    </w:p>
    <w:p>
      <w:pPr>
        <w:numPr>
          <w:ilvl w:val="0"/>
          <w:numId w:val="0"/>
        </w:numPr>
        <w:spacing w:beforeLines="50" w:afterLines="50" w:line="360" w:lineRule="exact"/>
        <w:ind w:leftChars="0"/>
        <w:rPr>
          <w:rFonts w:hint="eastAsia"/>
          <w:lang w:val="en-US" w:eastAsia="zh-CN"/>
        </w:rPr>
      </w:pPr>
      <w:r>
        <w:rPr>
          <w:rFonts w:hint="eastAsia"/>
          <w:lang w:val="en-US" w:eastAsia="zh-CN"/>
        </w:rPr>
        <w:t xml:space="preserve">竣工日期： 2021-9-19                                                         </w:t>
      </w:r>
    </w:p>
    <w:p>
      <w:pPr>
        <w:numPr>
          <w:ilvl w:val="0"/>
          <w:numId w:val="0"/>
        </w:numPr>
        <w:spacing w:beforeLines="50" w:afterLines="50" w:line="360" w:lineRule="exact"/>
        <w:ind w:leftChars="0"/>
        <w:rPr>
          <w:rFonts w:hint="eastAsia"/>
          <w:lang w:val="en-US" w:eastAsia="zh-CN"/>
        </w:rPr>
      </w:pPr>
      <w:r>
        <w:rPr>
          <w:rFonts w:hint="eastAsia"/>
          <w:lang w:val="en-US" w:eastAsia="zh-CN"/>
        </w:rPr>
        <w:t>合同工期总日历天数 30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分项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该工程所有材料（除钢筋外）由承包人提供。承包人需优先领用发包人降级、非标定尺和不成捆钢筋，若发包人不能及时提供所需材料，承包方上报自购证明报告，经发包人同意后可由承包人提供。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发包人提供的钢筋和铸管的厂内倒运费用按照报价单执行。</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单价包干部分钢材价格以2021年第5期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3"/>
        </w:numPr>
        <w:snapToGrid w:val="0"/>
        <w:spacing w:line="360" w:lineRule="auto"/>
        <w:ind w:left="420" w:leftChars="0" w:hanging="420"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3" w:type="pct"/>
            <w:gridSpan w:val="2"/>
            <w:vAlign w:val="center"/>
          </w:tcPr>
          <w:p>
            <w:pPr>
              <w:rPr>
                <w:highlight w:val="none"/>
              </w:rPr>
            </w:pPr>
            <w:r>
              <w:rPr>
                <w:rFonts w:hint="eastAsia"/>
                <w:highlight w:val="none"/>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pPr>
              <w:rPr>
                <w:highlight w:val="none"/>
              </w:rPr>
            </w:pPr>
            <w:r>
              <w:rPr>
                <w:rFonts w:hint="eastAsia"/>
                <w:highlight w:val="none"/>
              </w:rPr>
              <w:t>企业信誉  （20分）</w:t>
            </w:r>
          </w:p>
        </w:tc>
        <w:tc>
          <w:tcPr>
            <w:tcW w:w="2113" w:type="pct"/>
            <w:gridSpan w:val="2"/>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1951" w:type="pct"/>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pPr>
              <w:rPr>
                <w:highlight w:val="none"/>
              </w:rPr>
            </w:pPr>
          </w:p>
        </w:tc>
        <w:tc>
          <w:tcPr>
            <w:tcW w:w="2113" w:type="pct"/>
            <w:gridSpan w:val="2"/>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1951" w:type="pct"/>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w:t>
      </w:r>
      <w:r>
        <w:rPr>
          <w:rFonts w:hint="eastAsia" w:ascii="宋体" w:hAnsi="宋体" w:cs="宋体"/>
          <w:color w:val="000000"/>
          <w:lang w:val="en-US" w:eastAsia="zh-CN"/>
        </w:rPr>
        <w:t>0</w:t>
      </w:r>
      <w:r>
        <w:rPr>
          <w:rFonts w:hint="eastAsia" w:ascii="宋体" w:hAnsi="宋体" w:cs="宋体"/>
          <w:color w:val="000000"/>
        </w:rPr>
        <w:t>00元整）。竣工工期每延误1天，承包人向发包人支付违约金贰仟圆整（¥：200</w:t>
      </w:r>
      <w:r>
        <w:rPr>
          <w:rFonts w:hint="eastAsia" w:ascii="宋体" w:hAnsi="宋体" w:cs="宋体"/>
          <w:color w:val="000000"/>
          <w:lang w:val="en-US" w:eastAsia="zh-CN"/>
        </w:rPr>
        <w:t>0</w:t>
      </w:r>
      <w:r>
        <w:rPr>
          <w:rFonts w:hint="eastAsia" w:ascii="宋体" w:hAnsi="宋体" w:cs="宋体"/>
          <w:color w:val="000000"/>
        </w:rPr>
        <w:t>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rPr>
        <w:t>2．双方约定的工程款（进度款）支付的方式：</w:t>
      </w:r>
      <w:r>
        <w:rPr>
          <w:rFonts w:hint="eastAsia" w:ascii="宋体" w:hAnsi="宋体" w:cs="宋体" w:eastAsiaTheme="minorEastAsia"/>
          <w:color w:val="000000"/>
          <w:kern w:val="2"/>
          <w:sz w:val="21"/>
          <w:szCs w:val="22"/>
          <w:lang w:val="en-US" w:eastAsia="zh-CN" w:bidi="ar-SA"/>
        </w:rPr>
        <w:t>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eastAsiaTheme="minorEastAsia"/>
          <w:color w:val="000000"/>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b/>
          <w:bCs/>
          <w:sz w:val="36"/>
          <w:szCs w:val="36"/>
          <w:u w:val="single"/>
          <w:lang w:val="en-US" w:eastAsia="zh-CN"/>
        </w:rPr>
        <w:t>铸管部检修零星</w:t>
      </w:r>
      <w:r>
        <w:rPr>
          <w:rFonts w:hint="eastAsia" w:ascii="宋体" w:hAnsi="宋体"/>
          <w:b/>
          <w:bCs/>
          <w:sz w:val="36"/>
          <w:szCs w:val="36"/>
          <w:u w:val="single"/>
          <w:lang w:eastAsia="zh-CN"/>
        </w:rPr>
        <w:t>土建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761" w:tblpY="345"/>
        <w:tblOverlap w:val="never"/>
        <w:tblW w:w="5524" w:type="pct"/>
        <w:tblInd w:w="0" w:type="dxa"/>
        <w:tblLayout w:type="fixed"/>
        <w:tblCellMar>
          <w:top w:w="0" w:type="dxa"/>
          <w:left w:w="108" w:type="dxa"/>
          <w:bottom w:w="0" w:type="dxa"/>
          <w:right w:w="108" w:type="dxa"/>
        </w:tblCellMar>
      </w:tblPr>
      <w:tblGrid>
        <w:gridCol w:w="518"/>
        <w:gridCol w:w="1487"/>
        <w:gridCol w:w="709"/>
        <w:gridCol w:w="1022"/>
        <w:gridCol w:w="1582"/>
        <w:gridCol w:w="5482"/>
      </w:tblGrid>
      <w:tr>
        <w:tblPrEx>
          <w:tblCellMar>
            <w:top w:w="0" w:type="dxa"/>
            <w:left w:w="108" w:type="dxa"/>
            <w:bottom w:w="0" w:type="dxa"/>
            <w:right w:w="108" w:type="dxa"/>
          </w:tblCellMar>
        </w:tblPrEx>
        <w:trPr>
          <w:trHeight w:val="416"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4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工程量</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报价</w:t>
            </w:r>
          </w:p>
        </w:tc>
        <w:tc>
          <w:tcPr>
            <w:tcW w:w="54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90" w:hRule="atLeast"/>
        </w:trPr>
        <w:tc>
          <w:tcPr>
            <w:tcW w:w="10800" w:type="dxa"/>
            <w:gridSpan w:val="6"/>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both"/>
              <w:textAlignment w:val="center"/>
              <w:rPr>
                <w:sz w:val="22"/>
                <w:szCs w:val="22"/>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2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1</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u w:val="single"/>
              </w:rPr>
            </w:pPr>
            <w:r>
              <w:rPr>
                <w:rFonts w:hint="eastAsia" w:ascii="宋体" w:hAnsi="宋体" w:eastAsia="宋体" w:cs="宋体"/>
                <w:i w:val="0"/>
                <w:color w:val="000000"/>
                <w:kern w:val="0"/>
                <w:sz w:val="21"/>
                <w:szCs w:val="21"/>
                <w:u w:val="none"/>
                <w:lang w:val="en-US" w:eastAsia="zh-CN" w:bidi="ar"/>
              </w:rPr>
              <w:t>原基础破除</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200</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Cs w:val="21"/>
              </w:rPr>
            </w:pPr>
            <w:r>
              <w:rPr>
                <w:rFonts w:hint="eastAsia" w:ascii="宋体" w:hAnsi="宋体" w:eastAsia="宋体" w:cs="宋体"/>
                <w:i w:val="0"/>
                <w:color w:val="000000"/>
                <w:kern w:val="0"/>
                <w:sz w:val="21"/>
                <w:szCs w:val="21"/>
                <w:u w:val="none"/>
                <w:lang w:val="en-US" w:eastAsia="zh-CN" w:bidi="ar"/>
              </w:rPr>
              <w:t>包括切缝、凿除、装车、外排等全部工序及涉及的人工费、机械费、材料费、措施费、不可竞争费、税金、水电费等全部费用。</w:t>
            </w:r>
          </w:p>
        </w:tc>
      </w:tr>
      <w:tr>
        <w:tblPrEx>
          <w:tblCellMar>
            <w:top w:w="0" w:type="dxa"/>
            <w:left w:w="108" w:type="dxa"/>
            <w:bottom w:w="0" w:type="dxa"/>
            <w:right w:w="108" w:type="dxa"/>
          </w:tblCellMar>
        </w:tblPrEx>
        <w:trPr>
          <w:trHeight w:val="72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2</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挖运土方</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1000</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包括开挖、装车、外排、人工清底等全部工序及涉及的人工费、机械费、材料费、措施费、不可竞争费、税金、水电费等全部费用。</w:t>
            </w:r>
          </w:p>
        </w:tc>
      </w:tr>
      <w:tr>
        <w:tblPrEx>
          <w:tblCellMar>
            <w:top w:w="0" w:type="dxa"/>
            <w:left w:w="108" w:type="dxa"/>
            <w:bottom w:w="0" w:type="dxa"/>
            <w:right w:w="108" w:type="dxa"/>
          </w:tblCellMar>
        </w:tblPrEx>
        <w:trPr>
          <w:trHeight w:val="657"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土方回填</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150</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包括装车、运输、回填、平整、夯实等全部工序及涉及的人工费、机械费、材料费、措施费、不可竞争费、税金、水电费等全部费用。</w:t>
            </w:r>
          </w:p>
        </w:tc>
      </w:tr>
      <w:tr>
        <w:tblPrEx>
          <w:tblCellMar>
            <w:top w:w="0" w:type="dxa"/>
            <w:left w:w="108" w:type="dxa"/>
            <w:bottom w:w="0" w:type="dxa"/>
            <w:right w:w="108" w:type="dxa"/>
          </w:tblCellMar>
        </w:tblPrEx>
        <w:trPr>
          <w:trHeight w:val="597"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级配碎石</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500</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包括装车、运输、铺设、平整、夯实等全部工序及涉及的人工费、机械费、材料费、措施费、不可竞争费、税金、水电费等全部费用。</w:t>
            </w:r>
          </w:p>
        </w:tc>
      </w:tr>
      <w:tr>
        <w:tblPrEx>
          <w:tblCellMar>
            <w:top w:w="0" w:type="dxa"/>
            <w:left w:w="108" w:type="dxa"/>
            <w:bottom w:w="0" w:type="dxa"/>
            <w:right w:w="108" w:type="dxa"/>
          </w:tblCellMar>
        </w:tblPrEx>
        <w:trPr>
          <w:trHeight w:val="63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5</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毛石</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42</w:t>
            </w:r>
          </w:p>
        </w:tc>
        <w:tc>
          <w:tcPr>
            <w:tcW w:w="15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包括装车、运输、铺设、平整、夯实等全部工序及涉及的人工费、机械费、材料费、措施费、不可竞争费、税金、水电费等全部费用。</w:t>
            </w:r>
          </w:p>
        </w:tc>
      </w:tr>
      <w:tr>
        <w:tblPrEx>
          <w:tblCellMar>
            <w:top w:w="0" w:type="dxa"/>
            <w:left w:w="108" w:type="dxa"/>
            <w:bottom w:w="0" w:type="dxa"/>
            <w:right w:w="108" w:type="dxa"/>
          </w:tblCellMar>
        </w:tblPrEx>
        <w:trPr>
          <w:trHeight w:val="49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6</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砼垫层</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18</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包括卸车、运输、倒运、支模、对拉丝、浇筑、养生全部工序涉及的人工费、机械费、材料费、措施费、不可竞争费、税金、水电费等全部费用。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7</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砼浇筑</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200</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包含轨道基础、地坪恢复等，包括卸车、运输、倒运、支模、对拉丝、浇筑、养生全部工序涉及的人工费、机械费、材料费、措施费、不可竞争费、税金、水电费等全部费用。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钢筋制安</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元/吨</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包括卸车、运输、倒运、制作、安装等全部工序及涉及的人工费、机械费、材料费（不包含钢筋主材费用）、措施费、不可竞争费、税金、水电费等全部费用。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钢筋厂内倒运费用</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元/吨</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包括发包人提供的钢筋在厂内的提料、运输、卸车等涉及的全部工序及人工费、机械费、材料费、措施费、不可竞争费、税金、水电费等全部费用。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钢结构制安</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吨</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color w:val="000000"/>
                <w:kern w:val="0"/>
                <w:sz w:val="21"/>
                <w:szCs w:val="21"/>
                <w:u w:val="none"/>
                <w:lang w:val="en-US" w:eastAsia="zh-CN" w:bidi="ar"/>
              </w:rPr>
              <w:t>8</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元/吨</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包括垫板、支架、预埋件、螺栓等所有钢构制安，包括卸车、运输、倒运、制作、安装、除锈、刷漆等涉及的全部工序及人工费、机械费、材料费、措施费、不可竞争费、税金、水电费等全部费用。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轨道拆除、安装</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元/米</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包括拆除、倒运、安装、调试等全部工序及涉及的人工费、机械费、材料费、措施费、不可竞争费、税金、水电费等全部费用。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12</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植筋</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根</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128</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元/根</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防水</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平</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28</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元/平</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包含20厚砂浆找平2遍，改性沥青防水卷材、30厚挤塑板等，包括保护性拆除、倒运、安装、调试等全部工序及涉及的人工费、机械费、材料费、措施费、不可竞争费、税金、水电费等全部费用。</w:t>
            </w:r>
          </w:p>
        </w:tc>
      </w:tr>
      <w:tr>
        <w:tblPrEx>
          <w:tblCellMar>
            <w:top w:w="0" w:type="dxa"/>
            <w:left w:w="108" w:type="dxa"/>
            <w:bottom w:w="0" w:type="dxa"/>
            <w:right w:w="108" w:type="dxa"/>
          </w:tblCellMar>
        </w:tblPrEx>
        <w:trPr>
          <w:trHeight w:val="42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炉台梁板柱拆除</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立</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60</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元/立</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1"/>
                <w:szCs w:val="21"/>
                <w:u w:val="none"/>
                <w:lang w:val="en-US" w:eastAsia="zh-CN" w:bidi="ar"/>
              </w:rPr>
              <w:t>包含混凝土、耐火砖等，包括凿除、装车、运输、外排等全部工序及涉及的人工费、机械费、材料费、措施费、不可竞争费、税金、水电费等全部费用。</w:t>
            </w:r>
          </w:p>
        </w:tc>
      </w:tr>
      <w:tr>
        <w:tblPrEx>
          <w:tblCellMar>
            <w:top w:w="0" w:type="dxa"/>
            <w:left w:w="108" w:type="dxa"/>
            <w:bottom w:w="0" w:type="dxa"/>
            <w:right w:w="108" w:type="dxa"/>
          </w:tblCellMar>
        </w:tblPrEx>
        <w:trPr>
          <w:trHeight w:val="192" w:hRule="atLeast"/>
        </w:trPr>
        <w:tc>
          <w:tcPr>
            <w:tcW w:w="1080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二、分项包干部分</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管道支架基础破除与恢复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32</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地埋管道基坑支护、降水</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项</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元/项</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pPr>
            <w:r>
              <w:rPr>
                <w:rFonts w:hint="eastAsia" w:ascii="宋体" w:hAnsi="宋体" w:eastAsia="宋体" w:cs="宋体"/>
                <w:i w:val="0"/>
                <w:color w:val="000000"/>
                <w:kern w:val="0"/>
                <w:sz w:val="21"/>
                <w:szCs w:val="21"/>
                <w:u w:val="none"/>
                <w:lang w:val="en-US" w:eastAsia="zh-CN" w:bidi="ar"/>
              </w:rPr>
              <w:t>包括吊运、打桩、围檩、拉杆、角撑、拔桩、降水等全部工序及涉及的人工费、机械费、材料费、措施费、不可竞争费、税金、水电费等全部费用。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直径2.3米管钢筋砼箍圈</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14</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包括卸车、运输、倒运、支模、对拉丝、浇筑、养生全部工序涉及的人工费、机械费、材料费、措施费、不可竞争费、税金、水电费等全部费用。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直径1.2米砼检修井及重型铸铁井盖</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包含检修井及井盖等，包括卸车、运输、倒运、支模、对拉丝、浇筑、养生全部工序涉及的人工费、机械费、材料费、措施费、不可竞争费、税金、水电费等全部费用。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J36柱包角凿除与恢复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J37柱包角凿除与恢复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墙面（厂房柱翼缘板两侧各200mm）凿除与恢复等，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J38柱包角凿除与恢复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墙面（厂房柱翼缘板两侧各200mm）凿除与恢复等，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J39柱包角凿除与恢复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墙面（厂房柱翼缘板两侧各200mm）凿除与恢复等，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J40柱包角凿除与恢复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墙面（厂房柱翼缘板一侧200mm）凿除与恢复等，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J41柱包角凿除与恢复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H36柱包角凿除与恢复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炉台耐火砖、混凝土（厂房柱翼缘板两侧各拆除150mm）及恢复，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H37柱包角凿除与恢复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炉台耐火砖、混凝土拆除（厂房柱翼缘板两侧和腹板侧各150mm）及恢复，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124"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H38柱包角凿除与恢复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炉台耐火砖、混凝土拆除（厂房柱翼缘板两侧和腹板侧各150mm）及恢复，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H39柱包角凿除与恢复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炉台耐火砖、混凝土拆除（厂房柱翼缘板两侧和腹板侧各150mm）及恢复，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H40柱包角凿除与恢复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H41柱包角凿除与恢复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G38柱包角凿除与恢复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G39柱包角凿除与恢复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G40柱包角凿除与恢复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凿除与恢复，炉台耐火砖、混凝土拆除（厂房柱翼缘板两侧和腹板侧各150mm）及恢复等，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G41柱包角凿除与恢复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凿除与恢复，炉台耐火砖、混凝土拆除（厂房柱翼缘板两侧和腹板侧各150mm）及恢复等，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F38柱包角凿除与恢复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F39柱包角凿除与恢复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包含厂房柱包角、腹板侧墙面凿除与恢复等，包括凿除、装卸车、运输、外排、倒运、支模、对拉丝、浇筑、养生等全部工序及涉及的人工费、机械费、材料费、措施费、不可竞争费、税金、水电费等全部费用。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F40柱包角凿除与恢复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F41柱包角凿除与恢复</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0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元/个</w:t>
            </w:r>
          </w:p>
        </w:tc>
        <w:tc>
          <w:tcPr>
            <w:tcW w:w="548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包括凿除、装卸车、运输、外排、倒运、支模、对拉丝、浇筑、养生等全部工序及涉及的人工费、机械费、材料费、措施费、不可竞争费、税金、水电费等全部费用。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1080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三、除单价、分项包干外工程量</w:t>
            </w:r>
          </w:p>
        </w:tc>
      </w:tr>
      <w:tr>
        <w:tblPrEx>
          <w:tblCellMar>
            <w:top w:w="0" w:type="dxa"/>
            <w:left w:w="108" w:type="dxa"/>
            <w:bottom w:w="0" w:type="dxa"/>
            <w:right w:w="108" w:type="dxa"/>
          </w:tblCellMar>
        </w:tblPrEx>
        <w:trPr>
          <w:trHeight w:val="652" w:hRule="atLeast"/>
        </w:trPr>
        <w:tc>
          <w:tcPr>
            <w:tcW w:w="5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4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17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暂列金额</w:t>
            </w:r>
            <w:r>
              <w:rPr>
                <w:rFonts w:hint="eastAsia" w:ascii="宋体" w:hAnsi="宋体" w:eastAsia="宋体" w:cs="宋体"/>
                <w:i w:val="0"/>
                <w:color w:val="000000"/>
                <w:kern w:val="0"/>
                <w:sz w:val="21"/>
                <w:szCs w:val="21"/>
                <w:u w:val="single"/>
                <w:lang w:val="en-US" w:eastAsia="zh-CN" w:bidi="ar"/>
              </w:rPr>
              <w:t>60000</w:t>
            </w:r>
            <w:r>
              <w:rPr>
                <w:rFonts w:hint="eastAsia" w:ascii="宋体" w:hAnsi="宋体" w:eastAsia="宋体" w:cs="宋体"/>
                <w:i w:val="0"/>
                <w:color w:val="000000"/>
                <w:kern w:val="0"/>
                <w:sz w:val="21"/>
                <w:szCs w:val="21"/>
                <w:u w:val="none"/>
                <w:lang w:val="en-US" w:eastAsia="zh-CN" w:bidi="ar"/>
              </w:rPr>
              <w:t>元</w:t>
            </w:r>
          </w:p>
        </w:tc>
        <w:tc>
          <w:tcPr>
            <w:tcW w:w="15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优惠</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w:t>
            </w:r>
          </w:p>
        </w:tc>
        <w:tc>
          <w:tcPr>
            <w:tcW w:w="54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ind w:left="0" w:leftChars="0" w:firstLine="0" w:firstLineChars="0"/>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sz w:val="24"/>
          <w:szCs w:val="24"/>
        </w:rPr>
      </w:pPr>
    </w:p>
    <w:p>
      <w:pPr>
        <w:pStyle w:val="2"/>
        <w:ind w:left="0" w:leftChars="0" w:firstLine="0" w:firstLineChars="0"/>
        <w:rPr>
          <w:rFonts w:hint="eastAsia"/>
          <w:sz w:val="24"/>
          <w:szCs w:val="24"/>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78B09BE"/>
    <w:rsid w:val="0D1578E4"/>
    <w:rsid w:val="0F667FC9"/>
    <w:rsid w:val="10690157"/>
    <w:rsid w:val="106A504D"/>
    <w:rsid w:val="151B5F6E"/>
    <w:rsid w:val="157A25EE"/>
    <w:rsid w:val="18BE2BF4"/>
    <w:rsid w:val="190C4518"/>
    <w:rsid w:val="1B336B17"/>
    <w:rsid w:val="2333671E"/>
    <w:rsid w:val="25464B5B"/>
    <w:rsid w:val="27666968"/>
    <w:rsid w:val="340B6EA0"/>
    <w:rsid w:val="349623F7"/>
    <w:rsid w:val="36E07890"/>
    <w:rsid w:val="38E63241"/>
    <w:rsid w:val="3CC37E26"/>
    <w:rsid w:val="476B5201"/>
    <w:rsid w:val="48743B19"/>
    <w:rsid w:val="4C945157"/>
    <w:rsid w:val="4CC05C43"/>
    <w:rsid w:val="4EA00116"/>
    <w:rsid w:val="5D220CC4"/>
    <w:rsid w:val="5E846B03"/>
    <w:rsid w:val="5ECE5B63"/>
    <w:rsid w:val="624E2575"/>
    <w:rsid w:val="625A6A53"/>
    <w:rsid w:val="67696CBC"/>
    <w:rsid w:val="704E677D"/>
    <w:rsid w:val="70515D78"/>
    <w:rsid w:val="71912D4A"/>
    <w:rsid w:val="73E51E4C"/>
    <w:rsid w:val="7718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0"/>
      <w:szCs w:val="20"/>
      <w:u w:val="none"/>
    </w:rPr>
  </w:style>
  <w:style w:type="character" w:customStyle="1" w:styleId="35">
    <w:name w:val="font121"/>
    <w:basedOn w:val="14"/>
    <w:qFormat/>
    <w:uiPriority w:val="0"/>
    <w:rPr>
      <w:rFonts w:hint="eastAsia" w:ascii="宋体" w:hAnsi="宋体" w:eastAsia="宋体" w:cs="宋体"/>
      <w:color w:val="000000"/>
      <w:sz w:val="24"/>
      <w:szCs w:val="24"/>
      <w:u w:val="single"/>
    </w:rPr>
  </w:style>
  <w:style w:type="character" w:customStyle="1" w:styleId="36">
    <w:name w:val="font112"/>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0</TotalTime>
  <ScaleCrop>false</ScaleCrop>
  <LinksUpToDate>false</LinksUpToDate>
  <CharactersWithSpaces>13020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2021-07-15T09:19:59Z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27190E2041044369AC04D5458BB503BF</vt:lpwstr>
  </property>
</Properties>
</file>