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动控部软水站区域集中控制中心工程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动控部软水站区域集中控制中心工程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auto"/>
          <w:sz w:val="24"/>
          <w:szCs w:val="24"/>
          <w:highlight w:val="none"/>
          <w:u w:val="none"/>
          <w:lang w:val="en-US" w:eastAsia="zh-CN"/>
        </w:rPr>
        <w:t>建筑</w:t>
      </w:r>
      <w:r>
        <w:rPr>
          <w:rFonts w:hint="eastAsia" w:ascii="宋体" w:hAnsi="宋体"/>
          <w:bCs/>
          <w:color w:val="auto"/>
          <w:sz w:val="24"/>
          <w:szCs w:val="24"/>
          <w:highlight w:val="none"/>
          <w:u w:val="none"/>
        </w:rPr>
        <w:t>工程施工总承包叁级及以上</w:t>
      </w:r>
      <w:r>
        <w:rPr>
          <w:rFonts w:hint="eastAsia" w:ascii="宋体" w:hAnsi="宋体"/>
          <w:bCs/>
          <w:color w:val="auto"/>
          <w:sz w:val="24"/>
          <w:szCs w:val="24"/>
          <w:highlight w:val="none"/>
        </w:rPr>
        <w:t>资质。投标人拟派</w:t>
      </w:r>
      <w:r>
        <w:rPr>
          <w:rFonts w:hint="eastAsia" w:hAnsi="宋体"/>
          <w:color w:val="auto"/>
          <w:sz w:val="24"/>
          <w:szCs w:val="24"/>
          <w:highlight w:val="none"/>
        </w:rPr>
        <w:t>项目经理须具有</w:t>
      </w:r>
      <w:r>
        <w:rPr>
          <w:rFonts w:hint="eastAsia" w:hAnsi="宋体"/>
          <w:color w:val="auto"/>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auto"/>
          <w:sz w:val="24"/>
          <w:szCs w:val="24"/>
          <w:highlight w:val="none"/>
          <w:u w:val="none"/>
          <w:lang w:val="en-US" w:eastAsia="zh-CN"/>
        </w:rPr>
        <w:t>二</w:t>
      </w:r>
      <w:r>
        <w:rPr>
          <w:rFonts w:hint="eastAsia" w:hAnsi="宋体"/>
          <w:color w:val="auto"/>
          <w:sz w:val="24"/>
          <w:szCs w:val="24"/>
          <w:highlight w:val="none"/>
        </w:rPr>
        <w:t>级注册建造师执业资格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本项目不允许投标人以联合体形式投标。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ascii="宋体" w:hAnsi="宋体" w:eastAsia="宋体" w:cs="宋体"/>
          <w:bCs/>
          <w:color w:val="auto"/>
          <w:kern w:val="0"/>
          <w:sz w:val="24"/>
          <w:szCs w:val="24"/>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报价截止</w:t>
      </w:r>
      <w:r>
        <w:rPr>
          <w:rFonts w:ascii="宋体" w:hAnsi="宋体" w:eastAsia="宋体" w:cs="宋体"/>
          <w:bCs/>
          <w:color w:val="auto"/>
          <w:kern w:val="0"/>
          <w:sz w:val="24"/>
          <w:szCs w:val="24"/>
        </w:rPr>
        <w:t>时间：</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FF0000"/>
          <w:kern w:val="0"/>
          <w:sz w:val="24"/>
          <w:szCs w:val="24"/>
          <w:lang w:val="en-US" w:eastAsia="zh-CN"/>
        </w:rPr>
        <w:t>报价</w:t>
      </w:r>
      <w:r>
        <w:rPr>
          <w:rFonts w:ascii="宋体" w:hAnsi="宋体" w:eastAsia="宋体" w:cs="宋体"/>
          <w:bCs/>
          <w:color w:val="auto"/>
          <w:kern w:val="0"/>
          <w:sz w:val="24"/>
          <w:szCs w:val="24"/>
        </w:rPr>
        <w:t>方式：</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13349217798</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动控部软水站区域集中控制中心工程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动控部软水站区域集中控制中心工程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numPr>
          <w:ilvl w:val="0"/>
          <w:numId w:val="0"/>
        </w:numPr>
        <w:spacing w:line="360" w:lineRule="auto"/>
        <w:ind w:leftChars="0"/>
        <w:rPr>
          <w:rFonts w:hint="eastAsia"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szCs w:val="21"/>
        </w:rPr>
        <w:t>：</w:t>
      </w:r>
      <w:r>
        <w:rPr>
          <w:rFonts w:hint="eastAsia" w:ascii="宋体" w:hAnsi="宋体"/>
          <w:color w:val="auto"/>
          <w:lang w:val="en-US" w:eastAsia="zh-CN"/>
        </w:rPr>
        <w:t>土方开挖280m3，土方回填210m3，凿除钢筋砼3m3，砼垫层5m3，砼浇筑80m3，钢筋制安10t，钢结构制安5t，墙体、门、窗拆除150m2，砖墙砌筑80m3，混凝土及墙体表面杂物清理、抹灰860m2，混凝土及墙体表面杂物清理、刮腻子、粉刷涂料860m2，不锈钢栏杆45m，石膏板吊顶230m2，地板砖铺设230m2</w:t>
      </w:r>
      <w:r>
        <w:rPr>
          <w:rFonts w:hint="eastAsia" w:ascii="宋体" w:hAnsi="宋体"/>
          <w:color w:val="auto"/>
        </w:rPr>
        <w:t>等</w:t>
      </w:r>
      <w:r>
        <w:rPr>
          <w:rFonts w:hint="eastAsia" w:ascii="宋体" w:hAnsi="宋体"/>
          <w:color w:val="auto"/>
        </w:rPr>
        <w:t>。</w:t>
      </w: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开工日期：2021年</w:t>
      </w:r>
      <w:r>
        <w:rPr>
          <w:rFonts w:hint="eastAsia" w:ascii="宋体" w:hAnsi="宋体" w:cs="宋体"/>
          <w:color w:val="auto"/>
          <w:kern w:val="36"/>
          <w:lang w:val="en-US" w:eastAsia="zh-CN"/>
        </w:rPr>
        <w:t>8</w:t>
      </w:r>
      <w:r>
        <w:rPr>
          <w:rFonts w:hint="eastAsia" w:ascii="宋体" w:hAnsi="宋体" w:cs="宋体"/>
          <w:color w:val="auto"/>
          <w:kern w:val="36"/>
        </w:rPr>
        <w:t>月</w:t>
      </w:r>
      <w:r>
        <w:rPr>
          <w:rFonts w:hint="eastAsia" w:ascii="宋体" w:hAnsi="宋体" w:cs="宋体"/>
          <w:color w:val="auto"/>
          <w:kern w:val="36"/>
          <w:lang w:val="en-US" w:eastAsia="zh-CN"/>
        </w:rPr>
        <w:t>1</w:t>
      </w:r>
      <w:r>
        <w:rPr>
          <w:rFonts w:hint="eastAsia" w:ascii="宋体" w:hAnsi="宋体" w:cs="宋体"/>
          <w:color w:val="auto"/>
          <w:kern w:val="36"/>
        </w:rPr>
        <w:t xml:space="preserve">日（暂定）                                          </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竣工日期：2021年</w:t>
      </w:r>
      <w:r>
        <w:rPr>
          <w:rFonts w:hint="eastAsia" w:ascii="宋体" w:hAnsi="宋体" w:cs="宋体"/>
          <w:color w:val="auto"/>
          <w:kern w:val="36"/>
          <w:lang w:val="en-US" w:eastAsia="zh-CN"/>
        </w:rPr>
        <w:t>10</w:t>
      </w:r>
      <w:r>
        <w:rPr>
          <w:rFonts w:hint="eastAsia" w:ascii="宋体" w:hAnsi="宋体" w:cs="宋体"/>
          <w:color w:val="auto"/>
          <w:kern w:val="36"/>
        </w:rPr>
        <w:t>月</w:t>
      </w:r>
      <w:r>
        <w:rPr>
          <w:rFonts w:hint="eastAsia" w:ascii="宋体" w:hAnsi="宋体" w:cs="宋体"/>
          <w:color w:val="auto"/>
          <w:kern w:val="36"/>
          <w:lang w:val="en-US" w:eastAsia="zh-CN"/>
        </w:rPr>
        <w:t>30</w:t>
      </w:r>
      <w:r>
        <w:rPr>
          <w:rFonts w:hint="eastAsia" w:ascii="宋体" w:hAnsi="宋体" w:cs="宋体"/>
          <w:color w:val="auto"/>
          <w:kern w:val="36"/>
        </w:rPr>
        <w:t xml:space="preserve">日                                              </w:t>
      </w:r>
    </w:p>
    <w:p>
      <w:pPr>
        <w:numPr>
          <w:ilvl w:val="0"/>
          <w:numId w:val="0"/>
        </w:numPr>
        <w:spacing w:line="360" w:lineRule="auto"/>
        <w:ind w:leftChars="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90</w:t>
      </w:r>
      <w:r>
        <w:rPr>
          <w:rFonts w:hint="eastAsia" w:ascii="宋体" w:hAnsi="宋体" w:cs="宋体"/>
          <w:color w:val="auto"/>
          <w:kern w:val="36"/>
        </w:rPr>
        <w:t>天。具体开工时间以现场条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该工程钢筋由发包人提供，其他所有材料由承包人提供。承包人需优先领用发包人降级、非标定尺和不成捆钢筋，若发包人不能及时提供所需材料，承包方上报自购证明报告，经发包人同意后可由承包人提供。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2021年第6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color w:val="auto"/>
        </w:rPr>
      </w:pPr>
      <w:r>
        <w:rPr>
          <w:rFonts w:ascii="宋体" w:hAnsi="宋体" w:cs="宋体" w:eastAsiaTheme="minorEastAsia"/>
          <w:bCs/>
          <w:color w:val="auto"/>
          <w:sz w:val="21"/>
          <w:szCs w:val="22"/>
        </w:rPr>
        <w:t>1</w:t>
      </w:r>
      <w:r>
        <w:rPr>
          <w:rFonts w:hint="eastAsia" w:ascii="宋体" w:hAnsi="宋体" w:cs="宋体" w:eastAsiaTheme="minorEastAsia"/>
          <w:bCs/>
          <w:color w:val="auto"/>
          <w:sz w:val="21"/>
          <w:szCs w:val="22"/>
          <w:lang w:val="en-US" w:eastAsia="zh-CN"/>
        </w:rPr>
        <w:t>3</w:t>
      </w:r>
      <w:r>
        <w:rPr>
          <w:rFonts w:ascii="宋体" w:hAnsi="宋体" w:cs="宋体" w:eastAsiaTheme="minorEastAsia"/>
          <w:bCs/>
          <w:color w:val="auto"/>
          <w:sz w:val="21"/>
          <w:szCs w:val="22"/>
        </w:rPr>
        <w:t>.</w:t>
      </w:r>
      <w:r>
        <w:rPr>
          <w:rFonts w:hint="eastAsia" w:ascii="宋体" w:hAnsi="宋体" w:cs="宋体" w:eastAsiaTheme="minorEastAsia"/>
          <w:bCs/>
          <w:color w:val="auto"/>
          <w:sz w:val="21"/>
          <w:szCs w:val="22"/>
        </w:rPr>
        <w:t xml:space="preserve">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以上工程无预付款；进度款按月支付已完工程量的70%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r>
        <w:rPr>
          <w:rFonts w:hint="eastAsia" w:ascii="宋体" w:hAnsi="宋体" w:cs="宋体"/>
          <w:color w:val="auto"/>
          <w:kern w:val="2"/>
          <w:sz w:val="21"/>
          <w:szCs w:val="22"/>
          <w:lang w:val="en-US" w:eastAsia="zh-CN" w:bidi="ar-SA"/>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r>
        <w:rPr>
          <w:rFonts w:hint="eastAsia" w:ascii="宋体" w:hAnsi="宋体"/>
          <w:bCs/>
          <w:color w:val="auto"/>
          <w:lang w:val="en-US" w:eastAsia="zh-CN"/>
        </w:rPr>
        <w:t>单价包干报价内包含压力管道报验费用。</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6"/>
          <w:szCs w:val="36"/>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lang w:eastAsia="zh-CN"/>
        </w:rPr>
        <w:t>动控部软水站区域集中控制中心工程</w:t>
      </w:r>
      <w:r>
        <w:rPr>
          <w:rFonts w:hint="eastAsia"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441" w:tblpY="64"/>
        <w:tblOverlap w:val="never"/>
        <w:tblW w:w="5176" w:type="pct"/>
        <w:tblInd w:w="0" w:type="dxa"/>
        <w:tblLayout w:type="fixed"/>
        <w:tblCellMar>
          <w:top w:w="0" w:type="dxa"/>
          <w:left w:w="108" w:type="dxa"/>
          <w:bottom w:w="0" w:type="dxa"/>
          <w:right w:w="108" w:type="dxa"/>
        </w:tblCellMar>
      </w:tblPr>
      <w:tblGrid>
        <w:gridCol w:w="812"/>
        <w:gridCol w:w="2646"/>
        <w:gridCol w:w="777"/>
        <w:gridCol w:w="1828"/>
        <w:gridCol w:w="9668"/>
      </w:tblGrid>
      <w:tr>
        <w:tblPrEx>
          <w:tblCellMar>
            <w:top w:w="0" w:type="dxa"/>
            <w:left w:w="108" w:type="dxa"/>
            <w:bottom w:w="0" w:type="dxa"/>
            <w:right w:w="108" w:type="dxa"/>
          </w:tblCellMar>
        </w:tblPrEx>
        <w:trPr>
          <w:trHeight w:val="416"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2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7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9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318"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1</w:t>
            </w:r>
          </w:p>
        </w:tc>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土方开挖</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280</w:t>
            </w:r>
          </w:p>
        </w:tc>
        <w:tc>
          <w:tcPr>
            <w:tcW w:w="9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拦标价：31元/m3。包括开挖、装车、外排、人工清底等涉及的全部工序及人工费、机械费、材料费、措施费、不可竞争费、税金、水电费等全部费用。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40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2</w:t>
            </w:r>
          </w:p>
        </w:tc>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土方回填</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210</w:t>
            </w:r>
          </w:p>
        </w:tc>
        <w:tc>
          <w:tcPr>
            <w:tcW w:w="9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拦标价：30元/m3。包括装车、运输、回填、平整、夯实等涉及的全部工序及人工费、机械费、材料费、措施费、不可竞争费、税金、水电费等全部费用。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243"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3</w:t>
            </w:r>
          </w:p>
        </w:tc>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凿除钢筋砼</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w:t>
            </w:r>
          </w:p>
        </w:tc>
        <w:tc>
          <w:tcPr>
            <w:tcW w:w="9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拦标价：200元/m3。包括凿除、装车、外排等涉及的全部工序及人工费、机械费、材料费、措施费、不可竞争费、税金、水电费等全部费用。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117"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4</w:t>
            </w:r>
          </w:p>
        </w:tc>
        <w:tc>
          <w:tcPr>
            <w:tcW w:w="2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砼垫层</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w:t>
            </w:r>
          </w:p>
        </w:tc>
        <w:tc>
          <w:tcPr>
            <w:tcW w:w="9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拦标价：700元/m3。包括卸车、运输、倒运、支模、对拉丝、浇筑、养生等涉及的全部工序及人工费、机械费、材料费、措施费、不可竞争费、税金、水电费等全部费用。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36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21"/>
                <w:szCs w:val="21"/>
                <w:lang w:bidi="ar"/>
              </w:rPr>
            </w:pPr>
            <w:r>
              <w:rPr>
                <w:rFonts w:hint="eastAsia" w:ascii="宋体" w:hAnsi="宋体" w:eastAsia="宋体" w:cs="宋体"/>
                <w:i w:val="0"/>
                <w:color w:val="000000"/>
                <w:kern w:val="0"/>
                <w:sz w:val="21"/>
                <w:szCs w:val="21"/>
                <w:u w:val="none"/>
                <w:lang w:val="en-US" w:eastAsia="zh-CN" w:bidi="ar"/>
              </w:rPr>
              <w:t>5</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砼浇筑</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m3</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80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拦标价：1200元/m3。包括卸车、运输、倒运、脚手架、支模、对拉丝、浇筑、养生等涉及的全部工序及人工费、机械费、材料费、措施费、不可竞争费、税金、水电费等全部费用。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397"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钢筋制安</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拦标价：1500元/t。包括卸车、运输、倒运、制作、安装等涉及的全部工序及人工费、机械费、材料费（不包含钢筋主材费用）、措施费、不可竞争费、税金、水电费等全部费用。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411"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钢结构制安</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拦标价：12000元/t。包括所有钢构的卸车、运输、倒运、制作、安装、除锈、刷漆等涉及的全部工序及人工费、机械费、材料费、措施费、不可竞争费、税金、水电费等全部费用。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32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墙体、门、窗拆除</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拦标价：60元/m2。包括拆除、装车、外排等涉及的全部工序及人工费、机械费、材料费、措施费、不可竞争费、税金、水电费等全部费用。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32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砖墙砌筑</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Style w:val="34"/>
                <w:sz w:val="21"/>
                <w:szCs w:val="21"/>
                <w:lang w:val="en-US" w:eastAsia="zh-CN" w:bidi="ar"/>
              </w:rPr>
              <w:t>m</w:t>
            </w:r>
            <w:r>
              <w:rPr>
                <w:rFonts w:hint="eastAsia" w:ascii="宋体" w:hAnsi="宋体" w:eastAsia="宋体" w:cs="宋体"/>
                <w:i w:val="0"/>
                <w:iCs w:val="0"/>
                <w:color w:val="000000"/>
                <w:kern w:val="0"/>
                <w:sz w:val="21"/>
                <w:szCs w:val="21"/>
                <w:u w:val="none"/>
                <w:vertAlign w:val="superscript"/>
                <w:lang w:val="en-US" w:eastAsia="zh-CN" w:bidi="ar"/>
              </w:rPr>
              <w:t>3</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拦标价：800元/m3。包括卸车、运输、倒运、脚手架、砌筑等涉及的全部工序及人工费、机械费、材料费、措施费、不可竞争费、税金、水电费等全部费用。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32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混凝土及墙体表面杂物清理、抹灰</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拦标价：40元/m2。包括卸车、运输、倒运、杂物清理、抹灰等涉及的全部工序及人工费、机械费、材料费、措施费、不可竞争费、税金、水电费等全部费用。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125"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混凝土及墙体表面杂物清理、刮腻子、粉刷涂料</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拦标价：35元/m2。包括卸车、运输、倒运、杂物清理、刮腻子及粉刷涂料（或乳胶漆）等涉及的全部工序及人工费、机械费、材料费、措施费、不可竞争费、税金、水电费等全部费用。</w:t>
            </w:r>
          </w:p>
        </w:tc>
      </w:tr>
      <w:tr>
        <w:tblPrEx>
          <w:tblCellMar>
            <w:top w:w="0" w:type="dxa"/>
            <w:left w:w="108" w:type="dxa"/>
            <w:bottom w:w="0" w:type="dxa"/>
            <w:right w:w="108" w:type="dxa"/>
          </w:tblCellMar>
        </w:tblPrEx>
        <w:trPr>
          <w:trHeight w:val="32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不锈钢栏杆</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拦标价：550元/m。包括卸车、运输、倒运、制作、安装等涉及的全部工序及人工费、机械费、材料费、措施费、不可竞争费、税金、水电费等全部费用。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32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石膏板吊顶</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拦标价：150元/m2。包括吊杆、龙骨、石膏板的卸车、运输、倒运、安装等涉及的全部工序及人工费、机械费、材料费、措施费、不可竞争费、税金、水电费等全部费用。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32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地板砖铺设</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拦标价：80元/m2。包含卸车、运输、倒运、地砖铺贴、擦缝、水泥砂浆结合层等涉及的全部工序及人工费、机械费、材料费（不包含地板砖费用）、措施费、不可竞争费、税金、水电费等全部费用。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329"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26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8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暂估金额150000元      </w:t>
            </w:r>
          </w:p>
        </w:tc>
        <w:tc>
          <w:tcPr>
            <w:tcW w:w="96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2357"/>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CC35F1"/>
    <w:rsid w:val="0423636D"/>
    <w:rsid w:val="083D3F56"/>
    <w:rsid w:val="08806402"/>
    <w:rsid w:val="08CA7F4E"/>
    <w:rsid w:val="0A0901C8"/>
    <w:rsid w:val="0A3430D5"/>
    <w:rsid w:val="0DFC1491"/>
    <w:rsid w:val="0E4F2C23"/>
    <w:rsid w:val="0F454D3F"/>
    <w:rsid w:val="0FA95C7C"/>
    <w:rsid w:val="104501EF"/>
    <w:rsid w:val="112D1B8A"/>
    <w:rsid w:val="132052E4"/>
    <w:rsid w:val="1A33768E"/>
    <w:rsid w:val="1CAB7BE0"/>
    <w:rsid w:val="1DC136C9"/>
    <w:rsid w:val="1F861B97"/>
    <w:rsid w:val="214D2E1E"/>
    <w:rsid w:val="21D2437C"/>
    <w:rsid w:val="21F73AF2"/>
    <w:rsid w:val="23883F50"/>
    <w:rsid w:val="24C93CD8"/>
    <w:rsid w:val="24E835CF"/>
    <w:rsid w:val="282A37D0"/>
    <w:rsid w:val="28754C22"/>
    <w:rsid w:val="29AB06DF"/>
    <w:rsid w:val="29EF4459"/>
    <w:rsid w:val="326329B3"/>
    <w:rsid w:val="34481C4C"/>
    <w:rsid w:val="364C51F0"/>
    <w:rsid w:val="37CA36AB"/>
    <w:rsid w:val="386D04A2"/>
    <w:rsid w:val="3A9E2574"/>
    <w:rsid w:val="3B9F0063"/>
    <w:rsid w:val="3C062CAD"/>
    <w:rsid w:val="3D5977E3"/>
    <w:rsid w:val="400A7CF7"/>
    <w:rsid w:val="467B56CD"/>
    <w:rsid w:val="47807B49"/>
    <w:rsid w:val="48BE65EB"/>
    <w:rsid w:val="49806F97"/>
    <w:rsid w:val="4C390A1D"/>
    <w:rsid w:val="4C6F1F1E"/>
    <w:rsid w:val="4EF83610"/>
    <w:rsid w:val="4F917C83"/>
    <w:rsid w:val="4FC1072C"/>
    <w:rsid w:val="51C85998"/>
    <w:rsid w:val="53966193"/>
    <w:rsid w:val="547279F3"/>
    <w:rsid w:val="57181B7C"/>
    <w:rsid w:val="58251DDC"/>
    <w:rsid w:val="59A06F0E"/>
    <w:rsid w:val="5ACF5D45"/>
    <w:rsid w:val="5D634D0C"/>
    <w:rsid w:val="5F533CAB"/>
    <w:rsid w:val="66296C18"/>
    <w:rsid w:val="68BB783B"/>
    <w:rsid w:val="6BFA79CF"/>
    <w:rsid w:val="6DF65BBA"/>
    <w:rsid w:val="6F286C4E"/>
    <w:rsid w:val="71A34979"/>
    <w:rsid w:val="724E1F86"/>
    <w:rsid w:val="73F30113"/>
    <w:rsid w:val="75037D3A"/>
    <w:rsid w:val="765207B1"/>
    <w:rsid w:val="77676C2F"/>
    <w:rsid w:val="782F64FC"/>
    <w:rsid w:val="7A1268BD"/>
    <w:rsid w:val="7E9D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2021-07-26T01:18:18Z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9C715AAECA884F55A9461866D6FA45E2</vt:lpwstr>
  </property>
</Properties>
</file>