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铁前部白灰区域现场封闭提升改造工程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8002TQBHFBTSGZGC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铁前部白灰区域现场封闭提升改造工程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2"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w:t>
      </w:r>
      <w:r>
        <w:rPr>
          <w:rFonts w:hint="eastAsia" w:ascii="宋体" w:hAnsi="宋体"/>
          <w:bCs/>
          <w:color w:val="FF0000"/>
          <w:sz w:val="24"/>
          <w:szCs w:val="24"/>
          <w:u w:val="none"/>
          <w:lang w:val="en-US" w:eastAsia="zh-CN"/>
        </w:rPr>
        <w:t>施工总</w:t>
      </w:r>
      <w:r>
        <w:rPr>
          <w:rFonts w:hint="eastAsia" w:ascii="宋体" w:hAnsi="宋体"/>
          <w:bCs/>
          <w:color w:val="FF0000"/>
          <w:sz w:val="24"/>
          <w:szCs w:val="24"/>
          <w:u w:val="none"/>
        </w:rPr>
        <w:t>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28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铁前部白灰区域现场封闭提升改造工程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铁前部白灰区域现场封闭提升改造工程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铁前部白灰区域现场封闭提升改造工程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bookmarkStart w:id="3" w:name="_GoBack"/>
      <w:bookmarkEnd w:id="3"/>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04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w:t>
      </w:r>
      <w:r>
        <w:rPr>
          <w:rFonts w:hint="eastAsia" w:ascii="宋体" w:hAnsi="宋体"/>
          <w:lang w:eastAsia="zh-CN"/>
        </w:rPr>
        <w:t>铁前部白灰区域现场封闭提升改造工程</w:t>
      </w:r>
      <w:r>
        <w:rPr>
          <w:rFonts w:hint="eastAsia" w:ascii="宋体" w:hAnsi="宋体"/>
        </w:rPr>
        <w:t>，</w:t>
      </w:r>
      <w:r>
        <w:rPr>
          <w:rFonts w:hint="eastAsia" w:ascii="宋体" w:hAnsi="宋体"/>
          <w:lang w:val="en-US" w:eastAsia="zh-CN"/>
        </w:rPr>
        <w:t>包含白灰区域封闭及废水池路口周边亮化提升改造等</w:t>
      </w:r>
      <w:r>
        <w:rPr>
          <w:rFonts w:hint="eastAsia" w:ascii="宋体" w:hAnsi="宋体"/>
          <w:lang w:eastAsia="zh-CN"/>
        </w:rPr>
        <w:t>施工。工作量：</w:t>
      </w:r>
      <w:r>
        <w:rPr>
          <w:rFonts w:hint="eastAsia" w:ascii="宋体" w:hAnsi="宋体"/>
          <w:lang w:val="en-US" w:eastAsia="zh-CN"/>
        </w:rPr>
        <w:t>土方开挖约1070m3，土方回填约860m3，砼垫层除约22m3，砼浇筑约66m3，钢筋制安约4t，钢结构制安约30t，预埋螺栓、埋件制安约1t，彩瓦拆除约500m3</w:t>
      </w:r>
      <w:r>
        <w:rPr>
          <w:rFonts w:hint="eastAsia" w:ascii="宋体" w:hAnsi="宋体"/>
          <w:lang w:eastAsia="zh-CN"/>
        </w:rPr>
        <w:t>等工作量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8</w:t>
      </w:r>
      <w:r>
        <w:rPr>
          <w:rFonts w:hint="eastAsia" w:ascii="宋体" w:hAnsi="宋体" w:cs="宋体"/>
          <w:kern w:val="36"/>
        </w:rPr>
        <w:t>月</w:t>
      </w:r>
      <w:r>
        <w:rPr>
          <w:rFonts w:hint="eastAsia" w:ascii="宋体" w:hAnsi="宋体" w:cs="宋体"/>
          <w:kern w:val="36"/>
          <w:lang w:val="en-US" w:eastAsia="zh-CN"/>
        </w:rPr>
        <w:t>10</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10</w:t>
      </w:r>
      <w:r>
        <w:rPr>
          <w:rFonts w:hint="eastAsia" w:ascii="宋体" w:hAnsi="宋体" w:cs="宋体"/>
          <w:kern w:val="36"/>
        </w:rPr>
        <w:t>月</w:t>
      </w:r>
      <w:r>
        <w:rPr>
          <w:rFonts w:hint="eastAsia" w:ascii="宋体" w:hAnsi="宋体" w:cs="宋体"/>
          <w:kern w:val="36"/>
          <w:lang w:val="en-US" w:eastAsia="zh-CN"/>
        </w:rPr>
        <w:t>09</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钢筋由发包人提供，其他所有材料由承包人提供</w:t>
      </w:r>
      <w:r>
        <w:rPr>
          <w:rFonts w:hint="eastAsia" w:asciiTheme="minorHAnsi" w:hAnsiTheme="minorHAnsi" w:eastAsiaTheme="minorEastAsia" w:cstheme="minorBidi"/>
          <w:bCs/>
          <w:kern w:val="36"/>
          <w:sz w:val="21"/>
          <w:szCs w:val="21"/>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单价包干部分钢材价格以2021年第6期芜湖市市场信息价为基准，芜湖市市场信息价没有的以合肥市市场信息价为基准，若施工期间</w:t>
      </w:r>
      <w:r>
        <w:rPr>
          <w:rFonts w:hint="eastAsia" w:asciiTheme="minorHAnsi" w:hAnsiTheme="minorHAnsi" w:eastAsiaTheme="minorEastAsia" w:cstheme="minorBidi"/>
          <w:bCs/>
          <w:color w:val="FF0000"/>
          <w:kern w:val="36"/>
          <w:sz w:val="21"/>
          <w:szCs w:val="21"/>
          <w:lang w:val="en-US" w:eastAsia="zh-CN" w:bidi="ar-SA"/>
        </w:rPr>
        <w:t>材料单价涨跌幅超过±5%时</w:t>
      </w:r>
      <w:r>
        <w:rPr>
          <w:rFonts w:hint="eastAsia" w:asciiTheme="minorHAnsi" w:hAnsiTheme="minorHAnsi" w:eastAsiaTheme="minorEastAsia" w:cstheme="minorBidi"/>
          <w:bCs/>
          <w:kern w:val="36"/>
          <w:sz w:val="21"/>
          <w:szCs w:val="21"/>
          <w:lang w:val="en-US" w:eastAsia="zh-CN" w:bidi="ar-SA"/>
        </w:rPr>
        <w:t>，其超过部分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1056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68"/>
        <w:gridCol w:w="1187"/>
        <w:gridCol w:w="1268"/>
        <w:gridCol w:w="2877"/>
        <w:gridCol w:w="4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668" w:type="dxa"/>
            <w:vMerge w:val="restart"/>
            <w:noWrap w:val="0"/>
            <w:vAlign w:val="center"/>
          </w:tcPr>
          <w:p>
            <w:r>
              <w:rPr>
                <w:rFonts w:hint="eastAsia"/>
              </w:rPr>
              <w:t>评分标准</w:t>
            </w:r>
          </w:p>
        </w:tc>
        <w:tc>
          <w:tcPr>
            <w:tcW w:w="1187" w:type="dxa"/>
            <w:noWrap w:val="0"/>
            <w:vAlign w:val="center"/>
          </w:tcPr>
          <w:p>
            <w:r>
              <w:rPr>
                <w:rFonts w:hint="eastAsia"/>
              </w:rPr>
              <w:t>标价（40分）</w:t>
            </w:r>
          </w:p>
        </w:tc>
        <w:tc>
          <w:tcPr>
            <w:tcW w:w="8713"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pPr>
              <w:rPr>
                <w:highlight w:val="none"/>
              </w:rPr>
            </w:pPr>
          </w:p>
        </w:tc>
        <w:tc>
          <w:tcPr>
            <w:tcW w:w="1187"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4145" w:type="dxa"/>
            <w:gridSpan w:val="2"/>
            <w:noWrap w:val="0"/>
            <w:vAlign w:val="center"/>
          </w:tcPr>
          <w:p>
            <w:r>
              <w:rPr>
                <w:rFonts w:hint="eastAsia"/>
              </w:rPr>
              <w:t>施工现场概况：2分</w:t>
            </w:r>
          </w:p>
        </w:tc>
        <w:tc>
          <w:tcPr>
            <w:tcW w:w="4568"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1268" w:type="dxa"/>
            <w:vMerge w:val="restart"/>
            <w:noWrap w:val="0"/>
            <w:vAlign w:val="center"/>
          </w:tcPr>
          <w:p>
            <w:r>
              <w:rPr>
                <w:rFonts w:hint="eastAsia"/>
              </w:rPr>
              <w:t>施工方案及技术措施：共</w:t>
            </w:r>
            <w:r>
              <w:t>3</w:t>
            </w:r>
            <w:r>
              <w:rPr>
                <w:rFonts w:hint="eastAsia"/>
              </w:rPr>
              <w:t>0分</w:t>
            </w:r>
          </w:p>
        </w:tc>
        <w:tc>
          <w:tcPr>
            <w:tcW w:w="2877" w:type="dxa"/>
            <w:noWrap w:val="0"/>
            <w:vAlign w:val="center"/>
          </w:tcPr>
          <w:p>
            <w:r>
              <w:rPr>
                <w:rFonts w:hint="eastAsia"/>
              </w:rPr>
              <w:t>施工存在难度（</w:t>
            </w:r>
            <w:r>
              <w:t>6</w:t>
            </w:r>
            <w:r>
              <w:rPr>
                <w:rFonts w:hint="eastAsia"/>
              </w:rPr>
              <w:t>分）</w:t>
            </w:r>
          </w:p>
        </w:tc>
        <w:tc>
          <w:tcPr>
            <w:tcW w:w="4568"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1268" w:type="dxa"/>
            <w:vMerge w:val="continue"/>
            <w:noWrap w:val="0"/>
            <w:vAlign w:val="center"/>
          </w:tcPr>
          <w:p/>
        </w:tc>
        <w:tc>
          <w:tcPr>
            <w:tcW w:w="2877" w:type="dxa"/>
            <w:noWrap w:val="0"/>
            <w:vAlign w:val="center"/>
          </w:tcPr>
          <w:p>
            <w:r>
              <w:rPr>
                <w:rFonts w:hint="eastAsia"/>
              </w:rPr>
              <w:t>采取的措施（6分）</w:t>
            </w:r>
          </w:p>
        </w:tc>
        <w:tc>
          <w:tcPr>
            <w:tcW w:w="4568"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1268" w:type="dxa"/>
            <w:vMerge w:val="continue"/>
            <w:noWrap w:val="0"/>
            <w:vAlign w:val="center"/>
          </w:tcPr>
          <w:p/>
        </w:tc>
        <w:tc>
          <w:tcPr>
            <w:tcW w:w="2877" w:type="dxa"/>
            <w:noWrap w:val="0"/>
            <w:vAlign w:val="center"/>
          </w:tcPr>
          <w:p>
            <w:r>
              <w:rPr>
                <w:rFonts w:hint="eastAsia"/>
              </w:rPr>
              <w:t>人力投入计划（6分）</w:t>
            </w:r>
          </w:p>
        </w:tc>
        <w:tc>
          <w:tcPr>
            <w:tcW w:w="4568"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1268" w:type="dxa"/>
            <w:vMerge w:val="continue"/>
            <w:noWrap w:val="0"/>
            <w:vAlign w:val="center"/>
          </w:tcPr>
          <w:p/>
        </w:tc>
        <w:tc>
          <w:tcPr>
            <w:tcW w:w="2877" w:type="dxa"/>
            <w:noWrap w:val="0"/>
            <w:vAlign w:val="center"/>
          </w:tcPr>
          <w:p>
            <w:r>
              <w:rPr>
                <w:rFonts w:hint="eastAsia"/>
              </w:rPr>
              <w:t>材料、机械投入计划（6分）</w:t>
            </w:r>
          </w:p>
        </w:tc>
        <w:tc>
          <w:tcPr>
            <w:tcW w:w="4568"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1268" w:type="dxa"/>
            <w:vMerge w:val="continue"/>
            <w:noWrap w:val="0"/>
            <w:vAlign w:val="center"/>
          </w:tcPr>
          <w:p/>
        </w:tc>
        <w:tc>
          <w:tcPr>
            <w:tcW w:w="2877" w:type="dxa"/>
            <w:noWrap w:val="0"/>
            <w:vAlign w:val="center"/>
          </w:tcPr>
          <w:p>
            <w:r>
              <w:rPr>
                <w:rFonts w:hint="eastAsia"/>
              </w:rPr>
              <w:t>工期计划（6分）</w:t>
            </w:r>
          </w:p>
        </w:tc>
        <w:tc>
          <w:tcPr>
            <w:tcW w:w="4568"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4145" w:type="dxa"/>
            <w:gridSpan w:val="2"/>
            <w:noWrap w:val="0"/>
            <w:vAlign w:val="center"/>
          </w:tcPr>
          <w:p>
            <w:r>
              <w:rPr>
                <w:rFonts w:hint="eastAsia"/>
              </w:rPr>
              <w:t>现场安全隐患及防范措施，安全措施：5分</w:t>
            </w:r>
          </w:p>
        </w:tc>
        <w:tc>
          <w:tcPr>
            <w:tcW w:w="4568"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tc>
        <w:tc>
          <w:tcPr>
            <w:tcW w:w="4145" w:type="dxa"/>
            <w:gridSpan w:val="2"/>
            <w:noWrap w:val="0"/>
            <w:vAlign w:val="center"/>
          </w:tcPr>
          <w:p>
            <w:r>
              <w:rPr>
                <w:rFonts w:hint="eastAsia"/>
              </w:rPr>
              <w:t>现场质量保证措施及文明施工措施： 3分</w:t>
            </w:r>
          </w:p>
        </w:tc>
        <w:tc>
          <w:tcPr>
            <w:tcW w:w="4568"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668" w:type="dxa"/>
            <w:vMerge w:val="continue"/>
            <w:noWrap w:val="0"/>
            <w:vAlign w:val="center"/>
          </w:tcPr>
          <w:p/>
        </w:tc>
        <w:tc>
          <w:tcPr>
            <w:tcW w:w="1187" w:type="dxa"/>
            <w:vMerge w:val="restart"/>
            <w:noWrap w:val="0"/>
            <w:vAlign w:val="center"/>
          </w:tcPr>
          <w:p>
            <w:pPr>
              <w:rPr>
                <w:highlight w:val="none"/>
              </w:rPr>
            </w:pPr>
            <w:r>
              <w:rPr>
                <w:rFonts w:hint="eastAsia"/>
                <w:highlight w:val="none"/>
              </w:rPr>
              <w:t>企业信誉  （20分）</w:t>
            </w:r>
          </w:p>
        </w:tc>
        <w:tc>
          <w:tcPr>
            <w:tcW w:w="41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4568"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668" w:type="dxa"/>
            <w:vMerge w:val="continue"/>
            <w:noWrap w:val="0"/>
            <w:vAlign w:val="center"/>
          </w:tcPr>
          <w:p/>
        </w:tc>
        <w:tc>
          <w:tcPr>
            <w:tcW w:w="1187" w:type="dxa"/>
            <w:vMerge w:val="continue"/>
            <w:noWrap w:val="0"/>
            <w:vAlign w:val="center"/>
          </w:tcPr>
          <w:p/>
        </w:tc>
        <w:tc>
          <w:tcPr>
            <w:tcW w:w="4145" w:type="dxa"/>
            <w:gridSpan w:val="2"/>
            <w:noWrap w:val="0"/>
            <w:vAlign w:val="center"/>
          </w:tcPr>
          <w:p>
            <w:r>
              <w:rPr>
                <w:rFonts w:hint="eastAsia"/>
              </w:rPr>
              <w:t>项目经理业绩共</w:t>
            </w:r>
            <w:r>
              <w:t>2</w:t>
            </w:r>
            <w:r>
              <w:rPr>
                <w:rFonts w:hint="eastAsia"/>
              </w:rPr>
              <w:t>分</w:t>
            </w:r>
          </w:p>
        </w:tc>
        <w:tc>
          <w:tcPr>
            <w:tcW w:w="4568"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668" w:type="dxa"/>
            <w:vMerge w:val="continue"/>
            <w:noWrap w:val="0"/>
            <w:vAlign w:val="center"/>
          </w:tcPr>
          <w:p/>
        </w:tc>
        <w:tc>
          <w:tcPr>
            <w:tcW w:w="1187" w:type="dxa"/>
            <w:vMerge w:val="continue"/>
            <w:noWrap w:val="0"/>
            <w:vAlign w:val="center"/>
          </w:tcPr>
          <w:p>
            <w:pPr>
              <w:rPr>
                <w:highlight w:val="none"/>
              </w:rPr>
            </w:pPr>
          </w:p>
        </w:tc>
        <w:tc>
          <w:tcPr>
            <w:tcW w:w="41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4568"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668" w:type="dxa"/>
            <w:vMerge w:val="continue"/>
            <w:noWrap w:val="0"/>
            <w:vAlign w:val="center"/>
          </w:tcPr>
          <w:p/>
        </w:tc>
        <w:tc>
          <w:tcPr>
            <w:tcW w:w="1187" w:type="dxa"/>
            <w:vMerge w:val="continue"/>
            <w:noWrap w:val="0"/>
            <w:vAlign w:val="center"/>
          </w:tcPr>
          <w:p/>
        </w:tc>
        <w:tc>
          <w:tcPr>
            <w:tcW w:w="4145" w:type="dxa"/>
            <w:gridSpan w:val="2"/>
            <w:noWrap w:val="0"/>
            <w:vAlign w:val="center"/>
          </w:tcPr>
          <w:p>
            <w:r>
              <w:rPr>
                <w:rFonts w:hint="eastAsia"/>
              </w:rPr>
              <w:t>履约能力综合评估（财务信誉、工程履约信誉、结算信誉）共计6分</w:t>
            </w:r>
          </w:p>
        </w:tc>
        <w:tc>
          <w:tcPr>
            <w:tcW w:w="4568"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000000"/>
          <w:lang w:eastAsia="zh-CN"/>
        </w:rPr>
      </w:pPr>
      <w:r>
        <w:rPr>
          <w:rFonts w:hint="eastAsia" w:ascii="宋体" w:hAnsi="宋体" w:cs="宋体"/>
          <w:color w:val="000000"/>
        </w:rPr>
        <w:t>结算审核后承包人及时向发包人开具全额增值税专用发票</w:t>
      </w:r>
      <w:r>
        <w:rPr>
          <w:rFonts w:hint="eastAsia" w:ascii="宋体" w:hAnsi="宋体" w:cs="宋体"/>
          <w:color w:val="000000"/>
          <w:lang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ind w:left="0" w:leftChars="0" w:firstLine="0" w:firstLineChars="0"/>
        <w:rPr>
          <w:rFonts w:hint="eastAsia"/>
          <w:b/>
          <w:bCs/>
          <w:sz w:val="36"/>
          <w:szCs w:val="36"/>
          <w:lang w:eastAsia="zh-CN"/>
        </w:rPr>
      </w:pPr>
    </w:p>
    <w:p>
      <w:pPr>
        <w:spacing w:line="300" w:lineRule="auto"/>
        <w:jc w:val="center"/>
        <w:rPr>
          <w:rFonts w:hint="eastAsia" w:ascii="宋体" w:hAnsi="宋体"/>
          <w:b/>
          <w:bCs/>
          <w:sz w:val="36"/>
          <w:szCs w:val="36"/>
        </w:rPr>
      </w:pPr>
      <w:r>
        <w:rPr>
          <w:rFonts w:hint="eastAsia"/>
          <w:b/>
          <w:bCs/>
          <w:sz w:val="36"/>
          <w:szCs w:val="36"/>
          <w:lang w:eastAsia="zh-CN"/>
        </w:rPr>
        <w:t>铁前部白灰区域现场封闭提升改造工程</w:t>
      </w:r>
      <w:r>
        <w:rPr>
          <w:rFonts w:hint="eastAsia" w:ascii="宋体" w:hAnsi="宋体"/>
          <w:b/>
          <w:bCs/>
          <w:sz w:val="36"/>
          <w:szCs w:val="36"/>
        </w:rPr>
        <w:t>报价单</w:t>
      </w:r>
    </w:p>
    <w:tbl>
      <w:tblPr>
        <w:tblStyle w:val="13"/>
        <w:tblpPr w:leftFromText="180" w:rightFromText="180" w:vertAnchor="text" w:horzAnchor="page" w:tblpX="529" w:tblpY="345"/>
        <w:tblOverlap w:val="never"/>
        <w:tblW w:w="4975" w:type="pct"/>
        <w:tblInd w:w="0" w:type="dxa"/>
        <w:tblLayout w:type="fixed"/>
        <w:tblCellMar>
          <w:top w:w="0" w:type="dxa"/>
          <w:left w:w="108" w:type="dxa"/>
          <w:bottom w:w="0" w:type="dxa"/>
          <w:right w:w="108" w:type="dxa"/>
        </w:tblCellMar>
      </w:tblPr>
      <w:tblGrid>
        <w:gridCol w:w="405"/>
        <w:gridCol w:w="1315"/>
        <w:gridCol w:w="467"/>
        <w:gridCol w:w="872"/>
        <w:gridCol w:w="1074"/>
        <w:gridCol w:w="1202"/>
        <w:gridCol w:w="5546"/>
      </w:tblGrid>
      <w:tr>
        <w:tblPrEx>
          <w:tblCellMar>
            <w:top w:w="0" w:type="dxa"/>
            <w:left w:w="108" w:type="dxa"/>
            <w:bottom w:w="0" w:type="dxa"/>
            <w:right w:w="108" w:type="dxa"/>
          </w:tblCellMar>
        </w:tblPrEx>
        <w:trPr>
          <w:trHeight w:val="536" w:hRule="atLeast"/>
        </w:trPr>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60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1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40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49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548" w:type="pct"/>
            <w:tcBorders>
              <w:top w:val="single" w:color="auto" w:sz="4" w:space="0"/>
              <w:left w:val="nil"/>
              <w:bottom w:val="single" w:color="auto" w:sz="4" w:space="0"/>
              <w:right w:val="single" w:color="auto" w:sz="4" w:space="0"/>
            </w:tcBorders>
            <w:noWrap w:val="0"/>
            <w:vAlign w:val="center"/>
          </w:tcPr>
          <w:p>
            <w:pPr>
              <w:widowControl/>
              <w:ind w:right="2678" w:rightChars="1275"/>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0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383"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土方开挖</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1070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33</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包括开挖、装车、外排、人工清底等全部工序及涉及的人工费、机械费、材料费、措施费、不可竞争费、税金、水电费等全部费用。</w:t>
            </w:r>
          </w:p>
        </w:tc>
      </w:tr>
      <w:tr>
        <w:tblPrEx>
          <w:tblCellMar>
            <w:top w:w="0" w:type="dxa"/>
            <w:left w:w="108" w:type="dxa"/>
            <w:bottom w:w="0" w:type="dxa"/>
            <w:right w:w="108" w:type="dxa"/>
          </w:tblCellMar>
        </w:tblPrEx>
        <w:trPr>
          <w:trHeight w:val="357"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2</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860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30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包括装车、运输、回填、平整、夯实等全部工序及涉及的人工费、机械费、材料费、措施费、不可竞争费、税金、水电费等全部费用。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3</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级配碎石、碎石垫层</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130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砼垫层</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18"/>
                <w:szCs w:val="18"/>
                <w:lang w:val="en-US" w:eastAsia="zh-CN"/>
              </w:rPr>
            </w:pPr>
            <w:r>
              <w:rPr>
                <w:rFonts w:hint="eastAsia" w:ascii="宋体" w:hAnsi="宋体" w:cs="宋体"/>
                <w:i w:val="0"/>
                <w:color w:val="000000"/>
                <w:kern w:val="0"/>
                <w:sz w:val="18"/>
                <w:szCs w:val="18"/>
                <w:u w:val="none"/>
                <w:lang w:val="en-US" w:eastAsia="zh-CN" w:bidi="ar"/>
              </w:rPr>
              <w:t>5</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砼浇筑</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包括卸车、运输、倒运、脚手架、支模、对拉丝、浇筑、养生等全部工序涉及的人工费、机械费、材料费、措施费、不可竞争费、税金、水电费等全部费用。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6</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钢筋制安</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t</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1300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包括卸车、运输、倒运、制作、安装等全部工序及涉及的人工费、机械费、辅材费、措施费、不可竞争费、税金、水电费等全部费用。（不含钢筋材料费）</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7</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预埋件、螺栓</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t</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12000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包括预埋件、螺栓制安，包括卸车、运输、倒运、制作、安装、除锈、刷漆等全部工序及涉及的人工费、机械费、材料费、措施费、不可竞争费、税金、水电费等全部费用。</w:t>
            </w:r>
          </w:p>
        </w:tc>
      </w:tr>
      <w:tr>
        <w:tblPrEx>
          <w:tblCellMar>
            <w:top w:w="0" w:type="dxa"/>
            <w:left w:w="108" w:type="dxa"/>
            <w:bottom w:w="0" w:type="dxa"/>
            <w:right w:w="108" w:type="dxa"/>
          </w:tblCellMar>
        </w:tblPrEx>
        <w:trPr>
          <w:trHeight w:val="22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8</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砖墙砌筑</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700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包括卸车、运输、倒运、脚手架、砌筑等全部工序及涉及的人工费、机械费、材料费、措施费、不可竞争费、税金、水电费等全部费用。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9</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墙面杂物清理、抹灰、粉刷涂料</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8"/>
                <w:szCs w:val="18"/>
                <w:lang w:val="en-US" w:eastAsia="zh-CN"/>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145</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65元/m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color w:val="000000"/>
                <w:sz w:val="18"/>
                <w:szCs w:val="18"/>
                <w:vertAlign w:val="superscript"/>
                <w:lang w:val="en-US"/>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包括卸车、运输、倒运、杂物清理、抹灰、粉刷涂料等全部工序及涉及的人工费、机械费、材料费、措施费、不可竞争费、税金、水电费等全部费用。</w:t>
            </w:r>
          </w:p>
        </w:tc>
      </w:tr>
      <w:tr>
        <w:tblPrEx>
          <w:tblCellMar>
            <w:top w:w="0" w:type="dxa"/>
            <w:left w:w="108" w:type="dxa"/>
            <w:bottom w:w="0" w:type="dxa"/>
            <w:right w:w="108" w:type="dxa"/>
          </w:tblCellMar>
        </w:tblPrEx>
        <w:trPr>
          <w:trHeight w:val="227"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color w:val="000000"/>
                <w:kern w:val="0"/>
                <w:sz w:val="18"/>
                <w:szCs w:val="18"/>
              </w:rPr>
            </w:pPr>
            <w:r>
              <w:rPr>
                <w:rFonts w:hint="eastAsia" w:ascii="宋体" w:hAnsi="宋体" w:cs="宋体"/>
                <w:i w:val="0"/>
                <w:color w:val="000000"/>
                <w:kern w:val="0"/>
                <w:sz w:val="18"/>
                <w:szCs w:val="18"/>
                <w:u w:val="none"/>
                <w:lang w:val="en-US" w:eastAsia="zh-CN" w:bidi="ar"/>
              </w:rPr>
              <w:t>10</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墙砖铺设</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145</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150元/m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包括卸车、运输、倒运、擦缝、水泥砂浆结合层、墙砖铺设等全部工序及涉及的人工费、机械费、材料费、措施费、不可竞争费、税金、水电费等全部费用。</w:t>
            </w:r>
          </w:p>
        </w:tc>
      </w:tr>
      <w:tr>
        <w:tblPrEx>
          <w:tblCellMar>
            <w:top w:w="0" w:type="dxa"/>
            <w:left w:w="108" w:type="dxa"/>
            <w:bottom w:w="0" w:type="dxa"/>
            <w:right w:w="108" w:type="dxa"/>
          </w:tblCellMar>
        </w:tblPrEx>
        <w:trPr>
          <w:trHeight w:val="274"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11</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彩钢板</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2500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90元/m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kern w:val="0"/>
                <w:sz w:val="18"/>
                <w:szCs w:val="18"/>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88"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不锈钢拉丝面板</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t</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包括钢柱、柱间支撑、系杆、檩条、檩托、拉条、撑杆等所有钢构的制作、安装、运输、倒运、除锈、刷漆等涉及的全部工序及人工费、机械费、材料费、措施费、不可竞争费、税金、水电费等全部费用。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彩瓦拆除</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包括拆除、运输、倒运等涉及的全部工序及人工费、机械费、材料费、措施费、不可竞争费、税金、水电费等全部费用。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钢结构拆除</w:t>
            </w:r>
          </w:p>
        </w:tc>
        <w:tc>
          <w:tcPr>
            <w:tcW w:w="2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t</w:t>
            </w: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552"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25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包括拆除、分解成块（600mm以内）、运输、倒运等涉及的全部工序及人工费、机械费、材料费、措施费、不可竞争费、税金、水电费等全部费用。由施工现场送至厂内指定地点（以磅单为结算依据）。</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737" w:hRule="atLeast"/>
        </w:trPr>
        <w:tc>
          <w:tcPr>
            <w:tcW w:w="18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04" w:type="pct"/>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615"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暂估金额</w:t>
            </w:r>
            <w:r>
              <w:rPr>
                <w:rFonts w:hint="eastAsia" w:ascii="宋体" w:hAnsi="宋体" w:cs="宋体"/>
                <w:i w:val="0"/>
                <w:color w:val="auto"/>
                <w:kern w:val="0"/>
                <w:sz w:val="18"/>
                <w:szCs w:val="18"/>
                <w:u w:val="single"/>
                <w:lang w:val="en-US" w:eastAsia="zh-CN" w:bidi="ar"/>
              </w:rPr>
              <w:t>50</w:t>
            </w:r>
            <w:r>
              <w:rPr>
                <w:rFonts w:hint="eastAsia" w:ascii="宋体" w:hAnsi="宋体" w:eastAsia="宋体" w:cs="宋体"/>
                <w:i w:val="0"/>
                <w:color w:val="auto"/>
                <w:kern w:val="0"/>
                <w:sz w:val="18"/>
                <w:szCs w:val="18"/>
                <w:u w:val="single"/>
                <w:lang w:val="en-US" w:eastAsia="zh-CN" w:bidi="ar"/>
              </w:rPr>
              <w:t>000</w:t>
            </w:r>
            <w:r>
              <w:rPr>
                <w:rFonts w:hint="eastAsia" w:ascii="宋体" w:hAnsi="宋体" w:eastAsia="宋体" w:cs="宋体"/>
                <w:i w:val="0"/>
                <w:color w:val="auto"/>
                <w:kern w:val="0"/>
                <w:sz w:val="18"/>
                <w:szCs w:val="18"/>
                <w:u w:val="none"/>
                <w:lang w:val="en-US" w:eastAsia="zh-CN" w:bidi="ar"/>
              </w:rPr>
              <w:t>元</w:t>
            </w:r>
          </w:p>
        </w:tc>
        <w:tc>
          <w:tcPr>
            <w:tcW w:w="493"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优惠 </w:t>
            </w:r>
            <w:r>
              <w:rPr>
                <w:rFonts w:hint="eastAsia" w:ascii="宋体" w:hAnsi="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w:t>
            </w:r>
          </w:p>
        </w:tc>
        <w:tc>
          <w:tcPr>
            <w:tcW w:w="254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jc w:val="both"/>
        <w:rPr>
          <w:rFonts w:hint="eastAsia" w:eastAsiaTheme="minorEastAsia"/>
          <w:lang w:eastAsia="zh-CN"/>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p>
    <w:p>
      <w:pPr>
        <w:pStyle w:val="2"/>
        <w:widowControl w:val="0"/>
        <w:numPr>
          <w:ilvl w:val="0"/>
          <w:numId w:val="0"/>
        </w:numPr>
        <w:spacing w:after="120"/>
        <w:jc w:val="both"/>
        <w:rPr>
          <w:rFonts w:hint="eastAsia"/>
        </w:rPr>
      </w:pPr>
    </w:p>
    <w:p>
      <w:pPr>
        <w:pStyle w:val="2"/>
        <w:widowControl w:val="0"/>
        <w:numPr>
          <w:ilvl w:val="0"/>
          <w:numId w:val="0"/>
        </w:numPr>
        <w:spacing w:after="120"/>
        <w:ind w:left="-1" w:leftChars="-187" w:hanging="392" w:hangingChars="187"/>
        <w:jc w:val="both"/>
        <w:rPr>
          <w:rFonts w:hint="eastAsia"/>
        </w:r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439" w:bottom="278" w:left="74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CD4971A"/>
    <w:multiLevelType w:val="singleLevel"/>
    <w:tmpl w:val="1CD4971A"/>
    <w:lvl w:ilvl="0" w:tentative="0">
      <w:start w:val="11"/>
      <w:numFmt w:val="chineseCounting"/>
      <w:suff w:val="nothing"/>
      <w:lvlText w:val="%1、"/>
      <w:lvlJc w:val="left"/>
      <w:rPr>
        <w:rFonts w:hint="eastAsia"/>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3"/>
  </w:num>
  <w:num w:numId="6">
    <w:abstractNumId w:val="1"/>
  </w:num>
  <w:num w:numId="7">
    <w:abstractNumId w:val="5"/>
  </w:num>
  <w:num w:numId="8">
    <w:abstractNumId w:val="4"/>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54D7E7C"/>
    <w:rsid w:val="0DFC1491"/>
    <w:rsid w:val="0E011473"/>
    <w:rsid w:val="0FB93807"/>
    <w:rsid w:val="1DC136C9"/>
    <w:rsid w:val="214D2E1E"/>
    <w:rsid w:val="21F73AF2"/>
    <w:rsid w:val="22574413"/>
    <w:rsid w:val="23883F50"/>
    <w:rsid w:val="24C93CD8"/>
    <w:rsid w:val="24E835CF"/>
    <w:rsid w:val="282A37D0"/>
    <w:rsid w:val="326329B3"/>
    <w:rsid w:val="34481C4C"/>
    <w:rsid w:val="3C9A4830"/>
    <w:rsid w:val="45661826"/>
    <w:rsid w:val="47614EF9"/>
    <w:rsid w:val="492349FE"/>
    <w:rsid w:val="58473042"/>
    <w:rsid w:val="59545629"/>
    <w:rsid w:val="59A06F0E"/>
    <w:rsid w:val="59EC5338"/>
    <w:rsid w:val="5D882CE0"/>
    <w:rsid w:val="60441872"/>
    <w:rsid w:val="62360496"/>
    <w:rsid w:val="637A3477"/>
    <w:rsid w:val="65581936"/>
    <w:rsid w:val="66296C18"/>
    <w:rsid w:val="68881191"/>
    <w:rsid w:val="6CEF7CB8"/>
    <w:rsid w:val="6E1E3AB8"/>
    <w:rsid w:val="71163B54"/>
    <w:rsid w:val="724E1F86"/>
    <w:rsid w:val="73357EAC"/>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29</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2021-07-27T08:06:43Z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2FA7562817C24DA3BD1AB1BD62A1C4E2</vt:lpwstr>
  </property>
</Properties>
</file>