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铁前部废油暂存库工程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铁前部废油暂存库工程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铁前部废油暂存库工程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铁前部废油暂存库工程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包含原有钢结构雨棚拆除、利用原有挡墙新建钢结构库房</w:t>
      </w:r>
      <w:r>
        <w:rPr>
          <w:rFonts w:hint="eastAsia" w:ascii="宋体" w:hAnsi="宋体"/>
          <w:color w:val="auto"/>
          <w:lang w:val="en-US" w:eastAsia="zh-CN"/>
        </w:rPr>
        <w:t>，配套</w:t>
      </w:r>
      <w:r>
        <w:rPr>
          <w:rFonts w:hint="eastAsia" w:ascii="宋体" w:hAnsi="宋体"/>
          <w:color w:val="auto"/>
          <w:lang w:eastAsia="zh-CN"/>
        </w:rPr>
        <w:t>门窗、地坪漆、接地、通风及照明等施工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开工日期： 2021-8-21     （暂定）                                          </w:t>
      </w:r>
    </w:p>
    <w:p>
      <w:pPr>
        <w:spacing w:line="360" w:lineRule="auto"/>
        <w:ind w:firstLine="420"/>
        <w:rPr>
          <w:rFonts w:hint="eastAsia" w:ascii="宋体" w:hAnsi="宋体"/>
          <w:color w:val="auto"/>
          <w:lang w:val="en-US" w:eastAsia="zh-CN"/>
        </w:rPr>
      </w:pPr>
      <w:r>
        <w:rPr>
          <w:rFonts w:hint="eastAsia" w:ascii="宋体" w:hAnsi="宋体"/>
          <w:color w:val="auto"/>
          <w:lang w:val="en-US" w:eastAsia="zh-CN"/>
        </w:rPr>
        <w:t xml:space="preserve">竣工日期： 2021-10-20                                                             </w:t>
      </w:r>
    </w:p>
    <w:p>
      <w:pPr>
        <w:spacing w:line="360" w:lineRule="auto"/>
        <w:ind w:firstLine="420"/>
        <w:rPr>
          <w:rFonts w:ascii="宋体" w:hAnsi="宋体"/>
          <w:color w:val="auto"/>
        </w:rPr>
      </w:pPr>
      <w:r>
        <w:rPr>
          <w:rFonts w:hint="eastAsia" w:ascii="宋体" w:hAnsi="宋体"/>
          <w:color w:val="auto"/>
          <w:lang w:val="en-US" w:eastAsia="zh-CN"/>
        </w:rPr>
        <w:t>合同工期总日历天数 60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该工程钢筋由发包人提供，其他所有材料由承包人提供。承包人需优先领用发包人非标定尺和不成捆钢筋，若发包人不能及时提供所需材料，承包方上报自购证明报告，经发包人同意后可由承包人提供。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bCs/>
          <w:color w:val="auto"/>
          <w:lang w:val="en-US" w:eastAsia="zh-CN"/>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2"/>
          <w:szCs w:val="32"/>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2"/>
          <w:szCs w:val="32"/>
          <w:u w:val="non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u w:val="single"/>
          <w:lang w:eastAsia="zh-CN"/>
        </w:rPr>
        <w:t>铁前部废油暂存库工程项目</w:t>
      </w:r>
      <w:r>
        <w:rPr>
          <w:rFonts w:hint="eastAsia" w:ascii="宋体" w:hAnsi="宋体"/>
          <w:b/>
          <w:bCs/>
          <w:sz w:val="32"/>
          <w:szCs w:val="32"/>
          <w:u w:val="single"/>
        </w:rPr>
        <w:t xml:space="preserve"> </w:t>
      </w:r>
      <w:r>
        <w:rPr>
          <w:rFonts w:hint="eastAsia" w:ascii="宋体" w:hAnsi="宋体"/>
          <w:b/>
          <w:bCs/>
          <w:sz w:val="32"/>
          <w:szCs w:val="32"/>
        </w:rPr>
        <w:t>工程报价单</w:t>
      </w:r>
    </w:p>
    <w:tbl>
      <w:tblPr>
        <w:tblStyle w:val="13"/>
        <w:tblpPr w:leftFromText="180" w:rightFromText="180" w:vertAnchor="text" w:horzAnchor="page" w:tblpX="626" w:tblpY="64"/>
        <w:tblOverlap w:val="never"/>
        <w:tblW w:w="4827" w:type="pct"/>
        <w:tblInd w:w="0" w:type="dxa"/>
        <w:tblLayout w:type="fixed"/>
        <w:tblCellMar>
          <w:top w:w="0" w:type="dxa"/>
          <w:left w:w="108" w:type="dxa"/>
          <w:bottom w:w="0" w:type="dxa"/>
          <w:right w:w="108" w:type="dxa"/>
        </w:tblCellMar>
      </w:tblPr>
      <w:tblGrid>
        <w:gridCol w:w="1064"/>
        <w:gridCol w:w="2250"/>
        <w:gridCol w:w="1118"/>
        <w:gridCol w:w="1705"/>
        <w:gridCol w:w="8536"/>
      </w:tblGrid>
      <w:tr>
        <w:tblPrEx>
          <w:tblCellMar>
            <w:top w:w="0" w:type="dxa"/>
            <w:left w:w="108" w:type="dxa"/>
            <w:bottom w:w="0" w:type="dxa"/>
            <w:right w:w="108" w:type="dxa"/>
          </w:tblCellMar>
        </w:tblPrEx>
        <w:trPr>
          <w:trHeight w:val="416" w:hRule="atLeast"/>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22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1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8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318"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雨棚拆除</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60</w:t>
            </w:r>
          </w:p>
        </w:tc>
        <w:tc>
          <w:tcPr>
            <w:tcW w:w="8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拦标价：50元/m2。包括彩瓦和钢构的拆除、分解（600mm以内）、运输、倒运等涉及的全部工序及人工费、机械费、材料费、措施费、不可竞争费、税金、水电费等全部费用。由施工现场送至厂内指定地点。</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凿除钢筋砼</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8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拦标价：200元/m3。包括凿除、装车、外排等涉及的全部工序及人工费、机械费、材料费、措施费、不可竞争费、税金、水电费等全部费用。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砼浇筑</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w:t>
            </w:r>
          </w:p>
        </w:tc>
        <w:tc>
          <w:tcPr>
            <w:tcW w:w="8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拦标价：950元/m3。包括卸车、运输、倒运、脚手架、支模、对拉丝、浇筑、养生等涉及的全部工序及人工费、机械费、材料费、措施费、不可竞争费、税金、水电费等全部费用。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267"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钢筋制安</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t</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8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拦标价：1500元/t。包括卸车、运输、倒运、制作、安装等涉及的全部工序及人工费、机械费、材料费（不包含钢筋主材费用）、措施费、不可竞争费、税金、水电费等全部费用。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349"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11</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16000元/t。包括钢柱、钢梁、檩条、檩托、拉条、撑杆、车挡等所有钢构的卸车、运输、倒运、制作、安装、除锈、刷漆（含防火涂料）等涉及的全部工序及人工费、机械费、材料费、措施费、不可竞争费、税金、水电费等全部费用。</w:t>
            </w:r>
          </w:p>
        </w:tc>
      </w:tr>
      <w:tr>
        <w:tblPrEx>
          <w:tblCellMar>
            <w:top w:w="0" w:type="dxa"/>
            <w:left w:w="108" w:type="dxa"/>
            <w:bottom w:w="0" w:type="dxa"/>
            <w:right w:w="108" w:type="dxa"/>
          </w:tblCellMar>
        </w:tblPrEx>
        <w:trPr>
          <w:trHeight w:val="329"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植筋</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拦标价：15元/根。包含制作打眼、植筋、灌胶（含胶）等相应做法全部工作内容涉及的人工费、机械费、材料费（不包含钢筋主材费用）、措施费、税金、水电费等全部费用。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砖砌筑</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拦标价：750元/m3。包括卸车、运输、倒运、脚手架、砌筑等涉及的全部工序及人工费、机械费、材料费、措施费、不可竞争费、税金、水电费等全部费用。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混凝土及墙体表面杂物清理、抹灰</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170</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拦标价：30元/m2。包括卸车、运输、倒运、杂物清理、抹灰等涉及的全部工序及人工费、机械费、材料费、措施费、不可竞争费、税金、水电费等全部费用。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混凝土及墙体表面杂物清理、刮腻子、粉刷涂料</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140</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拦标价：35元/m2。包括卸车、运输、倒运、杂物清理、刮腻子及粉刷涂料（或乳胶漆）等涉及的全部工序及人工费、机械费、材料费、措施费、不可竞争费、税金、水电费等全部费用。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预埋螺栓、埋件制安</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1.5</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拦标价：13000元/t。包括螺栓、埋件、预埋穿线管的卸车、运输、倒运、制作、安装等涉及的全部工序及人工费、机械费、材料费、措施费、不可竞争费、税金、水电费等全部费用。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地坪漆</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拦标价：100元/m2。包括卸车、运输、倒运、刷涂等涉及的全部工序及人工费、机械费、材料费、措施费、不可竞争费、税金、水电费等全部费用。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岩棉夹芯板</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拦标价：180元/m2。包括卸车、运输、倒运、安装等涉及的全部工序及人工费、机械费、材料费、措施费、不可竞争费、税金、水电费等全部费用。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24kg/m轨道</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21</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拦标价：300元/m。包括轨道、压轨器、鱼尾板的安装、运输、倒运等涉及的全部工序及人工费、机械费、材料费、措施费、不可竞争费、税金、水电费等全部费用。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206"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贴砖</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21</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拦标价：150元/m2。包含卸车、运输、倒运、擦缝、水泥砂浆结合层、面砖铺贴等涉及的全部工序及人工费、机械费、材料费、措施费、不可竞争费、税金、水电费等全部费用。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7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暂估金额50000元</w:t>
            </w:r>
          </w:p>
        </w:tc>
        <w:tc>
          <w:tcPr>
            <w:tcW w:w="85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拦标价：1%。执行2018版安徽省建设工程计价定额及配套费用定额，材料费不参与总价优惠。措施费以签证形式据实计取，二次搬运费不计取。</w:t>
            </w:r>
            <w:bookmarkStart w:id="3" w:name="_GoBack"/>
            <w:bookmarkEnd w:id="3"/>
            <w:r>
              <w:rPr>
                <w:rFonts w:hint="eastAsia" w:ascii="宋体" w:hAnsi="宋体" w:eastAsia="宋体" w:cs="宋体"/>
                <w:i w:val="0"/>
                <w:iCs w:val="0"/>
                <w:color w:val="000000"/>
                <w:kern w:val="0"/>
                <w:sz w:val="18"/>
                <w:szCs w:val="18"/>
                <w:u w:val="none"/>
                <w:lang w:val="en-US" w:eastAsia="zh-CN" w:bidi="ar"/>
              </w:rPr>
              <w:t>报价折算百分比公式，优惠率=（暂估金额-报价）/暂估金额*100%。</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9243D09"/>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6F6547F"/>
    <w:rsid w:val="37CA36AB"/>
    <w:rsid w:val="386D04A2"/>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2021-08-09T03:33:21Z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9C715AAECA884F55A9461866D6FA45E2</vt:lpwstr>
  </property>
</Properties>
</file>