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炼钢新建4</w:t>
      </w:r>
      <w:r>
        <w:rPr>
          <w:rFonts w:hint="eastAsia" w:ascii="宋体" w:hAnsi="宋体"/>
          <w:sz w:val="32"/>
          <w:szCs w:val="28"/>
          <w:lang w:val="en-US" w:eastAsia="zh-CN"/>
        </w:rPr>
        <w:t>号</w:t>
      </w:r>
      <w:r>
        <w:rPr>
          <w:rFonts w:hint="eastAsia" w:ascii="宋体" w:hAnsi="宋体"/>
          <w:sz w:val="32"/>
          <w:szCs w:val="28"/>
          <w:lang w:eastAsia="zh-CN"/>
        </w:rPr>
        <w:t>LF炉、除尘器及搭临区改造桩基检测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8004LGZJJC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炼钢新建4</w:t>
      </w:r>
      <w:r>
        <w:rPr>
          <w:rFonts w:hint="eastAsia" w:ascii="宋体" w:hAnsi="宋体"/>
          <w:color w:val="FF0000"/>
          <w:sz w:val="24"/>
          <w:szCs w:val="22"/>
          <w:lang w:val="en-US" w:eastAsia="zh-CN"/>
        </w:rPr>
        <w:t>号</w:t>
      </w:r>
      <w:r>
        <w:rPr>
          <w:rFonts w:hint="eastAsia" w:ascii="宋体" w:hAnsi="宋体"/>
          <w:color w:val="FF0000"/>
          <w:sz w:val="24"/>
          <w:szCs w:val="22"/>
          <w:lang w:eastAsia="zh-CN"/>
        </w:rPr>
        <w:t>LF炉、除尘器及搭临区改造桩基检测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0"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rPr>
        <w:t>地基基础工程检测</w:t>
      </w:r>
      <w:r>
        <w:rPr>
          <w:rFonts w:hint="eastAsia" w:ascii="宋体" w:hAnsi="宋体"/>
          <w:bCs/>
          <w:sz w:val="24"/>
          <w:szCs w:val="24"/>
        </w:rPr>
        <w:t>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ascii="宋体" w:hAnsi="宋体"/>
          <w:bCs/>
          <w:color w:val="FF0000"/>
          <w:sz w:val="24"/>
          <w:szCs w:val="24"/>
        </w:rPr>
        <w:t>土木工程师（岩土）</w:t>
      </w:r>
      <w:r>
        <w:rPr>
          <w:rFonts w:hint="eastAsia" w:hAnsi="宋体"/>
          <w:sz w:val="24"/>
          <w:szCs w:val="24"/>
          <w:u w:val="none"/>
        </w:rPr>
        <w:t>注册</w:t>
      </w:r>
      <w:r>
        <w:rPr>
          <w:rFonts w:hint="eastAsia" w:hAnsi="宋体"/>
          <w:sz w:val="24"/>
          <w:szCs w:val="24"/>
          <w:u w:val="none"/>
          <w:lang w:val="en-US" w:eastAsia="zh-CN"/>
        </w:rPr>
        <w:t>证书</w:t>
      </w:r>
      <w:r>
        <w:rPr>
          <w:rFonts w:hint="eastAsia" w:hAnsi="宋体"/>
          <w:sz w:val="24"/>
          <w:szCs w:val="24"/>
          <w:u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炼钢新建4</w:t>
      </w:r>
      <w:r>
        <w:rPr>
          <w:rFonts w:hint="eastAsia" w:ascii="宋体" w:hAnsi="宋体"/>
          <w:color w:val="FF0000"/>
          <w:sz w:val="24"/>
          <w:szCs w:val="22"/>
          <w:lang w:val="en-US" w:eastAsia="zh-CN"/>
        </w:rPr>
        <w:t>号</w:t>
      </w:r>
      <w:r>
        <w:rPr>
          <w:rFonts w:hint="eastAsia" w:ascii="宋体" w:hAnsi="宋体"/>
          <w:color w:val="FF0000"/>
          <w:sz w:val="24"/>
          <w:szCs w:val="22"/>
          <w:lang w:eastAsia="zh-CN"/>
        </w:rPr>
        <w:t>LF炉、除尘器及搭临区改造桩基检测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炼钢新建4</w:t>
      </w:r>
      <w:r>
        <w:rPr>
          <w:rFonts w:hint="eastAsia" w:ascii="宋体" w:hAnsi="宋体"/>
          <w:color w:val="FF0000"/>
          <w:sz w:val="24"/>
          <w:szCs w:val="22"/>
          <w:lang w:val="en-US" w:eastAsia="zh-CN"/>
        </w:rPr>
        <w:t>号</w:t>
      </w:r>
      <w:r>
        <w:rPr>
          <w:rFonts w:hint="eastAsia" w:ascii="宋体" w:hAnsi="宋体"/>
          <w:color w:val="FF0000"/>
          <w:sz w:val="24"/>
          <w:szCs w:val="22"/>
          <w:lang w:eastAsia="zh-CN"/>
        </w:rPr>
        <w:t>LF炉、除尘器及搭临区改造桩基检测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炼钢新建4</w:t>
      </w:r>
      <w:r>
        <w:rPr>
          <w:rFonts w:hint="eastAsia" w:ascii="宋体" w:hAnsi="宋体"/>
          <w:color w:val="FF0000"/>
          <w:sz w:val="24"/>
          <w:szCs w:val="22"/>
          <w:lang w:val="en-US" w:eastAsia="zh-CN"/>
        </w:rPr>
        <w:t>号</w:t>
      </w:r>
      <w:r>
        <w:rPr>
          <w:rFonts w:hint="eastAsia" w:ascii="宋体" w:hAnsi="宋体"/>
          <w:color w:val="FF0000"/>
          <w:sz w:val="24"/>
          <w:szCs w:val="22"/>
          <w:lang w:eastAsia="zh-CN"/>
        </w:rPr>
        <w:t>LF炉、除尘器及搭临区改造桩基检测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16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
        </w:rPr>
      </w:pPr>
      <w:r>
        <w:rPr>
          <w:rFonts w:hint="eastAsia" w:ascii="宋体" w:hAnsi="宋体"/>
          <w:bCs/>
        </w:rPr>
        <w:t>帐    号：1307023219000109264</w:t>
      </w:r>
      <w:bookmarkStart w:id="3" w:name="_GoBack"/>
      <w:bookmarkEnd w:id="3"/>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w:t>
      </w:r>
      <w:r>
        <w:rPr>
          <w:rFonts w:hint="eastAsia" w:ascii="宋体" w:hAnsi="宋体"/>
          <w:lang w:val="en-US" w:eastAsia="zh-CN"/>
        </w:rPr>
        <w:t>需投标方现场踏勘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spacing w:line="360" w:lineRule="auto"/>
        <w:ind w:firstLine="420" w:firstLineChars="200"/>
        <w:rPr>
          <w:rFonts w:hint="eastAsia" w:ascii="宋体" w:hAnsi="宋体"/>
          <w:lang w:val="en-US" w:eastAsia="zh-CN"/>
        </w:rPr>
      </w:pPr>
      <w:r>
        <w:rPr>
          <w:rFonts w:hint="eastAsia" w:ascii="宋体" w:hAnsi="宋体"/>
          <w:lang w:val="en-US" w:eastAsia="zh-CN"/>
        </w:rPr>
        <w:t>4#LF炉桩基检测，包含：φ600钻孔灌注桩竖向静载试验（单桩极限承载力标准值5000KN）约3根，低应变检测33根；φ800钻孔灌注桩竖向静载试验（单桩极限承载力标准值5000KN）约3根，低应变检测54根。</w:t>
      </w:r>
    </w:p>
    <w:p>
      <w:pPr>
        <w:spacing w:line="360" w:lineRule="auto"/>
        <w:ind w:firstLine="420" w:firstLineChars="200"/>
        <w:rPr>
          <w:rFonts w:hint="eastAsia" w:ascii="宋体" w:hAnsi="宋体"/>
          <w:lang w:val="en-US" w:eastAsia="zh-CN"/>
        </w:rPr>
      </w:pPr>
      <w:r>
        <w:rPr>
          <w:rFonts w:hint="eastAsia" w:ascii="宋体" w:hAnsi="宋体"/>
          <w:lang w:val="en-US" w:eastAsia="zh-CN"/>
        </w:rPr>
        <w:t>新建除尘器桩基检测，包含：φ500水泥搅拌桩复合地基载荷试验（复合地基承载力特征值为120KPa）约6根，φ500水泥搅拌桩单桩荷载试验（单桩承载力特征值为120KN）约6根。</w:t>
      </w:r>
    </w:p>
    <w:p>
      <w:pPr>
        <w:spacing w:line="360" w:lineRule="auto"/>
        <w:ind w:firstLine="420" w:firstLineChars="200"/>
        <w:rPr>
          <w:rFonts w:hint="eastAsia" w:ascii="宋体" w:hAnsi="宋体"/>
          <w:lang w:val="en-US" w:eastAsia="zh-CN"/>
        </w:rPr>
      </w:pPr>
      <w:r>
        <w:rPr>
          <w:rFonts w:hint="eastAsia" w:ascii="宋体" w:hAnsi="宋体"/>
          <w:lang w:val="en-US" w:eastAsia="zh-CN"/>
        </w:rPr>
        <w:t>搭临区改造项目桩基检测，包含：以低应变检测桩身完整性约约160根，以高应变检测桩承载力约21根。管桩桩型PHC400AB95：桩长约35米，总桩数约408根，桩总长约14280米。</w:t>
      </w:r>
    </w:p>
    <w:p>
      <w:pPr>
        <w:spacing w:line="360" w:lineRule="auto"/>
        <w:ind w:firstLine="420" w:firstLineChars="200"/>
        <w:rPr>
          <w:rFonts w:hint="eastAsia" w:ascii="宋体" w:hAnsi="宋体"/>
          <w:lang w:val="en-US" w:eastAsia="zh-CN"/>
        </w:rPr>
      </w:pPr>
      <w:r>
        <w:rPr>
          <w:rFonts w:hint="eastAsia" w:ascii="宋体" w:hAnsi="宋体"/>
          <w:lang w:val="en-US" w:eastAsia="zh-CN"/>
        </w:rPr>
        <w:t>本次统一招标，按批件不同分别签订合同。</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ascii="宋体" w:hAnsi="宋体"/>
        </w:rPr>
      </w:pPr>
      <w:r>
        <w:rPr>
          <w:rFonts w:hint="eastAsia"/>
          <w:kern w:val="36"/>
        </w:rPr>
        <w:t>开工时间以现场条件具备，发包人书面通知为准</w:t>
      </w:r>
      <w:r>
        <w:rPr>
          <w:rFonts w:hint="eastAsia"/>
          <w:bCs/>
          <w:kern w:val="36"/>
        </w:rPr>
        <w:t>。</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Lines="50" w:afterLines="50" w:line="360" w:lineRule="exact"/>
        <w:rPr>
          <w:rFonts w:hint="eastAsia"/>
          <w:bCs/>
          <w:kern w:val="36"/>
          <w:szCs w:val="21"/>
        </w:rPr>
      </w:pPr>
      <w:r>
        <w:rPr>
          <w:rFonts w:hint="eastAsia"/>
          <w:bCs/>
          <w:kern w:val="36"/>
          <w:szCs w:val="21"/>
          <w:lang w:val="en-US" w:eastAsia="zh-CN"/>
        </w:rPr>
        <w:t xml:space="preserve">1.  </w:t>
      </w:r>
      <w:r>
        <w:rPr>
          <w:rFonts w:hint="eastAsia"/>
          <w:bCs/>
          <w:kern w:val="36"/>
          <w:szCs w:val="21"/>
        </w:rPr>
        <w:t>本桩基检测工程按照含税综合单价方式进行报价。</w:t>
      </w:r>
    </w:p>
    <w:p>
      <w:pPr>
        <w:spacing w:beforeLines="50" w:afterLines="50" w:line="360" w:lineRule="exact"/>
        <w:rPr>
          <w:rFonts w:hint="eastAsia" w:eastAsiaTheme="minorEastAsia"/>
          <w:bCs/>
          <w:kern w:val="36"/>
          <w:szCs w:val="21"/>
          <w:lang w:val="en-US" w:eastAsia="zh-CN"/>
        </w:rPr>
      </w:pPr>
      <w:r>
        <w:rPr>
          <w:rFonts w:hint="eastAsia"/>
          <w:bCs/>
          <w:kern w:val="36"/>
          <w:szCs w:val="21"/>
          <w:lang w:val="en-US" w:eastAsia="zh-CN"/>
        </w:rPr>
        <w:t xml:space="preserve">2.  </w:t>
      </w:r>
      <w:r>
        <w:rPr>
          <w:rFonts w:hint="eastAsia"/>
          <w:bCs/>
          <w:kern w:val="36"/>
          <w:szCs w:val="21"/>
        </w:rPr>
        <w:t>结算审核后承包人及时向发包人开具全额增值税专用发票，开具增值税发票执行</w:t>
      </w:r>
      <w:r>
        <w:rPr>
          <w:rFonts w:hint="eastAsia"/>
          <w:bCs/>
          <w:color w:val="FF0000"/>
          <w:kern w:val="36"/>
          <w:szCs w:val="21"/>
        </w:rPr>
        <w:t>6%税率</w:t>
      </w:r>
      <w:r>
        <w:rPr>
          <w:rFonts w:hint="eastAsia"/>
          <w:bCs/>
          <w:color w:val="FF0000"/>
          <w:kern w:val="36"/>
          <w:szCs w:val="21"/>
          <w:lang w:eastAsia="zh-CN"/>
        </w:rPr>
        <w:t>。</w:t>
      </w:r>
    </w:p>
    <w:p>
      <w:pPr>
        <w:spacing w:beforeLines="50" w:afterLines="50" w:line="360" w:lineRule="exact"/>
        <w:rPr>
          <w:rFonts w:hint="eastAsia"/>
          <w:bCs/>
          <w:kern w:val="36"/>
          <w:szCs w:val="21"/>
        </w:rPr>
      </w:pPr>
      <w:r>
        <w:rPr>
          <w:rFonts w:hint="eastAsia"/>
          <w:bCs/>
          <w:kern w:val="36"/>
          <w:szCs w:val="21"/>
          <w:lang w:val="en-US" w:eastAsia="zh-CN"/>
        </w:rPr>
        <w:t xml:space="preserve">3.  </w:t>
      </w:r>
      <w:r>
        <w:rPr>
          <w:rFonts w:hint="eastAsia"/>
          <w:bCs/>
          <w:kern w:val="36"/>
          <w:szCs w:val="21"/>
        </w:rPr>
        <w:t>桩检测规范应符合&lt;建筑基桩检测技术规范&gt;JGJ 106-20</w:t>
      </w:r>
      <w:r>
        <w:rPr>
          <w:rFonts w:hint="eastAsia"/>
          <w:bCs/>
          <w:kern w:val="36"/>
          <w:szCs w:val="21"/>
          <w:lang w:val="en-US" w:eastAsia="zh-CN"/>
        </w:rPr>
        <w:t>14</w:t>
      </w:r>
      <w:r>
        <w:rPr>
          <w:rFonts w:hint="eastAsia"/>
          <w:bCs/>
          <w:kern w:val="36"/>
          <w:szCs w:val="21"/>
        </w:rPr>
        <w:t>.</w:t>
      </w:r>
    </w:p>
    <w:p>
      <w:pPr>
        <w:spacing w:beforeLines="50" w:afterLines="50" w:line="360" w:lineRule="exact"/>
        <w:rPr>
          <w:rFonts w:hint="eastAsia" w:asciiTheme="minorHAnsi" w:hAnsiTheme="minorHAnsi" w:eastAsiaTheme="minorEastAsia" w:cstheme="minorBidi"/>
          <w:bCs/>
          <w:kern w:val="36"/>
          <w:sz w:val="21"/>
          <w:szCs w:val="21"/>
          <w:lang w:val="en-US" w:eastAsia="zh-CN" w:bidi="ar-SA"/>
        </w:rPr>
      </w:pPr>
      <w:r>
        <w:rPr>
          <w:rFonts w:hint="eastAsia"/>
          <w:bCs/>
          <w:kern w:val="36"/>
          <w:szCs w:val="21"/>
          <w:lang w:val="en-US" w:eastAsia="zh-CN"/>
        </w:rPr>
        <w:t xml:space="preserve">4.  </w:t>
      </w:r>
      <w:r>
        <w:rPr>
          <w:rFonts w:hint="eastAsia"/>
          <w:bCs/>
          <w:kern w:val="36"/>
          <w:szCs w:val="21"/>
        </w:rPr>
        <w:t>发包人在指定位置提供施工电源及水源，之外部分承包人自行承担，现场施工水电费结算时按合同总价的7‰扣除或装表据实扣除</w:t>
      </w:r>
      <w:r>
        <w:rPr>
          <w:rFonts w:hint="eastAsia"/>
          <w:bCs/>
          <w:kern w:val="36"/>
          <w:szCs w:val="21"/>
          <w:lang w:val="en-US" w:eastAsia="zh-CN"/>
        </w:rPr>
        <w:t>。</w:t>
      </w:r>
    </w:p>
    <w:p>
      <w:pPr>
        <w:spacing w:beforeLines="50" w:afterLines="50" w:line="360" w:lineRule="exact"/>
        <w:rPr>
          <w:rFonts w:hint="eastAsia"/>
          <w:bCs/>
          <w:kern w:val="36"/>
          <w:szCs w:val="21"/>
        </w:rPr>
      </w:pPr>
      <w:r>
        <w:rPr>
          <w:rFonts w:hint="eastAsia"/>
          <w:bCs/>
          <w:kern w:val="36"/>
          <w:szCs w:val="21"/>
          <w:lang w:val="en-US" w:eastAsia="zh-CN"/>
        </w:rPr>
        <w:t>5</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restart"/>
            <w:vAlign w:val="center"/>
          </w:tcPr>
          <w:p>
            <w:r>
              <w:rPr>
                <w:rFonts w:hint="eastAsia"/>
              </w:rPr>
              <w:t>施工方案  （</w:t>
            </w:r>
            <w:r>
              <w:t>4</w:t>
            </w:r>
            <w:r>
              <w:rPr>
                <w:rFonts w:hint="eastAsia"/>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r>
              <w:rPr>
                <w:rFonts w:hint="eastAsia"/>
              </w:rPr>
              <w:t>企业信誉  （20分）</w:t>
            </w:r>
          </w:p>
        </w:tc>
        <w:tc>
          <w:tcPr>
            <w:tcW w:w="2113" w:type="pct"/>
            <w:gridSpan w:val="2"/>
            <w:vAlign w:val="center"/>
          </w:tcPr>
          <w:p>
            <w:r>
              <w:rPr>
                <w:rFonts w:hint="eastAsia"/>
              </w:rPr>
              <w:t xml:space="preserve">企业资金状况及信用等级： </w:t>
            </w:r>
            <w:r>
              <w:t>2</w:t>
            </w:r>
            <w:r>
              <w:rPr>
                <w:rFonts w:hint="eastAsia"/>
              </w:rPr>
              <w:t>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w:t>
            </w:r>
            <w:r>
              <w:t>0</w:t>
            </w:r>
            <w:r>
              <w:rPr>
                <w:rFonts w:hint="eastAsia"/>
              </w:rPr>
              <w:t>分</w:t>
            </w:r>
          </w:p>
        </w:tc>
        <w:tc>
          <w:tcPr>
            <w:tcW w:w="1951" w:type="pct"/>
            <w:vAlign w:val="center"/>
          </w:tcPr>
          <w:p>
            <w:r>
              <w:rPr>
                <w:rFonts w:hint="eastAsia"/>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6</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2"/>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2"/>
        </w:numPr>
        <w:spacing w:line="360" w:lineRule="exact"/>
        <w:rPr>
          <w:rFonts w:ascii="宋体" w:hAnsi="宋体"/>
          <w:bCs/>
          <w:kern w:val="0"/>
        </w:rPr>
      </w:pPr>
      <w:r>
        <w:rPr>
          <w:rFonts w:hint="eastAsia" w:ascii="宋体" w:hAnsi="宋体"/>
          <w:bCs/>
        </w:rPr>
        <w:t>投标人的资质不达标等实行一票否决制。</w:t>
      </w:r>
    </w:p>
    <w:p>
      <w:pPr>
        <w:numPr>
          <w:ilvl w:val="0"/>
          <w:numId w:val="2"/>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3"/>
        </w:numPr>
        <w:spacing w:line="360" w:lineRule="exact"/>
        <w:rPr>
          <w:rFonts w:ascii="宋体" w:hAnsi="宋体" w:cs="宋体"/>
        </w:rPr>
      </w:pPr>
      <w:r>
        <w:rPr>
          <w:rFonts w:hint="eastAsia" w:ascii="宋体" w:hAnsi="宋体" w:cs="宋体"/>
        </w:rPr>
        <w:t>投标文件未按规定加盖公章和签字。</w:t>
      </w:r>
    </w:p>
    <w:p>
      <w:pPr>
        <w:numPr>
          <w:ilvl w:val="0"/>
          <w:numId w:val="3"/>
        </w:numPr>
        <w:spacing w:line="360" w:lineRule="exact"/>
        <w:rPr>
          <w:rFonts w:ascii="宋体" w:hAnsi="宋体" w:cs="宋体"/>
        </w:rPr>
      </w:pPr>
      <w:r>
        <w:rPr>
          <w:rFonts w:hint="eastAsia" w:ascii="宋体" w:hAnsi="宋体" w:cs="宋体"/>
        </w:rPr>
        <w:t>投标文件字迹模糊、无法辨认影响评标的。</w:t>
      </w:r>
    </w:p>
    <w:p>
      <w:pPr>
        <w:numPr>
          <w:ilvl w:val="0"/>
          <w:numId w:val="3"/>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3"/>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3"/>
        </w:numPr>
        <w:spacing w:line="360" w:lineRule="exact"/>
        <w:rPr>
          <w:rFonts w:ascii="宋体" w:hAnsi="宋体" w:cs="宋体"/>
        </w:rPr>
      </w:pPr>
      <w:r>
        <w:rPr>
          <w:rFonts w:hint="eastAsia" w:ascii="宋体" w:hAnsi="宋体" w:cs="宋体"/>
        </w:rPr>
        <w:t>投标人企业资质不全或无资质的。</w:t>
      </w:r>
    </w:p>
    <w:p>
      <w:pPr>
        <w:numPr>
          <w:ilvl w:val="0"/>
          <w:numId w:val="3"/>
        </w:numPr>
        <w:spacing w:line="360" w:lineRule="exact"/>
        <w:rPr>
          <w:rFonts w:ascii="宋体" w:hAnsi="宋体" w:cs="宋体"/>
        </w:rPr>
      </w:pPr>
      <w:r>
        <w:rPr>
          <w:rFonts w:hint="eastAsia" w:ascii="宋体" w:hAnsi="宋体" w:cs="宋体"/>
        </w:rPr>
        <w:t>附有招标人不能接受的条件的。</w:t>
      </w:r>
    </w:p>
    <w:p>
      <w:pPr>
        <w:numPr>
          <w:ilvl w:val="0"/>
          <w:numId w:val="3"/>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3"/>
        </w:numPr>
        <w:spacing w:line="360" w:lineRule="exact"/>
        <w:rPr>
          <w:rFonts w:ascii="宋体" w:hAnsi="宋体" w:cs="宋体"/>
        </w:rPr>
      </w:pPr>
      <w:r>
        <w:rPr>
          <w:rFonts w:hint="eastAsia" w:ascii="宋体" w:hAnsi="宋体" w:cs="宋体"/>
        </w:rPr>
        <w:t>以联合体方式投标而无共同投标协议的。</w:t>
      </w:r>
    </w:p>
    <w:p>
      <w:pPr>
        <w:numPr>
          <w:ilvl w:val="0"/>
          <w:numId w:val="3"/>
        </w:numPr>
        <w:spacing w:line="360" w:lineRule="exact"/>
        <w:rPr>
          <w:rFonts w:ascii="宋体" w:hAnsi="宋体" w:cs="宋体"/>
        </w:rPr>
      </w:pPr>
      <w:r>
        <w:rPr>
          <w:rFonts w:hint="eastAsia" w:ascii="宋体" w:hAnsi="宋体" w:cs="宋体"/>
        </w:rPr>
        <w:t>以他人名义投标的。</w:t>
      </w:r>
    </w:p>
    <w:p>
      <w:pPr>
        <w:numPr>
          <w:ilvl w:val="0"/>
          <w:numId w:val="3"/>
        </w:numPr>
        <w:spacing w:line="360" w:lineRule="exact"/>
        <w:rPr>
          <w:rFonts w:ascii="宋体" w:hAnsi="宋体" w:cs="宋体"/>
        </w:rPr>
      </w:pPr>
      <w:r>
        <w:rPr>
          <w:rFonts w:hint="eastAsia" w:ascii="宋体" w:hAnsi="宋体" w:cs="宋体"/>
        </w:rPr>
        <w:t>未按招标文件要求提交投标保证金的。</w:t>
      </w:r>
    </w:p>
    <w:p>
      <w:pPr>
        <w:numPr>
          <w:ilvl w:val="0"/>
          <w:numId w:val="3"/>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3"/>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4"/>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4"/>
        </w:numPr>
        <w:spacing w:line="360" w:lineRule="exact"/>
        <w:rPr>
          <w:rFonts w:ascii="宋体" w:hAnsi="宋体"/>
          <w:bCs/>
        </w:rPr>
      </w:pPr>
      <w:r>
        <w:rPr>
          <w:rFonts w:hint="eastAsia" w:ascii="宋体" w:hAnsi="宋体"/>
          <w:bCs/>
        </w:rPr>
        <w:t>投标代表为法人代表或持有法人委托书的委托代理人。</w:t>
      </w:r>
    </w:p>
    <w:p>
      <w:pPr>
        <w:numPr>
          <w:ilvl w:val="0"/>
          <w:numId w:val="4"/>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4"/>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4"/>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4"/>
        </w:numPr>
        <w:spacing w:line="360" w:lineRule="exact"/>
        <w:rPr>
          <w:rFonts w:ascii="宋体" w:hAnsi="宋体"/>
          <w:bCs/>
        </w:rPr>
      </w:pPr>
      <w:r>
        <w:rPr>
          <w:rFonts w:hint="eastAsia" w:ascii="宋体" w:hAnsi="宋体"/>
          <w:bCs/>
        </w:rPr>
        <w:t>企业具备安全生产条件,并取得安全生产许可证。</w:t>
      </w:r>
    </w:p>
    <w:p>
      <w:pPr>
        <w:numPr>
          <w:ilvl w:val="0"/>
          <w:numId w:val="4"/>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4"/>
        </w:numPr>
        <w:spacing w:line="360" w:lineRule="exact"/>
        <w:rPr>
          <w:rFonts w:ascii="宋体" w:hAnsi="宋体"/>
          <w:bCs/>
        </w:rPr>
      </w:pPr>
      <w:r>
        <w:rPr>
          <w:rFonts w:hint="eastAsia" w:ascii="宋体" w:hAnsi="宋体"/>
          <w:bCs/>
        </w:rPr>
        <w:t>投标人项目经理承担过所投标段类似工程。</w:t>
      </w:r>
    </w:p>
    <w:p>
      <w:pPr>
        <w:numPr>
          <w:ilvl w:val="0"/>
          <w:numId w:val="4"/>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5"/>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5"/>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5"/>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2．双方约定的工程款（进度款）支付的方式：为</w:t>
      </w:r>
      <w:r>
        <w:rPr>
          <w:rFonts w:hint="eastAsia" w:ascii="宋体" w:hAnsi="宋体" w:cs="宋体"/>
          <w:color w:val="FF0000"/>
        </w:rPr>
        <w:t>银行现汇</w:t>
      </w:r>
      <w:r>
        <w:rPr>
          <w:rFonts w:hint="eastAsia" w:ascii="宋体" w:hAnsi="宋体" w:cs="宋体"/>
          <w:color w:val="000000"/>
        </w:rPr>
        <w:t>支付。承包人完成桩基检测工作，出正式的检测报告后支付全部检测费用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6"/>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6"/>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6"/>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6"/>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详见报价单，超过综合单价拦标价的做废标处理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beforeLines="50" w:afterLines="50" w:line="25" w:lineRule="atLeast"/>
        <w:jc w:val="center"/>
        <w:rPr>
          <w:rFonts w:ascii="宋体" w:hAnsi="宋体" w:cs="宋体"/>
          <w:color w:val="000000"/>
          <w:sz w:val="24"/>
          <w:szCs w:val="24"/>
        </w:rPr>
      </w:pPr>
      <w:r>
        <w:rPr>
          <w:rFonts w:hint="eastAsia" w:ascii="宋体" w:hAnsi="宋体" w:eastAsia="宋体" w:cs="宋体"/>
          <w:b/>
          <w:sz w:val="36"/>
          <w:szCs w:val="36"/>
          <w:u w:val="none"/>
          <w:lang w:eastAsia="zh-CN"/>
        </w:rPr>
        <w:t>炼钢新建</w:t>
      </w:r>
      <w:r>
        <w:rPr>
          <w:rFonts w:hint="eastAsia" w:ascii="宋体" w:hAnsi="宋体" w:eastAsia="宋体" w:cs="宋体"/>
          <w:b/>
          <w:sz w:val="36"/>
          <w:szCs w:val="36"/>
          <w:u w:val="none"/>
          <w:lang w:val="en-US" w:eastAsia="zh-CN"/>
        </w:rPr>
        <w:t>4#LF炉、</w:t>
      </w:r>
      <w:r>
        <w:rPr>
          <w:rFonts w:hint="eastAsia" w:ascii="宋体" w:hAnsi="宋体" w:eastAsia="宋体" w:cs="宋体"/>
          <w:b/>
          <w:sz w:val="36"/>
          <w:szCs w:val="36"/>
          <w:u w:val="none"/>
          <w:lang w:eastAsia="zh-CN"/>
        </w:rPr>
        <w:t>除尘器及</w:t>
      </w:r>
      <w:r>
        <w:rPr>
          <w:rFonts w:hint="eastAsia" w:ascii="宋体" w:hAnsi="宋体" w:eastAsia="宋体" w:cs="宋体"/>
          <w:b/>
          <w:bCs/>
          <w:sz w:val="36"/>
          <w:szCs w:val="36"/>
          <w:u w:val="none"/>
        </w:rPr>
        <w:t>搭临区改造</w:t>
      </w:r>
      <w:r>
        <w:rPr>
          <w:rFonts w:hint="eastAsia" w:ascii="宋体" w:hAnsi="宋体" w:eastAsia="宋体" w:cs="宋体"/>
          <w:b/>
          <w:sz w:val="36"/>
          <w:szCs w:val="36"/>
          <w:u w:val="none"/>
          <w:lang w:val="en-US" w:eastAsia="zh-CN"/>
        </w:rPr>
        <w:t>桩基检测</w:t>
      </w:r>
      <w:r>
        <w:rPr>
          <w:rFonts w:hint="eastAsia" w:ascii="宋体" w:hAnsi="宋体" w:eastAsia="宋体" w:cs="宋体"/>
          <w:b/>
          <w:color w:val="000000"/>
          <w:sz w:val="36"/>
          <w:szCs w:val="36"/>
          <w:u w:val="none"/>
        </w:rPr>
        <w:t>报价单</w:t>
      </w:r>
    </w:p>
    <w:tbl>
      <w:tblPr>
        <w:tblStyle w:val="13"/>
        <w:tblW w:w="139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091"/>
        <w:gridCol w:w="2793"/>
        <w:gridCol w:w="1923"/>
        <w:gridCol w:w="1759"/>
        <w:gridCol w:w="1882"/>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0" w:type="dxa"/>
            <w:shd w:val="clear" w:color="auto" w:fill="auto"/>
            <w:noWrap/>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内容</w:t>
            </w:r>
          </w:p>
        </w:tc>
        <w:tc>
          <w:tcPr>
            <w:tcW w:w="1091" w:type="dxa"/>
            <w:shd w:val="clear" w:color="auto" w:fill="auto"/>
            <w:noWrap/>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数量（根）</w:t>
            </w:r>
          </w:p>
        </w:tc>
        <w:tc>
          <w:tcPr>
            <w:tcW w:w="2793" w:type="dxa"/>
            <w:shd w:val="clear" w:color="auto" w:fill="auto"/>
            <w:noWrap/>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试验方法</w:t>
            </w:r>
          </w:p>
        </w:tc>
        <w:tc>
          <w:tcPr>
            <w:tcW w:w="1923" w:type="dxa"/>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单位</w:t>
            </w:r>
          </w:p>
        </w:tc>
        <w:tc>
          <w:tcPr>
            <w:tcW w:w="1759" w:type="dxa"/>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拦标价</w:t>
            </w:r>
          </w:p>
        </w:tc>
        <w:tc>
          <w:tcPr>
            <w:tcW w:w="1882" w:type="dxa"/>
            <w:shd w:val="clear" w:color="auto" w:fill="auto"/>
            <w:noWrap/>
            <w:vAlign w:val="center"/>
          </w:tcPr>
          <w:p>
            <w:pPr>
              <w:widowControl/>
              <w:jc w:val="center"/>
              <w:rPr>
                <w:rFonts w:hint="eastAsia" w:ascii="宋体" w:hAnsi="宋体" w:eastAsia="宋体" w:cs="宋体"/>
                <w:b/>
                <w:color w:val="000000"/>
                <w:kern w:val="0"/>
                <w:sz w:val="24"/>
                <w:szCs w:val="24"/>
                <w:lang w:eastAsia="zh-CN"/>
              </w:rPr>
            </w:pPr>
            <w:r>
              <w:rPr>
                <w:rFonts w:hint="eastAsia" w:ascii="宋体" w:hAnsi="宋体" w:cs="宋体"/>
                <w:b/>
                <w:color w:val="000000"/>
                <w:kern w:val="0"/>
                <w:sz w:val="24"/>
                <w:szCs w:val="24"/>
                <w:lang w:eastAsia="zh-CN"/>
              </w:rPr>
              <w:t>报价</w:t>
            </w:r>
          </w:p>
        </w:tc>
        <w:tc>
          <w:tcPr>
            <w:tcW w:w="3327" w:type="dxa"/>
            <w:shd w:val="clear" w:color="auto" w:fill="auto"/>
            <w:noWrap/>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80" w:type="dxa"/>
            <w:vMerge w:val="restart"/>
            <w:vAlign w:val="center"/>
          </w:tcPr>
          <w:p>
            <w:pPr>
              <w:jc w:val="center"/>
              <w:rPr>
                <w:rFonts w:ascii="宋体" w:hAnsi="宋体" w:cs="宋体"/>
                <w:color w:val="000000"/>
                <w:kern w:val="0"/>
                <w:sz w:val="24"/>
                <w:szCs w:val="24"/>
              </w:rPr>
            </w:pPr>
            <w:r>
              <w:rPr>
                <w:rFonts w:hint="eastAsia"/>
                <w:color w:val="000000"/>
                <w:kern w:val="0"/>
                <w:sz w:val="24"/>
                <w:szCs w:val="24"/>
              </w:rPr>
              <w:t>φ600钻孔灌注桩</w:t>
            </w:r>
          </w:p>
        </w:tc>
        <w:tc>
          <w:tcPr>
            <w:tcW w:w="1091" w:type="dxa"/>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3</w:t>
            </w:r>
          </w:p>
        </w:tc>
        <w:tc>
          <w:tcPr>
            <w:tcW w:w="2793" w:type="dxa"/>
            <w:shd w:val="clear" w:color="auto" w:fill="auto"/>
            <w:noWrap/>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竖向静载试验（单桩极限承载力标准值</w:t>
            </w:r>
            <w:r>
              <w:rPr>
                <w:rFonts w:hint="eastAsia" w:ascii="宋体" w:hAnsi="宋体" w:cs="宋体"/>
                <w:color w:val="000000"/>
                <w:kern w:val="0"/>
                <w:sz w:val="24"/>
                <w:szCs w:val="24"/>
                <w:highlight w:val="none"/>
                <w:lang w:val="en-US" w:eastAsia="zh-CN"/>
              </w:rPr>
              <w:t>50</w:t>
            </w:r>
            <w:r>
              <w:rPr>
                <w:rFonts w:hint="eastAsia" w:ascii="宋体" w:hAnsi="宋体" w:cs="宋体"/>
                <w:color w:val="000000"/>
                <w:kern w:val="0"/>
                <w:sz w:val="24"/>
                <w:szCs w:val="24"/>
                <w:highlight w:val="none"/>
              </w:rPr>
              <w:t>00KN）</w:t>
            </w:r>
          </w:p>
        </w:tc>
        <w:tc>
          <w:tcPr>
            <w:tcW w:w="1923" w:type="dxa"/>
            <w:vAlign w:val="center"/>
          </w:tcPr>
          <w:p>
            <w:pPr>
              <w:jc w:val="center"/>
              <w:rPr>
                <w:highlight w:val="none"/>
              </w:rPr>
            </w:pPr>
            <w:r>
              <w:rPr>
                <w:rFonts w:hint="eastAsia" w:ascii="宋体" w:hAnsi="宋体" w:cs="宋体"/>
                <w:color w:val="000000"/>
                <w:kern w:val="0"/>
                <w:sz w:val="24"/>
                <w:szCs w:val="24"/>
                <w:highlight w:val="none"/>
              </w:rPr>
              <w:t>元/10KN</w:t>
            </w:r>
          </w:p>
        </w:tc>
        <w:tc>
          <w:tcPr>
            <w:tcW w:w="1759" w:type="dxa"/>
            <w:vAlign w:val="center"/>
          </w:tcPr>
          <w:p>
            <w:pPr>
              <w:jc w:val="center"/>
              <w:rPr>
                <w:highlight w:val="yellow"/>
              </w:rPr>
            </w:pPr>
            <w:r>
              <w:rPr>
                <w:rFonts w:hint="eastAsia" w:ascii="宋体" w:hAnsi="宋体" w:cs="宋体"/>
                <w:color w:val="000000"/>
                <w:kern w:val="0"/>
                <w:sz w:val="24"/>
                <w:szCs w:val="24"/>
                <w:highlight w:val="none"/>
              </w:rPr>
              <w:t>50</w:t>
            </w:r>
          </w:p>
        </w:tc>
        <w:tc>
          <w:tcPr>
            <w:tcW w:w="1882" w:type="dxa"/>
            <w:shd w:val="clear" w:color="auto" w:fill="auto"/>
            <w:noWrap/>
            <w:vAlign w:val="center"/>
          </w:tcPr>
          <w:p>
            <w:pPr>
              <w:widowControl/>
              <w:jc w:val="left"/>
              <w:rPr>
                <w:rFonts w:hint="default" w:ascii="宋体" w:hAnsi="宋体" w:eastAsia="宋体" w:cs="宋体"/>
                <w:color w:val="000000"/>
                <w:kern w:val="0"/>
                <w:sz w:val="24"/>
                <w:szCs w:val="24"/>
                <w:lang w:val="en-US" w:eastAsia="zh-CN"/>
              </w:rPr>
            </w:pPr>
          </w:p>
        </w:tc>
        <w:tc>
          <w:tcPr>
            <w:tcW w:w="3327" w:type="dxa"/>
            <w:vMerge w:val="restart"/>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检测费包括本工程检测人员工资、机械设备进出场、安装、拆卸费用，检测费用，管理费、措施费、税金、水电费等全部费用。</w:t>
            </w:r>
          </w:p>
          <w:p>
            <w:pPr>
              <w:jc w:val="left"/>
              <w:rPr>
                <w:rFonts w:ascii="宋体" w:hAnsi="宋体" w:cs="宋体"/>
                <w:color w:val="000000"/>
                <w:kern w:val="0"/>
                <w:sz w:val="18"/>
                <w:szCs w:val="18"/>
              </w:rPr>
            </w:pPr>
            <w:r>
              <w:rPr>
                <w:rFonts w:hint="eastAsia" w:ascii="宋体" w:hAnsi="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dxa"/>
            <w:vMerge w:val="continue"/>
            <w:vAlign w:val="center"/>
          </w:tcPr>
          <w:p>
            <w:pPr>
              <w:jc w:val="center"/>
              <w:rPr>
                <w:rFonts w:hint="eastAsia"/>
                <w:color w:val="000000"/>
                <w:kern w:val="0"/>
                <w:sz w:val="24"/>
                <w:szCs w:val="24"/>
              </w:rPr>
            </w:pPr>
          </w:p>
        </w:tc>
        <w:tc>
          <w:tcPr>
            <w:tcW w:w="1091" w:type="dxa"/>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33</w:t>
            </w:r>
          </w:p>
        </w:tc>
        <w:tc>
          <w:tcPr>
            <w:tcW w:w="2793" w:type="dxa"/>
            <w:shd w:val="clear" w:color="auto" w:fill="auto"/>
            <w:noWrap/>
            <w:vAlign w:val="center"/>
          </w:tcPr>
          <w:p>
            <w:pPr>
              <w:widowControl/>
              <w:jc w:val="left"/>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低应变检测</w:t>
            </w:r>
          </w:p>
        </w:tc>
        <w:tc>
          <w:tcPr>
            <w:tcW w:w="1923" w:type="dxa"/>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元/根</w:t>
            </w:r>
          </w:p>
        </w:tc>
        <w:tc>
          <w:tcPr>
            <w:tcW w:w="1759" w:type="dxa"/>
            <w:vAlign w:val="center"/>
          </w:tcPr>
          <w:p>
            <w:pPr>
              <w:widowControl/>
              <w:jc w:val="center"/>
              <w:rPr>
                <w:rFonts w:hint="eastAsia" w:ascii="宋体" w:hAnsi="宋体" w:eastAsia="宋体" w:cs="宋体"/>
                <w:color w:val="000000"/>
                <w:kern w:val="0"/>
                <w:sz w:val="24"/>
                <w:szCs w:val="24"/>
                <w:highlight w:val="yellow"/>
                <w:lang w:val="en-US" w:eastAsia="zh-CN" w:bidi="ar-SA"/>
              </w:rPr>
            </w:pPr>
            <w:r>
              <w:rPr>
                <w:rFonts w:hint="eastAsia" w:ascii="宋体" w:hAnsi="宋体" w:cs="宋体"/>
                <w:color w:val="000000"/>
                <w:kern w:val="0"/>
                <w:sz w:val="24"/>
                <w:szCs w:val="24"/>
                <w:highlight w:val="none"/>
              </w:rPr>
              <w:t>19</w:t>
            </w:r>
          </w:p>
        </w:tc>
        <w:tc>
          <w:tcPr>
            <w:tcW w:w="1882" w:type="dxa"/>
            <w:shd w:val="clear" w:color="auto" w:fill="auto"/>
            <w:noWrap/>
            <w:vAlign w:val="center"/>
          </w:tcPr>
          <w:p>
            <w:pPr>
              <w:widowControl/>
              <w:jc w:val="left"/>
              <w:rPr>
                <w:rFonts w:hint="default" w:ascii="宋体" w:hAnsi="宋体" w:eastAsia="宋体" w:cs="宋体"/>
                <w:color w:val="000000"/>
                <w:kern w:val="0"/>
                <w:sz w:val="24"/>
                <w:szCs w:val="24"/>
                <w:lang w:val="en-US" w:eastAsia="zh-CN"/>
              </w:rPr>
            </w:pPr>
          </w:p>
        </w:tc>
        <w:tc>
          <w:tcPr>
            <w:tcW w:w="3327" w:type="dxa"/>
            <w:vMerge w:val="continue"/>
            <w:vAlign w:val="center"/>
          </w:tcPr>
          <w:p>
            <w:pPr>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180" w:type="dxa"/>
            <w:vMerge w:val="restart"/>
            <w:shd w:val="clear" w:color="auto" w:fill="auto"/>
            <w:noWrap/>
            <w:vAlign w:val="center"/>
          </w:tcPr>
          <w:p>
            <w:pPr>
              <w:widowControl/>
              <w:jc w:val="center"/>
              <w:rPr>
                <w:rFonts w:ascii="宋体" w:hAnsi="宋体" w:cs="宋体"/>
                <w:color w:val="000000"/>
                <w:kern w:val="0"/>
                <w:sz w:val="24"/>
                <w:szCs w:val="24"/>
              </w:rPr>
            </w:pPr>
            <w:r>
              <w:rPr>
                <w:rFonts w:hint="eastAsia"/>
                <w:color w:val="000000"/>
                <w:sz w:val="24"/>
                <w:szCs w:val="24"/>
              </w:rPr>
              <w:t>φ800钻孔灌注桩</w:t>
            </w:r>
          </w:p>
        </w:tc>
        <w:tc>
          <w:tcPr>
            <w:tcW w:w="1091" w:type="dxa"/>
            <w:shd w:val="clear" w:color="auto" w:fill="auto"/>
            <w:noWrap/>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3</w:t>
            </w:r>
          </w:p>
        </w:tc>
        <w:tc>
          <w:tcPr>
            <w:tcW w:w="2793" w:type="dxa"/>
            <w:shd w:val="clear" w:color="auto" w:fill="auto"/>
            <w:noWrap/>
            <w:vAlign w:val="center"/>
          </w:tcPr>
          <w:p>
            <w:pPr>
              <w:widowControl/>
              <w:jc w:val="left"/>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竖向静载试验（单桩极限承载力标准值</w:t>
            </w:r>
            <w:r>
              <w:rPr>
                <w:rFonts w:hint="eastAsia" w:ascii="宋体" w:hAnsi="宋体" w:cs="宋体"/>
                <w:color w:val="000000"/>
                <w:kern w:val="0"/>
                <w:sz w:val="24"/>
                <w:szCs w:val="24"/>
                <w:highlight w:val="none"/>
                <w:lang w:val="en-US" w:eastAsia="zh-CN"/>
              </w:rPr>
              <w:t>50</w:t>
            </w:r>
            <w:r>
              <w:rPr>
                <w:rFonts w:hint="eastAsia" w:ascii="宋体" w:hAnsi="宋体" w:cs="宋体"/>
                <w:color w:val="000000"/>
                <w:kern w:val="0"/>
                <w:sz w:val="24"/>
                <w:szCs w:val="24"/>
                <w:highlight w:val="none"/>
              </w:rPr>
              <w:t>00KN）</w:t>
            </w:r>
          </w:p>
        </w:tc>
        <w:tc>
          <w:tcPr>
            <w:tcW w:w="1923" w:type="dxa"/>
            <w:vAlign w:val="center"/>
          </w:tcPr>
          <w:p>
            <w:pPr>
              <w:jc w:val="center"/>
              <w:rPr>
                <w:rFonts w:ascii="Times New Roman" w:hAnsi="Times New Roman" w:eastAsia="宋体" w:cs="Times New Roman"/>
                <w:kern w:val="2"/>
                <w:sz w:val="21"/>
                <w:highlight w:val="none"/>
                <w:lang w:val="en-US" w:eastAsia="zh-CN" w:bidi="ar-SA"/>
              </w:rPr>
            </w:pPr>
            <w:r>
              <w:rPr>
                <w:rFonts w:hint="eastAsia" w:ascii="宋体" w:hAnsi="宋体" w:cs="宋体"/>
                <w:color w:val="000000"/>
                <w:kern w:val="0"/>
                <w:sz w:val="24"/>
                <w:szCs w:val="24"/>
                <w:highlight w:val="none"/>
              </w:rPr>
              <w:t>元/10KN</w:t>
            </w:r>
          </w:p>
        </w:tc>
        <w:tc>
          <w:tcPr>
            <w:tcW w:w="1759" w:type="dxa"/>
            <w:vAlign w:val="center"/>
          </w:tcPr>
          <w:p>
            <w:pPr>
              <w:jc w:val="center"/>
              <w:rPr>
                <w:rFonts w:hint="default" w:ascii="Times New Roman" w:hAnsi="Times New Roman" w:eastAsia="宋体" w:cs="Times New Roman"/>
                <w:kern w:val="2"/>
                <w:sz w:val="21"/>
                <w:highlight w:val="none"/>
                <w:lang w:val="en-US" w:eastAsia="zh-CN" w:bidi="ar-SA"/>
              </w:rPr>
            </w:pPr>
            <w:r>
              <w:rPr>
                <w:rFonts w:hint="eastAsia" w:ascii="宋体" w:hAnsi="宋体" w:eastAsia="宋体" w:cs="宋体"/>
                <w:kern w:val="2"/>
                <w:sz w:val="24"/>
                <w:szCs w:val="24"/>
                <w:highlight w:val="none"/>
                <w:lang w:val="en-US" w:eastAsia="zh-CN" w:bidi="ar-SA"/>
              </w:rPr>
              <w:t>50</w:t>
            </w:r>
          </w:p>
        </w:tc>
        <w:tc>
          <w:tcPr>
            <w:tcW w:w="1882" w:type="dxa"/>
            <w:shd w:val="clear" w:color="auto" w:fill="auto"/>
            <w:noWrap/>
            <w:vAlign w:val="center"/>
          </w:tcPr>
          <w:p>
            <w:pPr>
              <w:widowControl/>
              <w:jc w:val="left"/>
              <w:rPr>
                <w:rFonts w:hint="default" w:ascii="宋体" w:hAnsi="宋体" w:eastAsia="宋体" w:cs="宋体"/>
                <w:color w:val="000000"/>
                <w:kern w:val="0"/>
                <w:sz w:val="24"/>
                <w:szCs w:val="24"/>
                <w:lang w:val="en-US" w:eastAsia="zh-CN"/>
              </w:rPr>
            </w:pPr>
          </w:p>
        </w:tc>
        <w:tc>
          <w:tcPr>
            <w:tcW w:w="3327" w:type="dxa"/>
            <w:vMerge w:val="continue"/>
            <w:shd w:val="clear" w:color="auto" w:fill="auto"/>
            <w:vAlign w:val="center"/>
          </w:tcPr>
          <w:p>
            <w:pPr>
              <w:widowControl/>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0" w:type="dxa"/>
            <w:vMerge w:val="continue"/>
            <w:shd w:val="clear" w:color="auto" w:fill="auto"/>
            <w:noWrap/>
            <w:vAlign w:val="center"/>
          </w:tcPr>
          <w:p>
            <w:pPr>
              <w:widowControl/>
              <w:jc w:val="center"/>
              <w:rPr>
                <w:rFonts w:hint="eastAsia"/>
                <w:color w:val="000000"/>
                <w:sz w:val="24"/>
                <w:szCs w:val="24"/>
              </w:rPr>
            </w:pPr>
          </w:p>
        </w:tc>
        <w:tc>
          <w:tcPr>
            <w:tcW w:w="1091" w:type="dxa"/>
            <w:shd w:val="clear" w:color="auto" w:fill="auto"/>
            <w:noWrap/>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54</w:t>
            </w:r>
          </w:p>
        </w:tc>
        <w:tc>
          <w:tcPr>
            <w:tcW w:w="2793" w:type="dxa"/>
            <w:shd w:val="clear" w:color="auto" w:fill="auto"/>
            <w:noWrap/>
            <w:vAlign w:val="center"/>
          </w:tcPr>
          <w:p>
            <w:pPr>
              <w:widowControl/>
              <w:jc w:val="left"/>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低应变检测</w:t>
            </w:r>
          </w:p>
        </w:tc>
        <w:tc>
          <w:tcPr>
            <w:tcW w:w="1923" w:type="dxa"/>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元/根</w:t>
            </w:r>
          </w:p>
        </w:tc>
        <w:tc>
          <w:tcPr>
            <w:tcW w:w="1759" w:type="dxa"/>
            <w:vAlign w:val="center"/>
          </w:tcPr>
          <w:p>
            <w:pPr>
              <w:widowControl/>
              <w:jc w:val="center"/>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w:t>
            </w:r>
          </w:p>
        </w:tc>
        <w:tc>
          <w:tcPr>
            <w:tcW w:w="1882" w:type="dxa"/>
            <w:shd w:val="clear" w:color="auto" w:fill="auto"/>
            <w:noWrap/>
            <w:vAlign w:val="center"/>
          </w:tcPr>
          <w:p>
            <w:pPr>
              <w:widowControl/>
              <w:jc w:val="left"/>
              <w:rPr>
                <w:rFonts w:hint="default" w:ascii="宋体" w:hAnsi="宋体" w:eastAsia="宋体" w:cs="宋体"/>
                <w:color w:val="000000"/>
                <w:kern w:val="0"/>
                <w:sz w:val="24"/>
                <w:szCs w:val="24"/>
                <w:lang w:val="en-US" w:eastAsia="zh-CN"/>
              </w:rPr>
            </w:pPr>
          </w:p>
        </w:tc>
        <w:tc>
          <w:tcPr>
            <w:tcW w:w="3327" w:type="dxa"/>
            <w:vMerge w:val="continue"/>
            <w:shd w:val="clear" w:color="auto" w:fill="auto"/>
            <w:vAlign w:val="center"/>
          </w:tcPr>
          <w:p>
            <w:pPr>
              <w:widowControl/>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80" w:type="dxa"/>
            <w:vMerge w:val="restart"/>
            <w:shd w:val="clear" w:color="auto" w:fill="auto"/>
            <w:noWrap/>
            <w:vAlign w:val="center"/>
          </w:tcPr>
          <w:p>
            <w:pPr>
              <w:widowControl/>
              <w:jc w:val="center"/>
              <w:rPr>
                <w:rFonts w:hint="eastAsia"/>
                <w:color w:val="000000"/>
                <w:sz w:val="24"/>
                <w:szCs w:val="24"/>
              </w:rPr>
            </w:pPr>
            <w:r>
              <w:rPr>
                <w:rFonts w:hint="eastAsia" w:ascii="仿宋" w:hAnsi="仿宋" w:eastAsia="仿宋"/>
                <w:b w:val="0"/>
                <w:bCs/>
                <w:color w:val="auto"/>
                <w:sz w:val="24"/>
                <w:szCs w:val="24"/>
                <w:lang w:val="en-US" w:eastAsia="zh-CN"/>
              </w:rPr>
              <w:t>φ500水泥搅拌桩</w:t>
            </w:r>
          </w:p>
        </w:tc>
        <w:tc>
          <w:tcPr>
            <w:tcW w:w="1091" w:type="dxa"/>
            <w:shd w:val="clear" w:color="auto" w:fill="auto"/>
            <w:noWrap/>
            <w:vAlign w:val="center"/>
          </w:tcPr>
          <w:p>
            <w:pPr>
              <w:widowControl/>
              <w:jc w:val="center"/>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w:t>
            </w:r>
          </w:p>
        </w:tc>
        <w:tc>
          <w:tcPr>
            <w:tcW w:w="2793" w:type="dxa"/>
            <w:shd w:val="clear" w:color="auto" w:fill="auto"/>
            <w:noWrap/>
            <w:vAlign w:val="center"/>
          </w:tcPr>
          <w:p>
            <w:pPr>
              <w:widowControl/>
              <w:jc w:val="left"/>
              <w:rPr>
                <w:rFonts w:hint="eastAsia" w:ascii="宋体" w:hAnsi="宋体" w:cs="宋体"/>
                <w:color w:val="000000"/>
                <w:kern w:val="0"/>
                <w:sz w:val="24"/>
                <w:szCs w:val="24"/>
                <w:highlight w:val="none"/>
              </w:rPr>
            </w:pPr>
            <w:r>
              <w:rPr>
                <w:rFonts w:hint="eastAsia" w:ascii="宋体" w:hAnsi="宋体"/>
                <w:sz w:val="24"/>
                <w:szCs w:val="22"/>
                <w:lang w:eastAsia="zh-CN"/>
              </w:rPr>
              <w:t>复合地基载荷试验（复合地基承载力特征值为120KPa）</w:t>
            </w:r>
          </w:p>
        </w:tc>
        <w:tc>
          <w:tcPr>
            <w:tcW w:w="1923" w:type="dxa"/>
            <w:vAlign w:val="center"/>
          </w:tcPr>
          <w:p>
            <w:pPr>
              <w:widowControl/>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eastAsia="zh-CN"/>
              </w:rPr>
              <w:t>元</w:t>
            </w:r>
            <w:r>
              <w:rPr>
                <w:rFonts w:hint="eastAsia" w:ascii="宋体" w:hAnsi="宋体" w:cs="宋体"/>
                <w:color w:val="000000"/>
                <w:kern w:val="0"/>
                <w:sz w:val="24"/>
                <w:szCs w:val="24"/>
                <w:highlight w:val="none"/>
                <w:lang w:val="en-US" w:eastAsia="zh-CN"/>
              </w:rPr>
              <w:t>/KPa</w:t>
            </w:r>
          </w:p>
        </w:tc>
        <w:tc>
          <w:tcPr>
            <w:tcW w:w="1759" w:type="dxa"/>
            <w:vAlign w:val="center"/>
          </w:tcPr>
          <w:p>
            <w:pPr>
              <w:widowControl/>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30</w:t>
            </w:r>
          </w:p>
        </w:tc>
        <w:tc>
          <w:tcPr>
            <w:tcW w:w="1882" w:type="dxa"/>
            <w:shd w:val="clear" w:color="auto" w:fill="auto"/>
            <w:noWrap/>
            <w:vAlign w:val="center"/>
          </w:tcPr>
          <w:p>
            <w:pPr>
              <w:widowControl/>
              <w:jc w:val="left"/>
              <w:rPr>
                <w:rFonts w:hint="default" w:ascii="宋体" w:hAnsi="宋体" w:eastAsia="宋体" w:cs="宋体"/>
                <w:color w:val="000000"/>
                <w:kern w:val="0"/>
                <w:sz w:val="24"/>
                <w:szCs w:val="24"/>
                <w:lang w:val="en-US" w:eastAsia="zh-CN"/>
              </w:rPr>
            </w:pPr>
          </w:p>
        </w:tc>
        <w:tc>
          <w:tcPr>
            <w:tcW w:w="3327" w:type="dxa"/>
            <w:vMerge w:val="continue"/>
            <w:shd w:val="clear" w:color="auto" w:fill="auto"/>
            <w:vAlign w:val="center"/>
          </w:tcPr>
          <w:p>
            <w:pPr>
              <w:widowControl/>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80" w:type="dxa"/>
            <w:vMerge w:val="continue"/>
            <w:shd w:val="clear" w:color="auto" w:fill="auto"/>
            <w:noWrap/>
            <w:vAlign w:val="center"/>
          </w:tcPr>
          <w:p>
            <w:pPr>
              <w:widowControl/>
              <w:jc w:val="center"/>
              <w:rPr>
                <w:rFonts w:hint="eastAsia"/>
                <w:color w:val="000000"/>
                <w:sz w:val="24"/>
                <w:szCs w:val="24"/>
              </w:rPr>
            </w:pPr>
          </w:p>
        </w:tc>
        <w:tc>
          <w:tcPr>
            <w:tcW w:w="1091" w:type="dxa"/>
            <w:shd w:val="clear" w:color="auto" w:fill="auto"/>
            <w:noWrap/>
            <w:vAlign w:val="center"/>
          </w:tcPr>
          <w:p>
            <w:pPr>
              <w:widowControl/>
              <w:jc w:val="center"/>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w:t>
            </w:r>
          </w:p>
        </w:tc>
        <w:tc>
          <w:tcPr>
            <w:tcW w:w="2793" w:type="dxa"/>
            <w:shd w:val="clear" w:color="auto" w:fill="auto"/>
            <w:noWrap/>
            <w:vAlign w:val="center"/>
          </w:tcPr>
          <w:p>
            <w:pPr>
              <w:widowControl/>
              <w:jc w:val="left"/>
              <w:rPr>
                <w:rFonts w:hint="eastAsia" w:ascii="宋体" w:hAnsi="宋体" w:cs="宋体"/>
                <w:color w:val="000000"/>
                <w:kern w:val="0"/>
                <w:sz w:val="24"/>
                <w:szCs w:val="24"/>
                <w:highlight w:val="none"/>
              </w:rPr>
            </w:pPr>
            <w:r>
              <w:rPr>
                <w:rFonts w:hint="eastAsia" w:ascii="宋体" w:hAnsi="宋体"/>
                <w:sz w:val="24"/>
                <w:szCs w:val="22"/>
                <w:lang w:eastAsia="zh-CN"/>
              </w:rPr>
              <w:t>单桩荷载试验（单桩承载力特征值为120KN）</w:t>
            </w:r>
          </w:p>
        </w:tc>
        <w:tc>
          <w:tcPr>
            <w:tcW w:w="1923" w:type="dxa"/>
            <w:vAlign w:val="center"/>
          </w:tcPr>
          <w:p>
            <w:pPr>
              <w:widowControl/>
              <w:jc w:val="center"/>
              <w:rPr>
                <w:rFonts w:hint="default" w:ascii="宋体" w:hAnsi="宋体" w:cs="宋体"/>
                <w:color w:val="000000"/>
                <w:kern w:val="0"/>
                <w:sz w:val="24"/>
                <w:szCs w:val="24"/>
                <w:highlight w:val="none"/>
                <w:lang w:val="en-US"/>
              </w:rPr>
            </w:pPr>
            <w:r>
              <w:rPr>
                <w:rFonts w:hint="eastAsia" w:ascii="宋体" w:hAnsi="宋体" w:cs="宋体"/>
                <w:color w:val="000000"/>
                <w:kern w:val="0"/>
                <w:sz w:val="24"/>
                <w:szCs w:val="24"/>
                <w:highlight w:val="none"/>
                <w:lang w:eastAsia="zh-CN"/>
              </w:rPr>
              <w:t>元</w:t>
            </w:r>
            <w:r>
              <w:rPr>
                <w:rFonts w:hint="eastAsia" w:ascii="宋体" w:hAnsi="宋体" w:cs="宋体"/>
                <w:color w:val="000000"/>
                <w:kern w:val="0"/>
                <w:sz w:val="24"/>
                <w:szCs w:val="24"/>
                <w:highlight w:val="none"/>
                <w:lang w:val="en-US" w:eastAsia="zh-CN"/>
              </w:rPr>
              <w:t>/KN</w:t>
            </w:r>
          </w:p>
        </w:tc>
        <w:tc>
          <w:tcPr>
            <w:tcW w:w="1759" w:type="dxa"/>
            <w:vAlign w:val="center"/>
          </w:tcPr>
          <w:p>
            <w:pPr>
              <w:widowControl/>
              <w:jc w:val="center"/>
              <w:rPr>
                <w:rFonts w:hint="default"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30</w:t>
            </w:r>
          </w:p>
        </w:tc>
        <w:tc>
          <w:tcPr>
            <w:tcW w:w="1882" w:type="dxa"/>
            <w:shd w:val="clear" w:color="auto" w:fill="auto"/>
            <w:noWrap/>
            <w:vAlign w:val="center"/>
          </w:tcPr>
          <w:p>
            <w:pPr>
              <w:widowControl/>
              <w:jc w:val="left"/>
              <w:rPr>
                <w:rFonts w:hint="default" w:ascii="宋体" w:hAnsi="宋体" w:eastAsia="宋体" w:cs="宋体"/>
                <w:color w:val="000000"/>
                <w:kern w:val="0"/>
                <w:sz w:val="24"/>
                <w:szCs w:val="24"/>
                <w:lang w:val="en-US" w:eastAsia="zh-CN"/>
              </w:rPr>
            </w:pPr>
          </w:p>
        </w:tc>
        <w:tc>
          <w:tcPr>
            <w:tcW w:w="3327" w:type="dxa"/>
            <w:vMerge w:val="continue"/>
            <w:shd w:val="clear" w:color="auto" w:fill="auto"/>
            <w:vAlign w:val="center"/>
          </w:tcPr>
          <w:p>
            <w:pPr>
              <w:widowControl/>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180" w:type="dxa"/>
            <w:vMerge w:val="restart"/>
            <w:shd w:val="clear" w:color="auto" w:fill="auto"/>
            <w:noWrap/>
            <w:vAlign w:val="center"/>
          </w:tcPr>
          <w:p>
            <w:pPr>
              <w:widowControl/>
              <w:jc w:val="left"/>
              <w:rPr>
                <w:rFonts w:hint="eastAsia" w:ascii="宋体" w:hAnsi="宋体" w:eastAsia="宋体" w:cs="Times New Roman"/>
                <w:color w:val="000000"/>
                <w:kern w:val="0"/>
                <w:sz w:val="22"/>
                <w:szCs w:val="22"/>
                <w:lang w:val="en-US" w:eastAsia="zh-CN" w:bidi="ar-SA"/>
              </w:rPr>
            </w:pPr>
            <w:r>
              <w:rPr>
                <w:rFonts w:hint="eastAsia" w:ascii="宋体" w:hAnsi="宋体"/>
                <w:sz w:val="24"/>
                <w:szCs w:val="24"/>
              </w:rPr>
              <w:t>管桩PHC400AB95</w:t>
            </w:r>
          </w:p>
        </w:tc>
        <w:tc>
          <w:tcPr>
            <w:tcW w:w="1091" w:type="dxa"/>
            <w:shd w:val="clear" w:color="auto" w:fill="auto"/>
            <w:noWrap/>
            <w:vAlign w:val="center"/>
          </w:tcPr>
          <w:p>
            <w:pPr>
              <w:widowControl/>
              <w:jc w:val="center"/>
              <w:rPr>
                <w:rFonts w:hint="eastAsia" w:ascii="宋体" w:hAnsi="宋体" w:eastAsia="宋体" w:cs="Times New Roman"/>
                <w:color w:val="000000"/>
                <w:kern w:val="0"/>
                <w:sz w:val="21"/>
                <w:szCs w:val="21"/>
                <w:lang w:val="en-US" w:eastAsia="zh-CN" w:bidi="ar-SA"/>
              </w:rPr>
            </w:pPr>
            <w:r>
              <w:rPr>
                <w:rFonts w:hint="eastAsia" w:ascii="宋体" w:hAnsi="宋体"/>
                <w:sz w:val="24"/>
                <w:szCs w:val="24"/>
              </w:rPr>
              <w:t>160</w:t>
            </w:r>
          </w:p>
        </w:tc>
        <w:tc>
          <w:tcPr>
            <w:tcW w:w="2793" w:type="dxa"/>
            <w:shd w:val="clear" w:color="auto" w:fill="auto"/>
            <w:noWrap/>
            <w:vAlign w:val="center"/>
          </w:tcPr>
          <w:p>
            <w:pPr>
              <w:widowControl/>
              <w:jc w:val="center"/>
              <w:rPr>
                <w:rFonts w:hint="eastAsia" w:ascii="宋体" w:hAnsi="宋体" w:eastAsia="宋体" w:cs="Times New Roman"/>
                <w:kern w:val="0"/>
                <w:sz w:val="24"/>
                <w:lang w:val="en-US" w:eastAsia="zh-CN" w:bidi="ar-SA"/>
              </w:rPr>
            </w:pPr>
            <w:r>
              <w:rPr>
                <w:rFonts w:hint="eastAsia" w:ascii="宋体" w:hAnsi="宋体"/>
                <w:color w:val="000000"/>
                <w:kern w:val="0"/>
                <w:szCs w:val="21"/>
              </w:rPr>
              <w:t>低应变检测</w:t>
            </w:r>
          </w:p>
        </w:tc>
        <w:tc>
          <w:tcPr>
            <w:tcW w:w="1923" w:type="dxa"/>
            <w:vAlign w:val="center"/>
          </w:tcPr>
          <w:p>
            <w:pPr>
              <w:widowControl/>
              <w:jc w:val="center"/>
              <w:rPr>
                <w:rFonts w:hint="eastAsia" w:ascii="宋体" w:hAnsi="宋体" w:eastAsia="宋体" w:cs="Times New Roman"/>
                <w:kern w:val="2"/>
                <w:sz w:val="21"/>
                <w:lang w:val="en-US" w:eastAsia="zh-CN" w:bidi="ar-SA"/>
              </w:rPr>
            </w:pPr>
            <w:r>
              <w:rPr>
                <w:rFonts w:hint="eastAsia" w:ascii="宋体" w:hAnsi="宋体"/>
                <w:kern w:val="0"/>
                <w:sz w:val="24"/>
                <w:lang w:eastAsia="zh-CN"/>
              </w:rPr>
              <w:t>元</w:t>
            </w:r>
            <w:r>
              <w:rPr>
                <w:rFonts w:hint="eastAsia" w:ascii="宋体" w:hAnsi="宋体"/>
                <w:kern w:val="0"/>
                <w:sz w:val="24"/>
                <w:lang w:val="en-US" w:eastAsia="zh-CN"/>
              </w:rPr>
              <w:t>/</w:t>
            </w:r>
            <w:r>
              <w:rPr>
                <w:rFonts w:hint="eastAsia" w:ascii="宋体" w:hAnsi="宋体"/>
                <w:kern w:val="0"/>
                <w:sz w:val="24"/>
              </w:rPr>
              <w:t>根</w:t>
            </w:r>
          </w:p>
        </w:tc>
        <w:tc>
          <w:tcPr>
            <w:tcW w:w="1759" w:type="dxa"/>
            <w:vAlign w:val="center"/>
          </w:tcPr>
          <w:p>
            <w:pPr>
              <w:widowControl/>
              <w:jc w:val="center"/>
              <w:rPr>
                <w:rFonts w:hint="default" w:ascii="宋体" w:hAnsi="宋体" w:eastAsia="宋体" w:cs="Times New Roman"/>
                <w:kern w:val="0"/>
                <w:sz w:val="24"/>
                <w:lang w:val="en-US" w:eastAsia="zh-CN" w:bidi="ar-SA"/>
              </w:rPr>
            </w:pPr>
            <w:r>
              <w:rPr>
                <w:rFonts w:hint="eastAsia" w:ascii="宋体" w:hAnsi="宋体" w:cs="Times New Roman"/>
                <w:kern w:val="0"/>
                <w:sz w:val="24"/>
                <w:lang w:val="en-US" w:eastAsia="zh-CN" w:bidi="ar-SA"/>
              </w:rPr>
              <w:t>19</w:t>
            </w:r>
          </w:p>
        </w:tc>
        <w:tc>
          <w:tcPr>
            <w:tcW w:w="1882" w:type="dxa"/>
            <w:shd w:val="clear" w:color="auto" w:fill="auto"/>
            <w:noWrap/>
            <w:vAlign w:val="center"/>
          </w:tcPr>
          <w:p>
            <w:pPr>
              <w:jc w:val="right"/>
              <w:rPr>
                <w:rFonts w:hint="default" w:ascii="宋体" w:hAnsi="宋体" w:eastAsia="宋体" w:cs="Times New Roman"/>
                <w:color w:val="000000"/>
                <w:kern w:val="2"/>
                <w:sz w:val="22"/>
                <w:szCs w:val="22"/>
                <w:lang w:val="en-US" w:eastAsia="zh-CN" w:bidi="ar-SA"/>
              </w:rPr>
            </w:pPr>
          </w:p>
        </w:tc>
        <w:tc>
          <w:tcPr>
            <w:tcW w:w="3327" w:type="dxa"/>
            <w:vMerge w:val="continue"/>
            <w:shd w:val="clear" w:color="auto" w:fill="auto"/>
            <w:vAlign w:val="center"/>
          </w:tcPr>
          <w:p>
            <w:pPr>
              <w:widowControl/>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80" w:type="dxa"/>
            <w:vMerge w:val="continue"/>
            <w:shd w:val="clear" w:color="auto" w:fill="auto"/>
            <w:noWrap/>
            <w:vAlign w:val="center"/>
          </w:tcPr>
          <w:p>
            <w:pPr>
              <w:jc w:val="center"/>
              <w:rPr>
                <w:rFonts w:hint="eastAsia" w:ascii="宋体" w:hAnsi="宋体" w:eastAsia="宋体" w:cs="Times New Roman"/>
                <w:color w:val="000000"/>
                <w:kern w:val="2"/>
                <w:sz w:val="22"/>
                <w:szCs w:val="22"/>
                <w:lang w:val="en-US" w:eastAsia="zh-CN" w:bidi="ar-SA"/>
              </w:rPr>
            </w:pPr>
          </w:p>
        </w:tc>
        <w:tc>
          <w:tcPr>
            <w:tcW w:w="1091" w:type="dxa"/>
            <w:shd w:val="clear" w:color="auto" w:fill="auto"/>
            <w:noWrap/>
            <w:vAlign w:val="center"/>
          </w:tcPr>
          <w:p>
            <w:pPr>
              <w:jc w:val="center"/>
              <w:rPr>
                <w:rFonts w:hint="default" w:ascii="宋体" w:hAnsi="宋体" w:eastAsia="宋体" w:cs="Times New Roman"/>
                <w:color w:val="000000"/>
                <w:kern w:val="2"/>
                <w:sz w:val="21"/>
                <w:szCs w:val="21"/>
                <w:lang w:val="en-US" w:eastAsia="zh-CN" w:bidi="ar-SA"/>
              </w:rPr>
            </w:pPr>
            <w:r>
              <w:rPr>
                <w:rFonts w:hint="eastAsia" w:ascii="宋体" w:hAnsi="宋体" w:cs="Times New Roman"/>
                <w:color w:val="000000"/>
                <w:kern w:val="2"/>
                <w:sz w:val="24"/>
                <w:szCs w:val="24"/>
                <w:lang w:val="en-US" w:eastAsia="zh-CN" w:bidi="ar-SA"/>
              </w:rPr>
              <w:t>21</w:t>
            </w:r>
          </w:p>
        </w:tc>
        <w:tc>
          <w:tcPr>
            <w:tcW w:w="2793" w:type="dxa"/>
            <w:shd w:val="clear" w:color="auto" w:fill="auto"/>
            <w:noWrap/>
            <w:vAlign w:val="center"/>
          </w:tcPr>
          <w:p>
            <w:pPr>
              <w:widowControl/>
              <w:jc w:val="center"/>
              <w:rPr>
                <w:rFonts w:hint="eastAsia" w:ascii="宋体" w:hAnsi="宋体" w:eastAsia="宋体" w:cs="Times New Roman"/>
                <w:kern w:val="0"/>
                <w:sz w:val="24"/>
                <w:lang w:val="en-US" w:eastAsia="zh-CN" w:bidi="ar-SA"/>
              </w:rPr>
            </w:pPr>
            <w:r>
              <w:rPr>
                <w:rFonts w:hint="eastAsia" w:ascii="宋体" w:hAnsi="宋体"/>
                <w:color w:val="000000"/>
                <w:kern w:val="0"/>
                <w:szCs w:val="21"/>
              </w:rPr>
              <w:t>高应变检测（</w:t>
            </w:r>
            <w:r>
              <w:rPr>
                <w:rFonts w:hint="eastAsia" w:ascii="宋体" w:hAnsi="宋体" w:cs="宋体"/>
                <w:color w:val="000000"/>
                <w:kern w:val="0"/>
                <w:sz w:val="24"/>
                <w:szCs w:val="24"/>
              </w:rPr>
              <w:t>单桩极限承载力标准值1600KN</w:t>
            </w:r>
            <w:r>
              <w:rPr>
                <w:rFonts w:hint="eastAsia" w:ascii="宋体" w:hAnsi="宋体"/>
                <w:color w:val="000000"/>
                <w:kern w:val="0"/>
                <w:szCs w:val="21"/>
              </w:rPr>
              <w:t>）</w:t>
            </w:r>
          </w:p>
        </w:tc>
        <w:tc>
          <w:tcPr>
            <w:tcW w:w="1923" w:type="dxa"/>
            <w:vAlign w:val="center"/>
          </w:tcPr>
          <w:p>
            <w:pPr>
              <w:widowControl/>
              <w:jc w:val="center"/>
              <w:rPr>
                <w:rFonts w:hint="eastAsia" w:ascii="宋体" w:hAnsi="宋体" w:eastAsia="宋体" w:cs="Times New Roman"/>
                <w:kern w:val="0"/>
                <w:sz w:val="24"/>
                <w:lang w:val="en-US" w:eastAsia="zh-CN" w:bidi="ar-SA"/>
              </w:rPr>
            </w:pPr>
            <w:r>
              <w:rPr>
                <w:rFonts w:hint="eastAsia" w:ascii="宋体" w:hAnsi="宋体"/>
                <w:kern w:val="0"/>
                <w:sz w:val="24"/>
                <w:lang w:eastAsia="zh-CN"/>
              </w:rPr>
              <w:t>元</w:t>
            </w:r>
            <w:r>
              <w:rPr>
                <w:rFonts w:hint="eastAsia" w:ascii="宋体" w:hAnsi="宋体"/>
                <w:kern w:val="0"/>
                <w:sz w:val="24"/>
                <w:lang w:val="en-US" w:eastAsia="zh-CN"/>
              </w:rPr>
              <w:t>/</w:t>
            </w:r>
            <w:r>
              <w:rPr>
                <w:rFonts w:hint="eastAsia" w:ascii="宋体" w:hAnsi="宋体"/>
                <w:kern w:val="0"/>
                <w:sz w:val="24"/>
                <w:lang w:eastAsia="zh-CN"/>
              </w:rPr>
              <w:t>根</w:t>
            </w:r>
          </w:p>
        </w:tc>
        <w:tc>
          <w:tcPr>
            <w:tcW w:w="1759" w:type="dxa"/>
            <w:vAlign w:val="center"/>
          </w:tcPr>
          <w:p>
            <w:pPr>
              <w:widowControl/>
              <w:jc w:val="center"/>
              <w:rPr>
                <w:rFonts w:hint="eastAsia" w:ascii="宋体" w:hAnsi="宋体" w:eastAsia="宋体" w:cs="Times New Roman"/>
                <w:kern w:val="0"/>
                <w:sz w:val="24"/>
                <w:lang w:val="en-US" w:eastAsia="zh-CN" w:bidi="ar-SA"/>
              </w:rPr>
            </w:pPr>
            <w:r>
              <w:rPr>
                <w:rFonts w:hint="eastAsia" w:ascii="宋体" w:hAnsi="宋体"/>
                <w:kern w:val="0"/>
                <w:sz w:val="24"/>
              </w:rPr>
              <w:t>4000</w:t>
            </w:r>
          </w:p>
        </w:tc>
        <w:tc>
          <w:tcPr>
            <w:tcW w:w="1882" w:type="dxa"/>
            <w:shd w:val="clear" w:color="auto" w:fill="auto"/>
            <w:noWrap/>
            <w:vAlign w:val="center"/>
          </w:tcPr>
          <w:p>
            <w:pPr>
              <w:widowControl/>
              <w:jc w:val="right"/>
              <w:rPr>
                <w:rFonts w:hint="default" w:ascii="宋体" w:hAnsi="宋体" w:eastAsia="宋体" w:cs="Times New Roman"/>
                <w:kern w:val="0"/>
                <w:sz w:val="24"/>
                <w:szCs w:val="22"/>
                <w:lang w:val="en-US" w:eastAsia="zh-CN" w:bidi="ar-SA"/>
              </w:rPr>
            </w:pPr>
          </w:p>
        </w:tc>
        <w:tc>
          <w:tcPr>
            <w:tcW w:w="3327" w:type="dxa"/>
            <w:vMerge w:val="continue"/>
            <w:shd w:val="clear" w:color="auto" w:fill="auto"/>
            <w:vAlign w:val="center"/>
          </w:tcPr>
          <w:p>
            <w:pPr>
              <w:widowControl/>
              <w:jc w:val="left"/>
              <w:rPr>
                <w:rFonts w:ascii="宋体" w:hAnsi="宋体" w:cs="宋体"/>
                <w:color w:val="000000"/>
                <w:kern w:val="0"/>
                <w:sz w:val="24"/>
                <w:szCs w:val="24"/>
              </w:rPr>
            </w:pPr>
          </w:p>
        </w:tc>
      </w:tr>
    </w:tbl>
    <w:p>
      <w:pPr>
        <w:spacing w:beforeLines="50" w:afterLines="50" w:line="25" w:lineRule="atLeast"/>
        <w:rPr>
          <w:rFonts w:ascii="宋体" w:hAnsi="宋体" w:cs="宋体"/>
          <w:color w:val="000000"/>
          <w:sz w:val="24"/>
          <w:szCs w:val="24"/>
        </w:rPr>
      </w:pPr>
    </w:p>
    <w:p>
      <w:pPr>
        <w:spacing w:line="360" w:lineRule="auto"/>
        <w:rPr>
          <w:b/>
          <w:sz w:val="24"/>
          <w:szCs w:val="24"/>
        </w:rPr>
      </w:pPr>
      <w:r>
        <w:rPr>
          <w:rFonts w:hint="eastAsia" w:ascii="宋体" w:hAnsi="宋体" w:cs="宋体"/>
          <w:b/>
          <w:color w:val="000000"/>
          <w:sz w:val="28"/>
          <w:szCs w:val="28"/>
        </w:rPr>
        <w:t>注：本报价单需加盖投标单位公章和</w:t>
      </w:r>
      <w:r>
        <w:rPr>
          <w:rFonts w:hint="eastAsia"/>
          <w:b/>
          <w:sz w:val="28"/>
          <w:szCs w:val="28"/>
        </w:rPr>
        <w:t>法人代表印章或授权代理人签字</w:t>
      </w:r>
      <w:r>
        <w:rPr>
          <w:rFonts w:hint="eastAsia"/>
          <w:b/>
          <w:sz w:val="24"/>
          <w:szCs w:val="24"/>
        </w:rPr>
        <w:t>。</w:t>
      </w:r>
    </w:p>
    <w:p>
      <w:pPr>
        <w:spacing w:line="360" w:lineRule="auto"/>
        <w:rPr>
          <w:rFonts w:ascii="宋体" w:hAnsi="宋体"/>
          <w:b/>
          <w:bCs/>
          <w:sz w:val="36"/>
          <w:szCs w:val="36"/>
        </w:rPr>
        <w:sectPr>
          <w:pgSz w:w="16838" w:h="11906" w:orient="landscape"/>
          <w:pgMar w:top="1418" w:right="1440" w:bottom="1418" w:left="1440" w:header="851" w:footer="992" w:gutter="0"/>
          <w:cols w:space="720" w:num="1"/>
          <w:docGrid w:type="lines" w:linePitch="312" w:charSpace="0"/>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8">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8"/>
  </w:num>
  <w:num w:numId="3">
    <w:abstractNumId w:val="7"/>
  </w:num>
  <w:num w:numId="4">
    <w:abstractNumId w:val="3"/>
  </w:num>
  <w:num w:numId="5">
    <w:abstractNumId w:val="1"/>
  </w:num>
  <w:num w:numId="6">
    <w:abstractNumId w:val="4"/>
  </w:num>
  <w:num w:numId="7">
    <w:abstractNumId w:val="0"/>
    <w:lvlOverride w:ilvl="0">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BC5298"/>
    <w:rsid w:val="08D77FB9"/>
    <w:rsid w:val="0DFC1491"/>
    <w:rsid w:val="1DC136C9"/>
    <w:rsid w:val="214D2E1E"/>
    <w:rsid w:val="216472EF"/>
    <w:rsid w:val="21F73AF2"/>
    <w:rsid w:val="22574413"/>
    <w:rsid w:val="23883F50"/>
    <w:rsid w:val="24C93CD8"/>
    <w:rsid w:val="24E835CF"/>
    <w:rsid w:val="282A37D0"/>
    <w:rsid w:val="326329B3"/>
    <w:rsid w:val="34481C4C"/>
    <w:rsid w:val="45661826"/>
    <w:rsid w:val="47614EF9"/>
    <w:rsid w:val="492349FE"/>
    <w:rsid w:val="58473042"/>
    <w:rsid w:val="59545629"/>
    <w:rsid w:val="59A06F0E"/>
    <w:rsid w:val="59EC5338"/>
    <w:rsid w:val="5D882CE0"/>
    <w:rsid w:val="65581936"/>
    <w:rsid w:val="66296C18"/>
    <w:rsid w:val="68881191"/>
    <w:rsid w:val="6E1E3AB8"/>
    <w:rsid w:val="6FF9123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qFormat/>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6</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2021-08-09T06:37:43Z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2FA7562817C24DA3BD1AB1BD62A1C4E2</vt:lpwstr>
  </property>
</Properties>
</file>