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炼铁部供料S08通廊下部及周边封闭土建工程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炼铁部供料S08通廊下部及周边封闭土建工程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炼铁部供料S08通廊下部及周边封闭土建工程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炼铁部供料S08通廊下部及周边封闭土建工程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矮墙与钢柱基础制作、砖墙砌筑及贴砖</w:t>
      </w:r>
      <w:r>
        <w:rPr>
          <w:rFonts w:hint="eastAsia" w:ascii="宋体" w:hAnsi="宋体"/>
          <w:color w:val="auto"/>
        </w:rPr>
        <w:t>等全部工程量</w:t>
      </w:r>
      <w:r>
        <w:rPr>
          <w:rFonts w:hint="eastAsia" w:ascii="宋体" w:hAnsi="宋体"/>
          <w:color w:val="auto"/>
          <w:lang w:eastAsia="zh-CN"/>
        </w:rPr>
        <w:t>。</w:t>
      </w:r>
      <w:bookmarkStart w:id="3" w:name="_GoBack"/>
      <w:bookmarkEnd w:id="3"/>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olor w:val="auto"/>
          <w:lang w:val="en-US" w:eastAsia="zh-CN"/>
        </w:rPr>
      </w:pPr>
      <w:r>
        <w:rPr>
          <w:rFonts w:hint="eastAsia" w:ascii="宋体" w:hAnsi="宋体"/>
          <w:color w:val="auto"/>
          <w:lang w:val="en-US" w:eastAsia="zh-CN"/>
        </w:rPr>
        <w:t xml:space="preserve">开工日期： 2021-8-13     （暂定）                                          </w:t>
      </w:r>
    </w:p>
    <w:p>
      <w:pPr>
        <w:spacing w:line="360" w:lineRule="auto"/>
        <w:ind w:firstLine="420"/>
        <w:rPr>
          <w:rFonts w:hint="eastAsia" w:ascii="宋体" w:hAnsi="宋体"/>
          <w:color w:val="auto"/>
          <w:lang w:val="en-US" w:eastAsia="zh-CN"/>
        </w:rPr>
      </w:pPr>
      <w:r>
        <w:rPr>
          <w:rFonts w:hint="eastAsia" w:ascii="宋体" w:hAnsi="宋体"/>
          <w:color w:val="auto"/>
          <w:lang w:val="en-US" w:eastAsia="zh-CN"/>
        </w:rPr>
        <w:t xml:space="preserve">竣工日期： 2021-9-12                                                             </w:t>
      </w:r>
    </w:p>
    <w:p>
      <w:pPr>
        <w:spacing w:line="360" w:lineRule="auto"/>
        <w:ind w:firstLine="420"/>
        <w:rPr>
          <w:rFonts w:ascii="宋体" w:hAnsi="宋体"/>
          <w:color w:val="auto"/>
        </w:rPr>
      </w:pPr>
      <w:r>
        <w:rPr>
          <w:rFonts w:hint="eastAsia" w:ascii="宋体" w:hAnsi="宋体"/>
          <w:color w:val="auto"/>
          <w:lang w:val="en-US" w:eastAsia="zh-CN"/>
        </w:rPr>
        <w:t>合同工期总日历天数 30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该工程所有材料（除钢筋外）由承包人提供。承包人需优先领用发包人降级、非标定尺和不成捆钢筋，若发包人不能及时提供所需材料，承包方上报自购证明报告，经发包人同意后可由承包人提供。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发包人提供的钢筋和铸管的厂内倒运费用按照报价单执行。</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2021年第6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pStyle w:val="21"/>
        <w:numPr>
          <w:ilvl w:val="0"/>
          <w:numId w:val="2"/>
        </w:numPr>
        <w:tabs>
          <w:tab w:val="left" w:pos="180"/>
        </w:tabs>
        <w:spacing w:line="360" w:lineRule="exact"/>
        <w:ind w:left="420" w:leftChars="0" w:hanging="420" w:firstLineChars="0"/>
        <w:jc w:val="left"/>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无进度款</w:t>
      </w:r>
      <w:r>
        <w:rPr>
          <w:rFonts w:hint="eastAsia" w:ascii="宋体" w:hAnsi="宋体" w:cs="宋体"/>
          <w:color w:val="auto"/>
        </w:rPr>
        <w:t>。</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2"/>
          <w:szCs w:val="32"/>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auto"/>
          <w:sz w:val="32"/>
          <w:szCs w:val="32"/>
          <w:u w:val="none"/>
          <w:lang w:val="en-US" w:eastAsia="zh-CN"/>
        </w:rPr>
        <w:t xml:space="preserve"> </w:t>
      </w:r>
      <w:r>
        <w:rPr>
          <w:rFonts w:hint="eastAsia" w:ascii="宋体" w:hAnsi="宋体"/>
          <w:b/>
          <w:bCs/>
          <w:sz w:val="32"/>
          <w:szCs w:val="32"/>
          <w:u w:val="single"/>
        </w:rPr>
        <w:t xml:space="preserve"> </w:t>
      </w:r>
      <w:r>
        <w:rPr>
          <w:rFonts w:hint="eastAsia" w:ascii="宋体" w:hAnsi="宋体"/>
          <w:b/>
          <w:bCs/>
          <w:sz w:val="32"/>
          <w:szCs w:val="32"/>
          <w:u w:val="single"/>
          <w:lang w:eastAsia="zh-CN"/>
        </w:rPr>
        <w:t>炼铁部供料S08通廊下部及周边封闭土建</w:t>
      </w:r>
      <w:r>
        <w:rPr>
          <w:rFonts w:hint="eastAsia" w:ascii="宋体" w:hAnsi="宋体"/>
          <w:b/>
          <w:bCs/>
          <w:sz w:val="32"/>
          <w:szCs w:val="32"/>
          <w:u w:val="single"/>
        </w:rPr>
        <w:t xml:space="preserve"> </w:t>
      </w:r>
      <w:r>
        <w:rPr>
          <w:rFonts w:hint="eastAsia" w:ascii="宋体" w:hAnsi="宋体"/>
          <w:b/>
          <w:bCs/>
          <w:sz w:val="32"/>
          <w:szCs w:val="32"/>
        </w:rPr>
        <w:t>工程报价单</w:t>
      </w:r>
    </w:p>
    <w:tbl>
      <w:tblPr>
        <w:tblStyle w:val="13"/>
        <w:tblpPr w:leftFromText="180" w:rightFromText="180" w:vertAnchor="text" w:horzAnchor="page" w:tblpX="626" w:tblpY="64"/>
        <w:tblOverlap w:val="never"/>
        <w:tblW w:w="4827" w:type="pct"/>
        <w:tblInd w:w="0" w:type="dxa"/>
        <w:tblLayout w:type="fixed"/>
        <w:tblCellMar>
          <w:top w:w="0" w:type="dxa"/>
          <w:left w:w="108" w:type="dxa"/>
          <w:bottom w:w="0" w:type="dxa"/>
          <w:right w:w="108" w:type="dxa"/>
        </w:tblCellMar>
      </w:tblPr>
      <w:tblGrid>
        <w:gridCol w:w="1064"/>
        <w:gridCol w:w="1991"/>
        <w:gridCol w:w="1050"/>
        <w:gridCol w:w="1773"/>
        <w:gridCol w:w="8795"/>
      </w:tblGrid>
      <w:tr>
        <w:tblPrEx>
          <w:tblCellMar>
            <w:top w:w="0" w:type="dxa"/>
            <w:left w:w="108" w:type="dxa"/>
            <w:bottom w:w="0" w:type="dxa"/>
            <w:right w:w="108" w:type="dxa"/>
          </w:tblCellMar>
        </w:tblPrEx>
        <w:trPr>
          <w:trHeight w:val="416" w:hRule="atLeast"/>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19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7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56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1</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挖运土方</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m3</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763</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拦标价：40元/立。包括开挖、装车、外排（外运5km）等涉及的全部工序及人工费、机械费、材料费、措施费、不可竞争费、税金、水电费等全部费用。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277"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2</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土方回填</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m3</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610</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拦标价：30元/立。包括装车、回运、回填、平整、夯实等涉及的全部工序及人工费、机械费、材料费、措施费、不可竞争费、税金、水电费等全部费用。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27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3</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沙石换填</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m3</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96</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拦标价：400元/立。包括卸车、运输、倒运、拌和、铺设、夯实等涉及的全部工序及人工费、机械费、材料费、措施费、不可竞争费、税金、水电费等全部费用。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3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4</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砼垫层浇筑</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m3</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14</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拦标价：750元/立。包括卸车、运输、倒运、支模、对拉丝、浇筑、养生等涉及的全部工序及人工费、机械费、材料费、措施费、不可竞争费、税金、水电费等全部费用。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5</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基础浇筑</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m3</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43</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拦标价：950元/立。包括卸车、运输、倒运、脚手架、支模、对拉丝、浇筑、养生等涉及的全部工序及人工费、机械费、材料费、措施费、不可竞争费、税金、水电费等全部费用。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钢筋制安</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1400元/吨。包括卸车、运输、倒运、制作、安装等涉及的全部工序及人工费、机械费、材料费（不包含钢筋主材费用）、措施费、不可竞争费、税金、水电费等全部费用（不包含发包人提供的钢筋倒运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钢筋转运</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拦标价：50元/吨。包括发包人提供的钢筋、铸管在厂内的提料、运输、卸车等涉及的全部工序及人工费、机械费、材料费、措施费、不可竞争费、税金、水电费等全部费用。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预埋件</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拦标价：13000元/吨。包括卸车、运输、倒运、制作、安装等涉及的全部工序及人工费、机械费、材料费、措施费、不可竞争费、税金、水电费等全部费用。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砖墙砌筑</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m3</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拦标价：650元/立。包括卸车、运输、倒运、脚手架、砌筑等涉及的全部工序及人工费、机械费、材料费、措施费、不可竞争费、税金、水电费等全部费用。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墙体表面杂物清理、抹灰</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186</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拦标价：27元/平。包括卸车、运输、倒运、杂物清理、抹灰等涉及的全部工序及人工费、机械费、材料费、措施费、不可竞争费、税金、水电费等全部费用。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墙体表面杂物清理、刷涂料</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84</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拦标价：24元/平。包括卸车、运输、倒运、杂物清理、粉刷涂料等涉及的全部工序及人工费、机械费、材料费、措施费、不可竞争费、税金、水电费等全部费用。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面砖</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m2</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84</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拦标价：130元/平。包括卸车、运输、倒运、脚手架、镶贴等涉及的全部工序及人工费、机械费、材料费、措施费、不可竞争费、税金、水电费等全部费用。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4"/>
                <w:szCs w:val="24"/>
                <w:u w:val="none"/>
                <w:lang w:val="en-US" w:eastAsia="zh-CN" w:bidi="ar"/>
              </w:rPr>
              <w:t>优惠率（不包含材料费）</w:t>
            </w:r>
          </w:p>
        </w:tc>
        <w:tc>
          <w:tcPr>
            <w:tcW w:w="28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4"/>
                <w:szCs w:val="24"/>
                <w:u w:val="none"/>
                <w:lang w:val="en-US" w:eastAsia="zh-CN" w:bidi="ar"/>
              </w:rPr>
              <w:t>暂估金额5000元</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D4E648F"/>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6</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2021-08-09T02:50:55Z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9C715AAECA884F55A9461866D6FA45E2</vt:lpwstr>
  </property>
</Properties>
</file>