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bookmarkStart w:id="3" w:name="_GoBack"/>
      <w:r>
        <w:rPr>
          <w:rFonts w:hint="eastAsia" w:ascii="宋体" w:hAnsi="宋体"/>
          <w:color w:val="auto"/>
          <w:sz w:val="36"/>
          <w:szCs w:val="32"/>
          <w:lang w:eastAsia="zh-CN"/>
        </w:rPr>
        <w:t>铸管部全自动打包机土建工程</w:t>
      </w:r>
      <w:r>
        <w:rPr>
          <w:rFonts w:hint="eastAsia" w:ascii="宋体" w:hAnsi="宋体"/>
          <w:color w:val="auto"/>
          <w:sz w:val="36"/>
          <w:szCs w:val="32"/>
          <w:lang w:val="en-US" w:eastAsia="zh-CN"/>
        </w:rPr>
        <w:t>项目</w:t>
      </w:r>
      <w:bookmarkEnd w:id="3"/>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08</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铁前部废油暂存库工程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08</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铸管部全自动打包机土建工程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铸管部全自动打包机土建工程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before="156" w:beforeLines="50" w:after="156" w:afterLines="50" w:line="300" w:lineRule="auto"/>
        <w:rPr>
          <w:rFonts w:hint="eastAsia" w:ascii="宋体" w:hAnsi="宋体" w:cs="宋体"/>
          <w:color w:val="auto"/>
          <w:kern w:val="36"/>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s="宋体"/>
          <w:color w:val="auto"/>
          <w:kern w:val="36"/>
        </w:rPr>
        <w:t>包含</w:t>
      </w:r>
      <w:r>
        <w:rPr>
          <w:rFonts w:hint="eastAsia" w:ascii="宋体" w:hAnsi="宋体" w:cs="宋体"/>
          <w:color w:val="auto"/>
          <w:kern w:val="36"/>
          <w:lang w:val="en-US" w:eastAsia="zh-CN"/>
        </w:rPr>
        <w:t>新建打包机设备基础，重做排水沟、电缆沟、液压沟，地坪恢复</w:t>
      </w:r>
      <w:r>
        <w:rPr>
          <w:rFonts w:hint="eastAsia" w:ascii="宋体" w:hAnsi="宋体" w:cs="宋体"/>
          <w:color w:val="auto"/>
          <w:kern w:val="36"/>
        </w:rPr>
        <w:t>等全部工程量。</w:t>
      </w:r>
    </w:p>
    <w:p>
      <w:pPr>
        <w:spacing w:before="156" w:beforeLines="50" w:after="156" w:afterLines="50" w:line="300" w:lineRule="auto"/>
        <w:rPr>
          <w:rFonts w:hint="default" w:ascii="宋体" w:hAnsi="宋体" w:cs="宋体"/>
          <w:color w:val="auto"/>
          <w:kern w:val="36"/>
          <w:lang w:val="en-US" w:eastAsia="zh-CN"/>
        </w:rPr>
      </w:pPr>
      <w:r>
        <w:rPr>
          <w:rFonts w:hint="eastAsia" w:ascii="宋体" w:hAnsi="宋体" w:cs="宋体"/>
          <w:color w:val="auto"/>
          <w:kern w:val="36"/>
          <w:lang w:val="en-US" w:eastAsia="zh-CN"/>
        </w:rPr>
        <w:t>工程量：包含开挖土方约317m3，土方回填约141m3，级配沙石约73m3，垫层浇筑约20m3，混凝土浇筑约110m3，二次灌浆约10m3，钢筋制安约9t，钢结构制安约4t等。</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color w:val="auto"/>
          <w:kern w:val="36"/>
        </w:rPr>
      </w:pPr>
      <w:r>
        <w:rPr>
          <w:rFonts w:hint="eastAsia"/>
          <w:color w:val="auto"/>
          <w:kern w:val="36"/>
        </w:rPr>
        <w:t>开工日期： 2021-</w:t>
      </w:r>
      <w:r>
        <w:rPr>
          <w:rFonts w:hint="eastAsia"/>
          <w:color w:val="auto"/>
          <w:kern w:val="36"/>
          <w:lang w:val="en-US" w:eastAsia="zh-CN"/>
        </w:rPr>
        <w:t>8</w:t>
      </w:r>
      <w:r>
        <w:rPr>
          <w:rFonts w:hint="eastAsia"/>
          <w:color w:val="auto"/>
          <w:kern w:val="36"/>
        </w:rPr>
        <w:t>-</w:t>
      </w:r>
      <w:r>
        <w:rPr>
          <w:rFonts w:hint="eastAsia"/>
          <w:color w:val="auto"/>
          <w:kern w:val="36"/>
          <w:lang w:val="en-US" w:eastAsia="zh-CN"/>
        </w:rPr>
        <w:t>30</w:t>
      </w:r>
      <w:r>
        <w:rPr>
          <w:rFonts w:hint="eastAsia"/>
          <w:color w:val="auto"/>
          <w:kern w:val="36"/>
        </w:rPr>
        <w:t xml:space="preserve">           （暂定）                             </w:t>
      </w:r>
    </w:p>
    <w:p>
      <w:pPr>
        <w:spacing w:line="360" w:lineRule="auto"/>
        <w:ind w:firstLine="420"/>
        <w:rPr>
          <w:rFonts w:hint="eastAsia"/>
          <w:color w:val="auto"/>
          <w:kern w:val="36"/>
        </w:rPr>
      </w:pPr>
      <w:r>
        <w:rPr>
          <w:rFonts w:hint="eastAsia"/>
          <w:color w:val="auto"/>
          <w:kern w:val="36"/>
        </w:rPr>
        <w:t>竣工日期： 2021-</w:t>
      </w:r>
      <w:r>
        <w:rPr>
          <w:rFonts w:hint="eastAsia"/>
          <w:color w:val="auto"/>
          <w:kern w:val="36"/>
          <w:lang w:val="en-US" w:eastAsia="zh-CN"/>
        </w:rPr>
        <w:t>9</w:t>
      </w:r>
      <w:r>
        <w:rPr>
          <w:rFonts w:hint="eastAsia"/>
          <w:color w:val="auto"/>
          <w:kern w:val="36"/>
        </w:rPr>
        <w:t>-</w:t>
      </w:r>
      <w:r>
        <w:rPr>
          <w:rFonts w:hint="eastAsia"/>
          <w:color w:val="auto"/>
          <w:kern w:val="36"/>
          <w:lang w:val="en-US" w:eastAsia="zh-CN"/>
        </w:rPr>
        <w:t>29</w:t>
      </w:r>
      <w:r>
        <w:rPr>
          <w:rFonts w:hint="eastAsia"/>
          <w:color w:val="auto"/>
          <w:kern w:val="36"/>
        </w:rPr>
        <w:t xml:space="preserve">                                                         </w:t>
      </w:r>
    </w:p>
    <w:p>
      <w:pPr>
        <w:spacing w:line="360" w:lineRule="auto"/>
        <w:ind w:firstLine="420"/>
        <w:rPr>
          <w:rFonts w:ascii="宋体" w:hAnsi="宋体"/>
          <w:color w:val="auto"/>
        </w:rPr>
      </w:pPr>
      <w:r>
        <w:rPr>
          <w:rFonts w:hint="eastAsia"/>
          <w:color w:val="auto"/>
          <w:kern w:val="36"/>
        </w:rPr>
        <w:t xml:space="preserve">合同工期总日历天数 </w:t>
      </w:r>
      <w:r>
        <w:rPr>
          <w:rFonts w:hint="eastAsia"/>
          <w:color w:val="auto"/>
          <w:kern w:val="36"/>
          <w:lang w:val="en-US" w:eastAsia="zh-CN"/>
        </w:rPr>
        <w:t>3</w:t>
      </w:r>
      <w:r>
        <w:rPr>
          <w:rFonts w:hint="eastAsia"/>
          <w:color w:val="auto"/>
          <w:kern w:val="36"/>
        </w:rPr>
        <w:t>0 天</w:t>
      </w:r>
      <w:r>
        <w:rPr>
          <w:rFonts w:hint="eastAsia"/>
          <w:color w:val="auto"/>
          <w:kern w:val="36"/>
          <w:lang w:eastAsia="zh-CN"/>
        </w:rPr>
        <w:t>（</w:t>
      </w:r>
      <w:r>
        <w:rPr>
          <w:rFonts w:hint="eastAsia"/>
          <w:color w:val="auto"/>
          <w:kern w:val="36"/>
          <w:lang w:val="en-US" w:eastAsia="zh-CN"/>
        </w:rPr>
        <w:t>其中检修期间只有10天，检修期间施工需24小时不间断作业</w:t>
      </w:r>
      <w:r>
        <w:rPr>
          <w:rFonts w:hint="eastAsia"/>
          <w:color w:val="auto"/>
          <w:kern w:val="36"/>
          <w:lang w:eastAsia="zh-CN"/>
        </w:rPr>
        <w:t>）</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numPr>
          <w:ilvl w:val="0"/>
          <w:numId w:val="2"/>
        </w:numPr>
        <w:spacing w:line="360" w:lineRule="exact"/>
        <w:rPr>
          <w:rFonts w:hint="eastAsia" w:ascii="宋体" w:hAnsi="宋体"/>
          <w:bCs/>
          <w:color w:val="auto"/>
        </w:rPr>
      </w:pPr>
      <w:r>
        <w:rPr>
          <w:rFonts w:hint="eastAsia" w:ascii="宋体" w:hAnsi="宋体"/>
          <w:bCs/>
          <w:color w:val="auto"/>
        </w:rPr>
        <w:t>本工程预结算执行《建设工程预结算管理暂行办法》。</w:t>
      </w:r>
    </w:p>
    <w:p>
      <w:pPr>
        <w:numPr>
          <w:ilvl w:val="0"/>
          <w:numId w:val="2"/>
        </w:numPr>
        <w:spacing w:line="360" w:lineRule="exact"/>
        <w:rPr>
          <w:rFonts w:hint="eastAsia" w:ascii="宋体" w:hAnsi="宋体"/>
          <w:bCs/>
          <w:color w:val="auto"/>
        </w:rPr>
      </w:pPr>
      <w:r>
        <w:rPr>
          <w:rFonts w:hint="eastAsia" w:ascii="宋体" w:hAnsi="宋体"/>
          <w:bCs/>
          <w:color w:val="auto"/>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line="360" w:lineRule="exact"/>
        <w:rPr>
          <w:rFonts w:hint="eastAsia" w:ascii="宋体" w:hAnsi="宋体"/>
          <w:bCs/>
          <w:color w:val="auto"/>
        </w:rPr>
      </w:pPr>
      <w:r>
        <w:rPr>
          <w:rFonts w:hint="eastAsia" w:ascii="宋体" w:hAnsi="宋体"/>
          <w:bCs/>
          <w:color w:val="auto"/>
        </w:rPr>
        <w:t>该工程所有材料</w:t>
      </w:r>
      <w:r>
        <w:rPr>
          <w:rFonts w:hint="eastAsia" w:ascii="宋体" w:hAnsi="宋体"/>
          <w:bCs/>
          <w:color w:val="auto"/>
          <w:lang w:eastAsia="zh-CN"/>
        </w:rPr>
        <w:t>（</w:t>
      </w:r>
      <w:r>
        <w:rPr>
          <w:rFonts w:hint="eastAsia" w:ascii="宋体" w:hAnsi="宋体"/>
          <w:bCs/>
          <w:color w:val="auto"/>
          <w:lang w:val="en-US" w:eastAsia="zh-CN"/>
        </w:rPr>
        <w:t>除钢筋外</w:t>
      </w:r>
      <w:r>
        <w:rPr>
          <w:rFonts w:hint="eastAsia" w:ascii="宋体" w:hAnsi="宋体"/>
          <w:bCs/>
          <w:color w:val="auto"/>
          <w:lang w:eastAsia="zh-CN"/>
        </w:rPr>
        <w:t>）</w:t>
      </w:r>
      <w:r>
        <w:rPr>
          <w:rFonts w:hint="eastAsia" w:ascii="宋体" w:hAnsi="宋体"/>
          <w:bCs/>
          <w:color w:val="auto"/>
        </w:rPr>
        <w:t>由承包人提供。承包人需优先领用发包人非标定尺和不成捆钢筋，若发包人不能及时提供所需材料，承包方上报自购证明报告，经发包人同意后可由承包人提供。</w:t>
      </w:r>
    </w:p>
    <w:p>
      <w:pPr>
        <w:numPr>
          <w:ilvl w:val="0"/>
          <w:numId w:val="2"/>
        </w:numPr>
        <w:spacing w:line="360" w:lineRule="exact"/>
        <w:rPr>
          <w:rFonts w:hint="eastAsia" w:ascii="宋体" w:hAnsi="宋体"/>
          <w:bCs/>
          <w:color w:val="auto"/>
        </w:rPr>
      </w:pPr>
      <w:r>
        <w:rPr>
          <w:rFonts w:hint="eastAsia" w:ascii="宋体" w:hAnsi="宋体"/>
          <w:bCs/>
          <w:color w:val="auto"/>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line="360" w:lineRule="exact"/>
        <w:rPr>
          <w:rFonts w:hint="eastAsia" w:ascii="宋体" w:hAnsi="宋体"/>
          <w:bCs/>
          <w:color w:val="auto"/>
        </w:rPr>
      </w:pPr>
      <w:r>
        <w:rPr>
          <w:rFonts w:hint="eastAsia" w:ascii="宋体" w:hAnsi="宋体"/>
          <w:bCs/>
          <w:color w:val="auto"/>
        </w:rPr>
        <w:t>建筑用钢材</w:t>
      </w:r>
      <w:r>
        <w:rPr>
          <w:rFonts w:hint="eastAsia" w:ascii="宋体" w:hAnsi="宋体"/>
          <w:bCs/>
          <w:color w:val="auto"/>
          <w:lang w:val="en-US" w:eastAsia="zh-CN"/>
        </w:rPr>
        <w:t>和</w:t>
      </w:r>
      <w:r>
        <w:rPr>
          <w:rFonts w:hint="eastAsia" w:ascii="宋体" w:hAnsi="宋体"/>
          <w:bCs/>
          <w:color w:val="auto"/>
        </w:rPr>
        <w:t>砼承包人须优先采购发包人产品；平台、梯子用钢格板优先使用新兴际华集团产品；由承包人提供使用计划</w:t>
      </w:r>
      <w:r>
        <w:rPr>
          <w:rFonts w:hint="eastAsia" w:ascii="宋体" w:hAnsi="宋体"/>
          <w:bCs/>
          <w:color w:val="auto"/>
          <w:lang w:eastAsia="zh-CN"/>
        </w:rPr>
        <w:t>，</w:t>
      </w:r>
      <w:r>
        <w:rPr>
          <w:rFonts w:hint="eastAsia" w:ascii="宋体" w:hAnsi="宋体"/>
          <w:bCs/>
          <w:color w:val="auto"/>
        </w:rPr>
        <w:t>发包人收到计划经审核同意后15天内提供材料，提料、卸车、保管由承包人负责</w:t>
      </w:r>
      <w:r>
        <w:rPr>
          <w:rFonts w:hint="eastAsia" w:ascii="宋体" w:hAnsi="宋体"/>
          <w:bCs/>
          <w:color w:val="auto"/>
          <w:lang w:eastAsia="zh-CN"/>
        </w:rPr>
        <w:t>。</w:t>
      </w:r>
    </w:p>
    <w:p>
      <w:pPr>
        <w:numPr>
          <w:ilvl w:val="0"/>
          <w:numId w:val="2"/>
        </w:numPr>
        <w:spacing w:line="360" w:lineRule="exact"/>
        <w:rPr>
          <w:rFonts w:hint="eastAsia" w:ascii="宋体" w:hAnsi="宋体"/>
          <w:bCs/>
          <w:color w:val="auto"/>
        </w:rPr>
      </w:pPr>
      <w:r>
        <w:rPr>
          <w:rFonts w:hint="eastAsia" w:ascii="宋体" w:hAnsi="宋体"/>
          <w:bCs/>
          <w:color w:val="auto"/>
        </w:rPr>
        <w:t>发包人提供的钢筋和铸管的厂内倒运费用按照报价单执行。</w:t>
      </w:r>
    </w:p>
    <w:p>
      <w:pPr>
        <w:numPr>
          <w:ilvl w:val="0"/>
          <w:numId w:val="2"/>
        </w:numPr>
        <w:spacing w:line="360" w:lineRule="exact"/>
        <w:rPr>
          <w:rFonts w:hint="eastAsia" w:ascii="宋体" w:hAnsi="宋体"/>
          <w:bCs/>
          <w:color w:val="auto"/>
        </w:rPr>
      </w:pPr>
      <w:r>
        <w:rPr>
          <w:rFonts w:hint="eastAsia" w:ascii="宋体" w:hAnsi="宋体"/>
          <w:bCs/>
          <w:color w:val="auto"/>
        </w:rPr>
        <w:t>承包人材料采购前，所选供应商及所购材料的技术参数须经发包人书面认可后方可采购。承包人所采购材料均须附证明质量和规格的出厂文件，根据规范进行复检，承担由于材料质量问题引起的一切后果</w:t>
      </w:r>
      <w:r>
        <w:rPr>
          <w:rFonts w:hint="eastAsia" w:ascii="宋体" w:hAnsi="宋体"/>
          <w:bCs/>
          <w:color w:val="auto"/>
          <w:lang w:eastAsia="zh-CN"/>
        </w:rPr>
        <w:t>。</w:t>
      </w:r>
    </w:p>
    <w:p>
      <w:pPr>
        <w:numPr>
          <w:ilvl w:val="0"/>
          <w:numId w:val="2"/>
        </w:numPr>
        <w:spacing w:line="360" w:lineRule="exact"/>
        <w:rPr>
          <w:rFonts w:hint="eastAsia" w:ascii="宋体" w:hAnsi="宋体"/>
          <w:bCs/>
          <w:color w:val="auto"/>
        </w:rPr>
      </w:pPr>
      <w:r>
        <w:rPr>
          <w:rFonts w:hint="eastAsia" w:ascii="宋体" w:hAnsi="宋体"/>
          <w:bCs/>
          <w:color w:val="auto"/>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line="360" w:lineRule="exact"/>
        <w:rPr>
          <w:rFonts w:hint="eastAsia" w:ascii="宋体" w:hAnsi="宋体"/>
          <w:bCs/>
          <w:color w:val="auto"/>
        </w:rPr>
      </w:pPr>
      <w:r>
        <w:rPr>
          <w:rFonts w:hint="eastAsia" w:ascii="宋体" w:hAnsi="宋体"/>
          <w:bCs/>
          <w:color w:val="auto"/>
        </w:rPr>
        <w:t>单价包干部分钢材价格以2021年</w:t>
      </w:r>
      <w:r>
        <w:rPr>
          <w:rFonts w:hint="eastAsia" w:ascii="宋体" w:hAnsi="宋体"/>
          <w:bCs/>
          <w:color w:val="auto"/>
          <w:lang w:val="en-US" w:eastAsia="zh-CN"/>
        </w:rPr>
        <w:t>第7期</w:t>
      </w:r>
      <w:r>
        <w:rPr>
          <w:rFonts w:hint="eastAsia" w:ascii="宋体" w:hAnsi="宋体"/>
          <w:bCs/>
          <w:color w:val="auto"/>
        </w:rPr>
        <w:t>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line="360" w:lineRule="exact"/>
        <w:rPr>
          <w:rFonts w:hint="eastAsia" w:ascii="宋体" w:hAnsi="宋体"/>
          <w:bCs/>
          <w:color w:val="auto"/>
        </w:rPr>
      </w:pPr>
      <w:r>
        <w:rPr>
          <w:rFonts w:hint="eastAsia" w:ascii="宋体" w:hAnsi="宋体"/>
          <w:bCs/>
          <w:color w:val="auto"/>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line="360" w:lineRule="exact"/>
        <w:rPr>
          <w:rFonts w:hint="eastAsia" w:ascii="宋体" w:hAnsi="宋体"/>
          <w:bCs/>
          <w:color w:val="auto"/>
        </w:rPr>
      </w:pPr>
      <w:r>
        <w:rPr>
          <w:rFonts w:hint="eastAsia" w:ascii="宋体" w:hAnsi="宋体"/>
          <w:bCs/>
          <w:color w:val="auto"/>
        </w:rPr>
        <w:t>因现场施工需要或为满足本项目正常投用的需要增加图纸之外的工作量以签证形式计取，按实确认，执行厂内定价，签证单办理相关签字手续后作为结算的依据。</w:t>
      </w:r>
    </w:p>
    <w:p>
      <w:pPr>
        <w:numPr>
          <w:ilvl w:val="0"/>
          <w:numId w:val="2"/>
        </w:numPr>
        <w:spacing w:line="360" w:lineRule="exact"/>
        <w:rPr>
          <w:rFonts w:hint="eastAsia" w:ascii="宋体" w:hAnsi="宋体"/>
          <w:bCs/>
          <w:color w:val="auto"/>
        </w:rPr>
      </w:pPr>
      <w:r>
        <w:rPr>
          <w:rFonts w:hint="eastAsia" w:ascii="宋体" w:hAnsi="宋体"/>
          <w:bCs/>
          <w:color w:val="auto"/>
        </w:rPr>
        <w:t>工程内容按合同约定执行，开具增值税发票执行9%税率。</w:t>
      </w:r>
    </w:p>
    <w:p>
      <w:pPr>
        <w:numPr>
          <w:ilvl w:val="0"/>
          <w:numId w:val="2"/>
        </w:numPr>
        <w:spacing w:line="360" w:lineRule="exact"/>
        <w:rPr>
          <w:rFonts w:hint="eastAsia" w:ascii="宋体" w:hAnsi="宋体"/>
          <w:bCs/>
          <w:color w:val="auto"/>
          <w:lang w:val="en-US" w:eastAsia="zh-CN"/>
        </w:rPr>
      </w:pPr>
      <w:r>
        <w:rPr>
          <w:rFonts w:hint="eastAsia" w:ascii="宋体" w:hAnsi="宋体"/>
          <w:bCs/>
          <w:color w:val="auto"/>
        </w:rPr>
        <w:t>发包人在指定位置提供施工电源及水源，之外部分承包人自行承担，现场施工水电费结算时按合同总价的７‰扣除或装表据实扣除</w:t>
      </w:r>
      <w:r>
        <w:rPr>
          <w:rFonts w:hint="eastAsia" w:ascii="宋体" w:hAnsi="宋体"/>
          <w:bCs/>
          <w:color w:val="auto"/>
          <w:lang w:val="en-US" w:eastAsia="zh-CN"/>
        </w:rPr>
        <w:t>。</w:t>
      </w:r>
    </w:p>
    <w:p>
      <w:pPr>
        <w:keepNext w:val="0"/>
        <w:keepLines w:val="0"/>
        <w:widowControl/>
        <w:numPr>
          <w:ilvl w:val="0"/>
          <w:numId w:val="2"/>
        </w:numPr>
        <w:suppressLineNumbers w:val="0"/>
        <w:ind w:left="425" w:leftChars="0" w:hanging="425"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2"/>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2"/>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2"/>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2"/>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2"/>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2"/>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2"/>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2"/>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2"/>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3"/>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3"/>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2．双方约定的工程款（进度款）支付的方式：以上工程无预付款；进度款按月支付已完工程量的70%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4"/>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4"/>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4"/>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4"/>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4"/>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5"/>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jc w:val="both"/>
        <w:rPr>
          <w:rFonts w:ascii="宋体" w:hAnsi="宋体"/>
          <w:b/>
          <w:bCs/>
          <w:sz w:val="32"/>
          <w:szCs w:val="32"/>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r>
        <w:rPr>
          <w:rFonts w:hint="eastAsia" w:ascii="宋体" w:hAnsi="宋体"/>
          <w:b/>
          <w:bCs/>
          <w:color w:val="auto"/>
          <w:sz w:val="32"/>
          <w:szCs w:val="32"/>
          <w:u w:val="none"/>
          <w:lang w:val="en-US" w:eastAsia="zh-CN"/>
        </w:rPr>
        <w:t xml:space="preserve"> </w:t>
      </w:r>
      <w:r>
        <w:rPr>
          <w:rFonts w:hint="eastAsia" w:ascii="宋体" w:hAnsi="宋体"/>
          <w:b/>
          <w:bCs/>
          <w:sz w:val="36"/>
          <w:szCs w:val="36"/>
          <w:u w:val="single"/>
          <w:lang w:val="en-US" w:eastAsia="zh-CN"/>
        </w:rPr>
        <w:t>铸管部全自动打包机土建工程</w:t>
      </w:r>
      <w:r>
        <w:rPr>
          <w:rFonts w:hint="eastAsia" w:ascii="宋体" w:hAnsi="宋体"/>
          <w:b/>
          <w:bCs/>
          <w:sz w:val="32"/>
          <w:szCs w:val="32"/>
          <w:u w:val="single"/>
        </w:rPr>
        <w:t xml:space="preserve"> </w:t>
      </w:r>
      <w:r>
        <w:rPr>
          <w:rFonts w:hint="eastAsia" w:ascii="宋体" w:hAnsi="宋体"/>
          <w:b/>
          <w:bCs/>
          <w:sz w:val="32"/>
          <w:szCs w:val="32"/>
        </w:rPr>
        <w:t>工程报价单</w:t>
      </w:r>
    </w:p>
    <w:tbl>
      <w:tblPr>
        <w:tblStyle w:val="13"/>
        <w:tblpPr w:leftFromText="180" w:rightFromText="180" w:vertAnchor="text" w:horzAnchor="page" w:tblpX="626" w:tblpY="64"/>
        <w:tblOverlap w:val="never"/>
        <w:tblW w:w="4827" w:type="pct"/>
        <w:tblInd w:w="0" w:type="dxa"/>
        <w:tblLayout w:type="fixed"/>
        <w:tblCellMar>
          <w:top w:w="0" w:type="dxa"/>
          <w:left w:w="108" w:type="dxa"/>
          <w:bottom w:w="0" w:type="dxa"/>
          <w:right w:w="108" w:type="dxa"/>
        </w:tblCellMar>
      </w:tblPr>
      <w:tblGrid>
        <w:gridCol w:w="1064"/>
        <w:gridCol w:w="2250"/>
        <w:gridCol w:w="1118"/>
        <w:gridCol w:w="1446"/>
        <w:gridCol w:w="8795"/>
      </w:tblGrid>
      <w:tr>
        <w:tblPrEx>
          <w:tblCellMar>
            <w:top w:w="0" w:type="dxa"/>
            <w:left w:w="108" w:type="dxa"/>
            <w:bottom w:w="0" w:type="dxa"/>
            <w:right w:w="108" w:type="dxa"/>
          </w:tblCellMar>
        </w:tblPrEx>
        <w:trPr>
          <w:trHeight w:val="416" w:hRule="atLeast"/>
        </w:trPr>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序号</w:t>
            </w:r>
          </w:p>
        </w:tc>
        <w:tc>
          <w:tcPr>
            <w:tcW w:w="22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分项名称</w:t>
            </w:r>
          </w:p>
        </w:tc>
        <w:tc>
          <w:tcPr>
            <w:tcW w:w="1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单位</w:t>
            </w:r>
          </w:p>
        </w:tc>
        <w:tc>
          <w:tcPr>
            <w:tcW w:w="1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暂估工程量</w:t>
            </w:r>
          </w:p>
        </w:tc>
        <w:tc>
          <w:tcPr>
            <w:tcW w:w="8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工作内容</w:t>
            </w:r>
          </w:p>
        </w:tc>
      </w:tr>
      <w:tr>
        <w:trPr>
          <w:trHeight w:val="318"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2"/>
                <w:szCs w:val="22"/>
                <w:u w:val="none"/>
                <w:lang w:val="en-US" w:eastAsia="zh-CN" w:bidi="ar"/>
              </w:rPr>
              <w:t>地坪破除</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2"/>
                <w:szCs w:val="22"/>
                <w:u w:val="none"/>
                <w:lang w:val="en-US" w:eastAsia="zh-CN" w:bidi="ar"/>
              </w:rPr>
              <w:t>m3</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2"/>
                <w:szCs w:val="22"/>
                <w:u w:val="none"/>
                <w:lang w:val="en-US" w:eastAsia="zh-CN" w:bidi="ar"/>
              </w:rPr>
              <w:t>50</w:t>
            </w:r>
          </w:p>
        </w:tc>
        <w:tc>
          <w:tcPr>
            <w:tcW w:w="8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拦标价：</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0元/m3。包括凿除、装车、外排（外运5km）等全部工序及涉及的人工费、机械费、材料费、措施项目费、不可竞争费、税金、水电费等全部费用。</w:t>
            </w:r>
          </w:p>
        </w:tc>
      </w:tr>
      <w:tr>
        <w:tblPrEx>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1"/>
                <w:szCs w:val="21"/>
                <w:u w:val="none"/>
                <w:lang w:val="en-US" w:eastAsia="zh-CN" w:bidi="ar"/>
              </w:rPr>
              <w:t>其他砼凿除</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1"/>
                <w:szCs w:val="21"/>
                <w:u w:val="none"/>
                <w:lang w:val="en-US" w:eastAsia="zh-CN" w:bidi="ar"/>
              </w:rPr>
              <w:t>m3</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1"/>
                <w:szCs w:val="21"/>
                <w:u w:val="none"/>
                <w:lang w:val="en-US" w:eastAsia="zh-CN" w:bidi="ar"/>
              </w:rPr>
              <w:t>30</w:t>
            </w:r>
          </w:p>
        </w:tc>
        <w:tc>
          <w:tcPr>
            <w:tcW w:w="8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拦标价：2</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0元/m3。包括凿除、装车、外排（外运5km）等全部工序及涉及的人工费、机械费、材料费、措施项目费、不可竞争费、税金、水电费等全部费用。</w:t>
            </w:r>
          </w:p>
        </w:tc>
      </w:tr>
      <w:tr>
        <w:tblPrEx>
          <w:tblCellMar>
            <w:top w:w="0" w:type="dxa"/>
            <w:left w:w="108" w:type="dxa"/>
            <w:bottom w:w="0" w:type="dxa"/>
            <w:right w:w="108" w:type="dxa"/>
          </w:tblCellMar>
        </w:tblPrEx>
        <w:trPr>
          <w:trHeight w:val="27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1"/>
                <w:szCs w:val="21"/>
                <w:u w:val="none"/>
                <w:lang w:val="en-US" w:eastAsia="zh-CN" w:bidi="ar"/>
              </w:rPr>
              <w:t>开挖土方</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1"/>
                <w:szCs w:val="21"/>
                <w:u w:val="none"/>
                <w:lang w:val="en-US" w:eastAsia="zh-CN" w:bidi="ar"/>
              </w:rPr>
              <w:t>m3</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1"/>
                <w:szCs w:val="21"/>
                <w:u w:val="none"/>
                <w:lang w:val="en-US" w:eastAsia="zh-CN" w:bidi="ar"/>
              </w:rPr>
              <w:t>317</w:t>
            </w:r>
          </w:p>
        </w:tc>
        <w:tc>
          <w:tcPr>
            <w:tcW w:w="8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拦标价：</w:t>
            </w:r>
            <w:r>
              <w:rPr>
                <w:rFonts w:hint="eastAsia" w:ascii="宋体" w:hAnsi="宋体" w:cs="宋体"/>
                <w:i w:val="0"/>
                <w:color w:val="000000"/>
                <w:kern w:val="0"/>
                <w:sz w:val="21"/>
                <w:szCs w:val="21"/>
                <w:u w:val="none"/>
                <w:lang w:val="en-US" w:eastAsia="zh-CN" w:bidi="ar"/>
              </w:rPr>
              <w:t>40</w:t>
            </w:r>
            <w:r>
              <w:rPr>
                <w:rFonts w:hint="eastAsia" w:ascii="宋体" w:hAnsi="宋体" w:eastAsia="宋体" w:cs="宋体"/>
                <w:i w:val="0"/>
                <w:color w:val="000000"/>
                <w:kern w:val="0"/>
                <w:sz w:val="21"/>
                <w:szCs w:val="21"/>
                <w:u w:val="none"/>
                <w:lang w:val="en-US" w:eastAsia="zh-CN" w:bidi="ar"/>
              </w:rPr>
              <w:t>元/m3。包括开挖、装车、外排（外运5km）、人工清底等全部工序及涉及的人工费、机械费、材料费、措施项目费、不可竞争费、税金、水电费等全部费用。</w:t>
            </w:r>
          </w:p>
        </w:tc>
      </w:tr>
      <w:tr>
        <w:tblPrEx>
          <w:tblCellMar>
            <w:top w:w="0" w:type="dxa"/>
            <w:left w:w="108" w:type="dxa"/>
            <w:bottom w:w="0" w:type="dxa"/>
            <w:right w:w="108" w:type="dxa"/>
          </w:tblCellMar>
        </w:tblPrEx>
        <w:trPr>
          <w:trHeight w:val="267"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1"/>
                <w:szCs w:val="21"/>
                <w:u w:val="none"/>
                <w:lang w:val="en-US" w:eastAsia="zh-CN" w:bidi="ar"/>
              </w:rPr>
              <w:t>土方回填</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1"/>
                <w:szCs w:val="21"/>
                <w:u w:val="none"/>
                <w:lang w:val="en-US" w:eastAsia="zh-CN" w:bidi="ar"/>
              </w:rPr>
              <w:t>m3</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21"/>
                <w:szCs w:val="21"/>
                <w:u w:val="none"/>
                <w:lang w:val="en-US" w:eastAsia="zh-CN" w:bidi="ar"/>
              </w:rPr>
              <w:t>141</w:t>
            </w:r>
          </w:p>
        </w:tc>
        <w:tc>
          <w:tcPr>
            <w:tcW w:w="87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拦标价：</w:t>
            </w:r>
            <w:r>
              <w:rPr>
                <w:rFonts w:hint="eastAsia" w:ascii="宋体" w:hAnsi="宋体" w:cs="宋体"/>
                <w:i w:val="0"/>
                <w:color w:val="000000"/>
                <w:kern w:val="0"/>
                <w:sz w:val="21"/>
                <w:szCs w:val="21"/>
                <w:u w:val="none"/>
                <w:lang w:val="en-US" w:eastAsia="zh-CN" w:bidi="ar"/>
              </w:rPr>
              <w:t>42</w:t>
            </w:r>
            <w:r>
              <w:rPr>
                <w:rFonts w:hint="eastAsia" w:ascii="宋体" w:hAnsi="宋体" w:eastAsia="宋体" w:cs="宋体"/>
                <w:i w:val="0"/>
                <w:color w:val="000000"/>
                <w:kern w:val="0"/>
                <w:sz w:val="21"/>
                <w:szCs w:val="21"/>
                <w:u w:val="none"/>
                <w:lang w:val="en-US" w:eastAsia="zh-CN" w:bidi="ar"/>
              </w:rPr>
              <w:t>元/m3。包括装车、回运、回填、平整、夯实等全部工序及涉及的人工费、机械费、材料费、措施项目费、不可竞争费、税金、水电费等全部费用。</w:t>
            </w:r>
          </w:p>
        </w:tc>
      </w:tr>
      <w:tr>
        <w:tblPrEx>
          <w:tblCellMar>
            <w:top w:w="0" w:type="dxa"/>
            <w:left w:w="108" w:type="dxa"/>
            <w:bottom w:w="0" w:type="dxa"/>
            <w:right w:w="108" w:type="dxa"/>
          </w:tblCellMar>
        </w:tblPrEx>
        <w:trPr>
          <w:trHeight w:val="349"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5</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 w:val="18"/>
                <w:szCs w:val="18"/>
              </w:rPr>
            </w:pPr>
            <w:r>
              <w:rPr>
                <w:rFonts w:hint="eastAsia" w:ascii="宋体" w:hAnsi="宋体" w:eastAsia="宋体" w:cs="宋体"/>
                <w:i w:val="0"/>
                <w:color w:val="000000"/>
                <w:kern w:val="0"/>
                <w:sz w:val="21"/>
                <w:szCs w:val="21"/>
                <w:u w:val="none"/>
                <w:lang w:val="en-US" w:eastAsia="zh-CN" w:bidi="ar"/>
              </w:rPr>
              <w:t>级配沙石</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21"/>
                <w:szCs w:val="21"/>
                <w:u w:val="none"/>
                <w:lang w:val="en-US" w:eastAsia="zh-CN" w:bidi="ar"/>
              </w:rPr>
              <w:t>m3</w:t>
            </w:r>
          </w:p>
        </w:tc>
        <w:tc>
          <w:tcPr>
            <w:tcW w:w="14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21"/>
                <w:szCs w:val="21"/>
                <w:u w:val="none"/>
                <w:lang w:val="en-US" w:eastAsia="zh-CN" w:bidi="ar"/>
              </w:rPr>
              <w:t>73</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拦标价：</w:t>
            </w:r>
            <w:r>
              <w:rPr>
                <w:rFonts w:hint="eastAsia" w:ascii="宋体" w:hAnsi="宋体" w:cs="宋体"/>
                <w:i w:val="0"/>
                <w:color w:val="000000"/>
                <w:kern w:val="0"/>
                <w:sz w:val="21"/>
                <w:szCs w:val="21"/>
                <w:u w:val="none"/>
                <w:lang w:val="en-US" w:eastAsia="zh-CN" w:bidi="ar"/>
              </w:rPr>
              <w:t>50</w:t>
            </w:r>
            <w:r>
              <w:rPr>
                <w:rFonts w:hint="eastAsia" w:ascii="宋体" w:hAnsi="宋体" w:eastAsia="宋体" w:cs="宋体"/>
                <w:i w:val="0"/>
                <w:color w:val="000000"/>
                <w:kern w:val="0"/>
                <w:sz w:val="21"/>
                <w:szCs w:val="21"/>
                <w:u w:val="none"/>
                <w:lang w:val="en-US" w:eastAsia="zh-CN" w:bidi="ar"/>
              </w:rPr>
              <w:t>0元/m3。包括卸车、运输、倒运、铺设、平整、夯实等全部工序及涉及的人工费、机械费、材料费、措施项目费、不可竞争费、税金、水电费等全部费用。</w:t>
            </w:r>
          </w:p>
        </w:tc>
      </w:tr>
      <w:tr>
        <w:tblPrEx>
          <w:tblCellMar>
            <w:top w:w="0" w:type="dxa"/>
            <w:left w:w="108" w:type="dxa"/>
            <w:bottom w:w="0" w:type="dxa"/>
            <w:right w:w="108" w:type="dxa"/>
          </w:tblCellMar>
        </w:tblPrEx>
        <w:trPr>
          <w:trHeight w:val="329"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垫层浇筑</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4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拦标价：900元/m3。包括卸车、运输、倒运、支模、对拉丝、浇筑、养生全部工序及涉及的人工费、机械费、材料费、措施项目费、不可竞争费、税金、水电费等全部费用。</w:t>
            </w:r>
          </w:p>
        </w:tc>
      </w:tr>
      <w:tr>
        <w:tblPrEx>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混凝土浇筑</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4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21"/>
                <w:szCs w:val="21"/>
                <w:u w:val="none"/>
                <w:lang w:val="en-US" w:eastAsia="zh-CN" w:bidi="ar"/>
              </w:rPr>
              <w:t>110</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拦标价：1</w:t>
            </w:r>
            <w:r>
              <w:rPr>
                <w:rFonts w:hint="eastAsia" w:ascii="宋体" w:hAnsi="宋体" w:cs="宋体"/>
                <w:i w:val="0"/>
                <w:color w:val="000000"/>
                <w:kern w:val="0"/>
                <w:sz w:val="21"/>
                <w:szCs w:val="21"/>
                <w:u w:val="none"/>
                <w:lang w:val="en-US" w:eastAsia="zh-CN" w:bidi="ar"/>
              </w:rPr>
              <w:t>30</w:t>
            </w:r>
            <w:r>
              <w:rPr>
                <w:rFonts w:hint="eastAsia" w:ascii="宋体" w:hAnsi="宋体" w:eastAsia="宋体" w:cs="宋体"/>
                <w:i w:val="0"/>
                <w:color w:val="000000"/>
                <w:kern w:val="0"/>
                <w:sz w:val="21"/>
                <w:szCs w:val="21"/>
                <w:u w:val="none"/>
                <w:lang w:val="en-US" w:eastAsia="zh-CN" w:bidi="ar"/>
              </w:rPr>
              <w:t>0元/m3。包括卸车、运输、倒运、脚手架、支模、对拉丝、浇筑、养生等全部工序及涉及的人工费、机械费、材料费、措施项目费、不可竞争费、税金、水电费等全部费用。</w:t>
            </w:r>
          </w:p>
        </w:tc>
      </w:tr>
      <w:tr>
        <w:tblPrEx>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二次灌浆</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m3</w:t>
            </w:r>
          </w:p>
        </w:tc>
        <w:tc>
          <w:tcPr>
            <w:tcW w:w="14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21"/>
                <w:szCs w:val="21"/>
                <w:u w:val="none"/>
                <w:lang w:val="en-US" w:eastAsia="zh-CN" w:bidi="ar"/>
              </w:rPr>
              <w:t>10</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拦标价：8700元/m3。包括卸车、运输、倒运、清理、支模、搅拌、灌浆、养护等全部工序及涉及的人工费、机械费、材料费、措施项目费、不可竞争费、税金、水电费等全部费用。</w:t>
            </w:r>
          </w:p>
        </w:tc>
      </w:tr>
      <w:tr>
        <w:tblPrEx>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钢筋制安</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14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21"/>
                <w:szCs w:val="21"/>
                <w:u w:val="none"/>
                <w:lang w:val="en-US" w:eastAsia="zh-CN" w:bidi="ar"/>
              </w:rPr>
              <w:t>9</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拦标价：1500元/t。包括卸车、运输、倒运、制作、安装等涉及的全部工序及人工费、机械费、材料费（不包含钢筋主材费用）、措施费、不可竞争费、税金、水电费等全部费用（不包含发包人提供的钢筋倒运费用）。</w:t>
            </w:r>
          </w:p>
        </w:tc>
      </w:tr>
      <w:tr>
        <w:tblPrEx>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钢筋倒运</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14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21"/>
                <w:szCs w:val="21"/>
                <w:u w:val="none"/>
                <w:lang w:val="en-US" w:eastAsia="zh-CN" w:bidi="ar"/>
              </w:rPr>
              <w:t>9</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拦标价：50元/吨。包括发包人提供的钢筋、铸管在厂内的提料、运输、卸车等涉及的全部工序及人工费、机械费、材料费、措施费、不可竞争费、税金、水电费等全部费用。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钢结构制安</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t</w:t>
            </w:r>
          </w:p>
        </w:tc>
        <w:tc>
          <w:tcPr>
            <w:tcW w:w="14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21"/>
                <w:szCs w:val="21"/>
                <w:u w:val="none"/>
                <w:lang w:val="en-US" w:eastAsia="zh-CN" w:bidi="ar"/>
              </w:rPr>
              <w:t>4</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拦标价：16000元/t。包含盖板、预埋件、螺栓、镀锌钢板止水带等所有钢构制安，包括运输、倒运、安装、补刷漆等涉及的全部工序及人工费、机械费、材料费、措施费、不可竞争费、税金、水电费等全部费用。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2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优惠率（不包含材料费）</w:t>
            </w:r>
          </w:p>
        </w:tc>
        <w:tc>
          <w:tcPr>
            <w:tcW w:w="256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21"/>
                <w:szCs w:val="21"/>
                <w:u w:val="none"/>
                <w:lang w:val="en-US" w:eastAsia="zh-CN" w:bidi="ar"/>
              </w:rPr>
              <w:t>暂列金额20000元</w:t>
            </w:r>
          </w:p>
        </w:tc>
        <w:tc>
          <w:tcPr>
            <w:tcW w:w="8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拦标价：1%。优惠率=（暂估金额-报价）/暂估金额*100%。执行2018版安徽省建设工程计价定额及配套费用定额，材料费不参与总价优惠。措施项目费以确认形式据实计取，二次搬运费不计取。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rPr>
          <w:rFonts w:hint="eastAsia" w:ascii="宋体" w:hAnsi="宋体" w:cs="宋体"/>
          <w:sz w:val="24"/>
          <w:szCs w:val="24"/>
        </w:rPr>
      </w:pPr>
    </w:p>
    <w:p>
      <w:pPr>
        <w:tabs>
          <w:tab w:val="left" w:pos="720"/>
          <w:tab w:val="left" w:pos="7200"/>
        </w:tabs>
        <w:snapToGrid w:val="0"/>
        <w:spacing w:line="240" w:lineRule="auto"/>
        <w:rPr>
          <w:rFonts w:hint="eastAsia" w:ascii="宋体" w:hAnsi="宋体" w:cs="宋体"/>
          <w:sz w:val="24"/>
          <w:szCs w:val="24"/>
        </w:rPr>
      </w:pPr>
    </w:p>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sz w:val="24"/>
          <w:szCs w:val="24"/>
          <w:lang w:eastAsia="zh-CN"/>
        </w:rPr>
        <w:t>。</w:t>
      </w: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6"/>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7"/>
        </w:numPr>
        <w:rPr>
          <w:b/>
          <w:color w:val="auto"/>
          <w:sz w:val="18"/>
          <w:szCs w:val="18"/>
        </w:rPr>
      </w:pPr>
      <w:r>
        <w:rPr>
          <w:b/>
          <w:color w:val="auto"/>
          <w:sz w:val="18"/>
          <w:szCs w:val="18"/>
        </w:rPr>
        <w:t>电子备案，上传以下资料至网站：</w:t>
      </w:r>
    </w:p>
    <w:p>
      <w:pPr>
        <w:numPr>
          <w:ilvl w:val="1"/>
          <w:numId w:val="8"/>
        </w:numPr>
        <w:rPr>
          <w:color w:val="auto"/>
          <w:sz w:val="18"/>
          <w:szCs w:val="18"/>
        </w:rPr>
      </w:pPr>
      <w:r>
        <w:rPr>
          <w:color w:val="auto"/>
          <w:sz w:val="18"/>
          <w:szCs w:val="18"/>
        </w:rPr>
        <w:t>企业营业执照     （需加盖公司章）</w:t>
      </w:r>
    </w:p>
    <w:p>
      <w:pPr>
        <w:numPr>
          <w:ilvl w:val="1"/>
          <w:numId w:val="8"/>
        </w:numPr>
        <w:rPr>
          <w:color w:val="auto"/>
          <w:sz w:val="18"/>
          <w:szCs w:val="18"/>
        </w:rPr>
      </w:pPr>
      <w:r>
        <w:rPr>
          <w:color w:val="auto"/>
          <w:sz w:val="18"/>
          <w:szCs w:val="18"/>
        </w:rPr>
        <w:t>安全生产许可证   （需加盖公司章）</w:t>
      </w:r>
    </w:p>
    <w:p>
      <w:pPr>
        <w:numPr>
          <w:ilvl w:val="1"/>
          <w:numId w:val="8"/>
        </w:numPr>
        <w:rPr>
          <w:color w:val="auto"/>
          <w:sz w:val="18"/>
          <w:szCs w:val="18"/>
        </w:rPr>
      </w:pPr>
      <w:r>
        <w:rPr>
          <w:color w:val="auto"/>
          <w:sz w:val="18"/>
          <w:szCs w:val="18"/>
        </w:rPr>
        <w:t>特种设备安装维修许可证书    （若不涉及可不用上传，需加盖公司章）</w:t>
      </w:r>
    </w:p>
    <w:p>
      <w:pPr>
        <w:numPr>
          <w:ilvl w:val="1"/>
          <w:numId w:val="8"/>
        </w:numPr>
        <w:rPr>
          <w:color w:val="auto"/>
          <w:sz w:val="18"/>
          <w:szCs w:val="18"/>
        </w:rPr>
      </w:pPr>
      <w:r>
        <w:rPr>
          <w:color w:val="auto"/>
          <w:sz w:val="18"/>
          <w:szCs w:val="18"/>
        </w:rPr>
        <w:t>建筑企业资质证书  （需加盖公司章）</w:t>
      </w:r>
    </w:p>
    <w:p>
      <w:pPr>
        <w:numPr>
          <w:ilvl w:val="1"/>
          <w:numId w:val="8"/>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8"/>
        </w:numPr>
        <w:rPr>
          <w:color w:val="auto"/>
          <w:sz w:val="18"/>
          <w:szCs w:val="18"/>
        </w:rPr>
      </w:pPr>
      <w:r>
        <w:rPr>
          <w:color w:val="auto"/>
          <w:sz w:val="18"/>
          <w:szCs w:val="18"/>
        </w:rPr>
        <w:t>项目安全保障金缴纳记录（不少于60万，财务签字）</w:t>
      </w:r>
    </w:p>
    <w:p>
      <w:pPr>
        <w:numPr>
          <w:ilvl w:val="1"/>
          <w:numId w:val="8"/>
        </w:numPr>
        <w:rPr>
          <w:color w:val="auto"/>
          <w:sz w:val="18"/>
          <w:szCs w:val="18"/>
        </w:rPr>
      </w:pPr>
      <w:r>
        <w:rPr>
          <w:color w:val="auto"/>
          <w:sz w:val="18"/>
          <w:szCs w:val="18"/>
        </w:rPr>
        <w:t>专职安全管理人员B/C证</w:t>
      </w:r>
    </w:p>
    <w:p>
      <w:pPr>
        <w:numPr>
          <w:ilvl w:val="1"/>
          <w:numId w:val="8"/>
        </w:numPr>
        <w:rPr>
          <w:color w:val="auto"/>
          <w:sz w:val="18"/>
          <w:szCs w:val="18"/>
        </w:rPr>
      </w:pPr>
      <w:r>
        <w:rPr>
          <w:color w:val="auto"/>
          <w:sz w:val="18"/>
          <w:szCs w:val="18"/>
        </w:rPr>
        <w:t>安全管理机构设置文件  （需加盖公司章）</w:t>
      </w:r>
    </w:p>
    <w:p>
      <w:pPr>
        <w:numPr>
          <w:ilvl w:val="1"/>
          <w:numId w:val="8"/>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8"/>
        </w:numPr>
        <w:rPr>
          <w:color w:val="auto"/>
          <w:sz w:val="18"/>
          <w:szCs w:val="18"/>
        </w:rPr>
      </w:pPr>
      <w:r>
        <w:rPr>
          <w:color w:val="auto"/>
          <w:sz w:val="18"/>
          <w:szCs w:val="18"/>
        </w:rPr>
        <w:t>从业人员安全三级教育记录   （需加盖公司章）</w:t>
      </w:r>
    </w:p>
    <w:p>
      <w:pPr>
        <w:numPr>
          <w:ilvl w:val="1"/>
          <w:numId w:val="8"/>
        </w:numPr>
        <w:rPr>
          <w:color w:val="auto"/>
          <w:sz w:val="18"/>
          <w:szCs w:val="18"/>
        </w:rPr>
      </w:pPr>
      <w:r>
        <w:rPr>
          <w:color w:val="auto"/>
          <w:sz w:val="18"/>
          <w:szCs w:val="18"/>
        </w:rPr>
        <w:t>从业人员意外伤害险/团体险/建筑工程一切险保单</w:t>
      </w:r>
    </w:p>
    <w:p>
      <w:pPr>
        <w:numPr>
          <w:ilvl w:val="1"/>
          <w:numId w:val="8"/>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7"/>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7"/>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2"/>
  </w:num>
  <w:num w:numId="4">
    <w:abstractNumId w:val="5"/>
  </w:num>
  <w:num w:numId="5">
    <w:abstractNumId w:val="1"/>
  </w:num>
  <w:num w:numId="6">
    <w:abstractNumId w:val="0"/>
    <w:lvlOverride w:ilvl="0">
      <w:startOverride w:val="1"/>
    </w:lvlOverride>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091E"/>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901C8"/>
    <w:rsid w:val="0DFC1491"/>
    <w:rsid w:val="0E4F2C23"/>
    <w:rsid w:val="0F454D3F"/>
    <w:rsid w:val="104501EF"/>
    <w:rsid w:val="121B22D6"/>
    <w:rsid w:val="133E6E16"/>
    <w:rsid w:val="14197C48"/>
    <w:rsid w:val="19243D09"/>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EA223A2"/>
    <w:rsid w:val="2FFE36B1"/>
    <w:rsid w:val="310A5319"/>
    <w:rsid w:val="326329B3"/>
    <w:rsid w:val="32CC1BAB"/>
    <w:rsid w:val="34481C4C"/>
    <w:rsid w:val="364C51F0"/>
    <w:rsid w:val="36F6547F"/>
    <w:rsid w:val="37CA36AB"/>
    <w:rsid w:val="386D04A2"/>
    <w:rsid w:val="393034C0"/>
    <w:rsid w:val="3A9E2574"/>
    <w:rsid w:val="3B9F0063"/>
    <w:rsid w:val="3C062CAD"/>
    <w:rsid w:val="3CC04F46"/>
    <w:rsid w:val="3D5977E3"/>
    <w:rsid w:val="400A7CF7"/>
    <w:rsid w:val="42B5472A"/>
    <w:rsid w:val="467B56CD"/>
    <w:rsid w:val="47807B49"/>
    <w:rsid w:val="49806F97"/>
    <w:rsid w:val="4A1D777A"/>
    <w:rsid w:val="4C0236C8"/>
    <w:rsid w:val="4C2439BA"/>
    <w:rsid w:val="4C6D4D7D"/>
    <w:rsid w:val="4C6F1F1E"/>
    <w:rsid w:val="4EF83610"/>
    <w:rsid w:val="4FC1072C"/>
    <w:rsid w:val="51C85998"/>
    <w:rsid w:val="526A207D"/>
    <w:rsid w:val="53966193"/>
    <w:rsid w:val="54DA0463"/>
    <w:rsid w:val="558D3BDC"/>
    <w:rsid w:val="56F435CB"/>
    <w:rsid w:val="57181B7C"/>
    <w:rsid w:val="58251DDC"/>
    <w:rsid w:val="5953468B"/>
    <w:rsid w:val="59A06F0E"/>
    <w:rsid w:val="5ACF5D45"/>
    <w:rsid w:val="5D634D0C"/>
    <w:rsid w:val="5E513B46"/>
    <w:rsid w:val="5F533CAB"/>
    <w:rsid w:val="61D641A1"/>
    <w:rsid w:val="637137A8"/>
    <w:rsid w:val="66296C18"/>
    <w:rsid w:val="68BB783B"/>
    <w:rsid w:val="6998730F"/>
    <w:rsid w:val="69D83D70"/>
    <w:rsid w:val="6BFA79CF"/>
    <w:rsid w:val="6CDE16B5"/>
    <w:rsid w:val="6DF65BBA"/>
    <w:rsid w:val="6EE72E54"/>
    <w:rsid w:val="6F286C4E"/>
    <w:rsid w:val="71A34979"/>
    <w:rsid w:val="724E1F86"/>
    <w:rsid w:val="72FE5A07"/>
    <w:rsid w:val="733A3585"/>
    <w:rsid w:val="73F30113"/>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2021-08-13T00:57:54Z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9C715AAECA884F55A9461866D6FA45E2</vt:lpwstr>
  </property>
</Properties>
</file>