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b/>
          <w:sz w:val="36"/>
          <w:szCs w:val="36"/>
        </w:rPr>
        <w:t>炼钢部4</w:t>
      </w:r>
      <w:r>
        <w:rPr>
          <w:rFonts w:hint="eastAsia"/>
          <w:b/>
          <w:sz w:val="36"/>
          <w:szCs w:val="36"/>
          <w:lang w:val="en-US" w:eastAsia="zh-CN"/>
        </w:rPr>
        <w:t>号</w:t>
      </w:r>
      <w:r>
        <w:rPr>
          <w:rFonts w:hint="eastAsia"/>
          <w:b/>
          <w:sz w:val="36"/>
          <w:szCs w:val="36"/>
        </w:rPr>
        <w:t>LF炉钢平台安装工程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08</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13</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8010LG4HLFLAZGC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炼钢部4#LF炉钢平台安装工程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hAnsi="宋体"/>
          <w:color w:val="FF0000"/>
          <w:sz w:val="24"/>
          <w:szCs w:val="24"/>
          <w:lang w:val="en-US" w:eastAsia="zh-CN"/>
        </w:rPr>
        <w:t>建筑工程施工总承包叁级及以上资质</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建筑工程</w:t>
      </w:r>
      <w:r>
        <w:rPr>
          <w:rFonts w:hint="eastAsia" w:hAnsi="宋体"/>
          <w:color w:val="000000" w:themeColor="text1"/>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14</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8</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炼钢部4#LF炉钢平台安装工程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15385537006</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8</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25</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炼钢部4#LF炉钢平台安装工程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炼钢部4#LF炉钢平台安装工程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08</w:t>
      </w:r>
      <w:r>
        <w:rPr>
          <w:rFonts w:hint="eastAsia" w:ascii="宋体" w:hAnsi="宋体" w:cs="宋体"/>
          <w:bCs/>
          <w:color w:val="FF0000"/>
          <w:kern w:val="36"/>
        </w:rPr>
        <w:t>月</w:t>
      </w:r>
      <w:r>
        <w:rPr>
          <w:rFonts w:hint="eastAsia" w:ascii="宋体" w:hAnsi="宋体" w:cs="宋体"/>
          <w:bCs/>
          <w:color w:val="FF0000"/>
          <w:kern w:val="36"/>
          <w:u w:val="single"/>
          <w:lang w:val="en-US" w:eastAsia="zh-CN"/>
        </w:rPr>
        <w:t>25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r>
        <w:rPr>
          <w:rFonts w:hint="eastAsia" w:ascii="宋体" w:hAnsi="宋体"/>
          <w:lang w:val="en-US" w:eastAsia="zh-CN"/>
        </w:rPr>
        <w:t>及投标方现场踏勘</w:t>
      </w:r>
      <w:r>
        <w:rPr>
          <w:rFonts w:hint="eastAsia" w:ascii="宋体" w:hAnsi="宋体"/>
        </w:rPr>
        <w:t>。</w:t>
      </w:r>
    </w:p>
    <w:p>
      <w:pPr>
        <w:spacing w:line="360" w:lineRule="exact"/>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val="en-US" w:eastAsia="zh-CN"/>
        </w:rPr>
        <w:t>钢结构约120t等工程量</w:t>
      </w:r>
      <w:r>
        <w:rPr>
          <w:rFonts w:hint="eastAsia" w:ascii="宋体" w:hAnsi="宋体"/>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rPr>
      </w:pPr>
      <w:r>
        <w:rPr>
          <w:rFonts w:hint="eastAsia" w:ascii="宋体" w:hAnsi="宋体"/>
        </w:rPr>
        <w:t xml:space="preserve">开工日期：  </w:t>
      </w:r>
      <w:r>
        <w:rPr>
          <w:rFonts w:hint="eastAsia" w:ascii="宋体" w:hAnsi="宋体"/>
          <w:lang w:val="en-US" w:eastAsia="zh-CN"/>
        </w:rPr>
        <w:t>2021年</w:t>
      </w:r>
      <w:r>
        <w:rPr>
          <w:rFonts w:hint="eastAsia" w:ascii="宋体" w:hAnsi="宋体"/>
        </w:rPr>
        <w:t xml:space="preserve"> </w:t>
      </w:r>
      <w:r>
        <w:rPr>
          <w:rFonts w:hint="eastAsia" w:ascii="宋体" w:hAnsi="宋体"/>
          <w:lang w:val="en-US" w:eastAsia="zh-CN"/>
        </w:rPr>
        <w:t>9月1日</w:t>
      </w:r>
      <w:r>
        <w:rPr>
          <w:rFonts w:hint="eastAsia" w:ascii="宋体" w:hAnsi="宋体"/>
        </w:rPr>
        <w:t xml:space="preserve">（暂定）                                          </w:t>
      </w:r>
    </w:p>
    <w:p>
      <w:pPr>
        <w:spacing w:line="360" w:lineRule="exact"/>
        <w:rPr>
          <w:rFonts w:hint="eastAsia" w:ascii="宋体" w:hAnsi="宋体"/>
        </w:rPr>
      </w:pPr>
      <w:r>
        <w:rPr>
          <w:rFonts w:hint="eastAsia" w:ascii="宋体" w:hAnsi="宋体"/>
        </w:rPr>
        <w:t xml:space="preserve">竣工日期：  </w:t>
      </w:r>
      <w:r>
        <w:rPr>
          <w:rFonts w:hint="eastAsia" w:ascii="宋体" w:hAnsi="宋体"/>
          <w:lang w:val="en-US" w:eastAsia="zh-CN"/>
        </w:rPr>
        <w:t>2021年10月21日</w:t>
      </w:r>
      <w:r>
        <w:rPr>
          <w:rFonts w:hint="eastAsia" w:ascii="宋体" w:hAnsi="宋体"/>
        </w:rPr>
        <w:t xml:space="preserve">                                              </w:t>
      </w:r>
    </w:p>
    <w:p>
      <w:pPr>
        <w:spacing w:line="360" w:lineRule="exact"/>
        <w:rPr>
          <w:rFonts w:hint="eastAsia" w:ascii="宋体" w:hAnsi="宋体" w:cs="宋体"/>
          <w:kern w:val="36"/>
        </w:rPr>
      </w:pPr>
      <w:r>
        <w:rPr>
          <w:rFonts w:hint="eastAsia" w:ascii="宋体" w:hAnsi="宋体"/>
        </w:rPr>
        <w:t xml:space="preserve">合同工期总日历天数   </w:t>
      </w:r>
      <w:r>
        <w:rPr>
          <w:rFonts w:hint="eastAsia" w:ascii="宋体" w:hAnsi="宋体"/>
          <w:lang w:val="en-US" w:eastAsia="zh-CN"/>
        </w:rPr>
        <w:t>50</w:t>
      </w:r>
      <w:r>
        <w:rPr>
          <w:rFonts w:hint="eastAsia" w:ascii="宋体" w:hAnsi="宋体"/>
        </w:rPr>
        <w:t xml:space="preserve">  天</w:t>
      </w:r>
      <w:r>
        <w:rPr>
          <w:rFonts w:hint="eastAsia" w:ascii="宋体" w:hAnsi="宋体"/>
          <w:lang w:val="en-US" w:eastAsia="zh-CN"/>
        </w:rPr>
        <w:t>。</w:t>
      </w:r>
    </w:p>
    <w:p>
      <w:pPr>
        <w:spacing w:line="360" w:lineRule="exact"/>
        <w:ind w:firstLine="420" w:firstLineChars="200"/>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3"/>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本工程结算执行《建设工程结算管理暂行办法》。</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3"/>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w:t>
      </w:r>
      <w:r>
        <w:rPr>
          <w:rFonts w:hint="eastAsia" w:asciiTheme="minorHAnsi" w:hAnsiTheme="minorHAnsi" w:eastAsiaTheme="minorEastAsia" w:cstheme="minorBidi"/>
          <w:bCs/>
          <w:color w:val="FF0000"/>
          <w:kern w:val="36"/>
          <w:sz w:val="21"/>
          <w:szCs w:val="21"/>
          <w:lang w:val="en-US" w:eastAsia="zh-CN" w:bidi="ar-SA"/>
        </w:rPr>
        <w:t>所有材料</w:t>
      </w:r>
      <w:r>
        <w:rPr>
          <w:rFonts w:hint="eastAsia" w:asciiTheme="minorHAnsi" w:hAnsiTheme="minorHAnsi" w:eastAsiaTheme="minorEastAsia" w:cstheme="minorBidi"/>
          <w:bCs/>
          <w:kern w:val="36"/>
          <w:sz w:val="21"/>
          <w:szCs w:val="21"/>
          <w:lang w:val="en-US" w:eastAsia="zh-CN" w:bidi="ar-SA"/>
        </w:rPr>
        <w:t>由承包人提供。</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w:t>
      </w:r>
      <w:r>
        <w:rPr>
          <w:rFonts w:hint="eastAsia" w:asciiTheme="minorHAnsi" w:hAnsiTheme="minorHAnsi" w:eastAsiaTheme="minorEastAsia" w:cstheme="minorBidi"/>
          <w:bCs/>
          <w:color w:val="FF0000"/>
          <w:kern w:val="36"/>
          <w:sz w:val="21"/>
          <w:szCs w:val="21"/>
          <w:lang w:val="en-US" w:eastAsia="zh-CN" w:bidi="ar-SA"/>
        </w:rPr>
        <w:t>2021年第7期</w:t>
      </w:r>
      <w:r>
        <w:rPr>
          <w:rFonts w:hint="eastAsia" w:asciiTheme="minorHAnsi" w:hAnsiTheme="minorHAnsi" w:eastAsiaTheme="minorEastAsia" w:cstheme="minorBidi"/>
          <w:bCs/>
          <w:kern w:val="36"/>
          <w:sz w:val="21"/>
          <w:szCs w:val="21"/>
          <w:lang w:val="en-US" w:eastAsia="zh-CN" w:bidi="ar-SA"/>
        </w:rPr>
        <w:t>芜湖市市场信息价为基准，芜湖市市场信息价没有的以合肥市市场信息价为基准，若施工期间材料单价涨跌幅超过</w:t>
      </w:r>
      <w:r>
        <w:rPr>
          <w:rFonts w:hint="eastAsia" w:asciiTheme="minorHAnsi" w:hAnsiTheme="minorHAnsi" w:eastAsiaTheme="minorEastAsia" w:cstheme="minorBidi"/>
          <w:bCs/>
          <w:color w:val="FF0000"/>
          <w:kern w:val="36"/>
          <w:sz w:val="21"/>
          <w:szCs w:val="21"/>
          <w:lang w:val="en-US" w:eastAsia="zh-CN" w:bidi="ar-SA"/>
        </w:rPr>
        <w:t>±5%</w:t>
      </w:r>
      <w:r>
        <w:rPr>
          <w:rFonts w:hint="eastAsia" w:asciiTheme="minorHAnsi" w:hAnsiTheme="minorHAnsi" w:eastAsiaTheme="minorEastAsia" w:cstheme="minorBidi"/>
          <w:bCs/>
          <w:kern w:val="36"/>
          <w:sz w:val="21"/>
          <w:szCs w:val="21"/>
          <w:lang w:val="en-US" w:eastAsia="zh-CN" w:bidi="ar-SA"/>
        </w:rPr>
        <w:t>时，其超过部分</w:t>
      </w:r>
      <w:r>
        <w:rPr>
          <w:rFonts w:hint="eastAsia" w:asciiTheme="minorHAnsi" w:hAnsiTheme="minorHAnsi" w:eastAsiaTheme="minorEastAsia" w:cstheme="minorBidi"/>
          <w:bCs/>
          <w:color w:val="FF0000"/>
          <w:kern w:val="36"/>
          <w:sz w:val="21"/>
          <w:szCs w:val="21"/>
          <w:lang w:val="en-US" w:eastAsia="zh-CN" w:bidi="ar-SA"/>
        </w:rPr>
        <w:t>据实调整</w:t>
      </w:r>
      <w:r>
        <w:rPr>
          <w:rFonts w:hint="eastAsia" w:asciiTheme="minorHAnsi" w:hAnsiTheme="minorHAnsi" w:eastAsiaTheme="minorEastAsia" w:cstheme="minorBidi"/>
          <w:bCs/>
          <w:kern w:val="36"/>
          <w:sz w:val="21"/>
          <w:szCs w:val="21"/>
          <w:lang w:val="en-US" w:eastAsia="zh-CN" w:bidi="ar-SA"/>
        </w:rPr>
        <w:t>钢材价格，芜湖和合肥市场信息价查询不到的不予调整。</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3"/>
        </w:numPr>
        <w:spacing w:beforeLines="50" w:afterLines="50" w:line="360" w:lineRule="exact"/>
        <w:ind w:left="420" w:leftChars="0" w:hanging="420"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numPr>
          <w:ilvl w:val="0"/>
          <w:numId w:val="0"/>
        </w:numPr>
        <w:spacing w:beforeLines="50" w:afterLines="50" w:line="360" w:lineRule="exact"/>
        <w:ind w:leftChars="0"/>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4"/>
        <w:gridCol w:w="1078"/>
        <w:gridCol w:w="1099"/>
        <w:gridCol w:w="2426"/>
        <w:gridCol w:w="3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90" w:type="pct"/>
            <w:vMerge w:val="restart"/>
            <w:vAlign w:val="center"/>
          </w:tcPr>
          <w:p>
            <w:r>
              <w:rPr>
                <w:rFonts w:hint="eastAsia"/>
              </w:rPr>
              <w:t>评分标准</w:t>
            </w:r>
          </w:p>
        </w:tc>
        <w:tc>
          <w:tcPr>
            <w:tcW w:w="646" w:type="pct"/>
            <w:vAlign w:val="center"/>
          </w:tcPr>
          <w:p>
            <w:r>
              <w:rPr>
                <w:rFonts w:hint="eastAsia"/>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restart"/>
            <w:vAlign w:val="center"/>
          </w:tcPr>
          <w:p>
            <w:r>
              <w:rPr>
                <w:rFonts w:hint="eastAsia"/>
              </w:rPr>
              <w:t xml:space="preserve">施工方案  </w:t>
            </w:r>
            <w:r>
              <w:rPr>
                <w:rFonts w:hint="eastAsia"/>
                <w:highlight w:val="none"/>
              </w:rPr>
              <w:t>（</w:t>
            </w:r>
            <w:r>
              <w:rPr>
                <w:highlight w:val="none"/>
              </w:rPr>
              <w:t>4</w:t>
            </w:r>
            <w:r>
              <w:rPr>
                <w:rFonts w:hint="eastAsia"/>
                <w:highlight w:val="none"/>
              </w:rPr>
              <w:t>0分）</w:t>
            </w:r>
          </w:p>
        </w:tc>
        <w:tc>
          <w:tcPr>
            <w:tcW w:w="2113" w:type="pct"/>
            <w:gridSpan w:val="2"/>
            <w:vAlign w:val="center"/>
          </w:tcPr>
          <w:p>
            <w:r>
              <w:rPr>
                <w:rFonts w:hint="eastAsia"/>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659"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90" w:type="pct"/>
            <w:vMerge w:val="continue"/>
            <w:vAlign w:val="center"/>
          </w:tcPr>
          <w:p/>
        </w:tc>
        <w:tc>
          <w:tcPr>
            <w:tcW w:w="646" w:type="pct"/>
            <w:vMerge w:val="restart"/>
            <w:vAlign w:val="center"/>
          </w:tcPr>
          <w:p>
            <w:r>
              <w:rPr>
                <w:rFonts w:hint="eastAsia"/>
              </w:rPr>
              <w:t xml:space="preserve">企业信誉  </w:t>
            </w:r>
            <w:r>
              <w:rPr>
                <w:rFonts w:hint="eastAsia"/>
                <w:highlight w:val="none"/>
              </w:rPr>
              <w:t>（20分）</w:t>
            </w:r>
          </w:p>
        </w:tc>
        <w:tc>
          <w:tcPr>
            <w:tcW w:w="2113" w:type="pct"/>
            <w:gridSpan w:val="2"/>
            <w:vAlign w:val="center"/>
          </w:tcPr>
          <w:p>
            <w:r>
              <w:rPr>
                <w:rFonts w:hint="eastAsia"/>
              </w:rPr>
              <w:t xml:space="preserve">企业资金状况及信用等级： </w:t>
            </w:r>
            <w:r>
              <w:t>2</w:t>
            </w:r>
            <w:r>
              <w:rPr>
                <w:rFonts w:hint="eastAsia"/>
              </w:rPr>
              <w:t>分</w:t>
            </w:r>
          </w:p>
        </w:tc>
        <w:tc>
          <w:tcPr>
            <w:tcW w:w="1951" w:type="pct"/>
            <w:vAlign w:val="center"/>
          </w:tcPr>
          <w:p>
            <w:r>
              <w:rPr>
                <w:rFonts w:hint="eastAsia"/>
              </w:rPr>
              <w:t>近三年财务状况良好+1分，AAA级企业+</w:t>
            </w:r>
            <w:r>
              <w:t>1</w:t>
            </w:r>
            <w:r>
              <w:rPr>
                <w:rFonts w:hint="eastAsia"/>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项目经理业绩共</w:t>
            </w:r>
            <w:r>
              <w:t>2</w:t>
            </w:r>
            <w:r>
              <w:rPr>
                <w:rFonts w:hint="eastAsia"/>
              </w:rPr>
              <w:t>分</w:t>
            </w:r>
          </w:p>
        </w:tc>
        <w:tc>
          <w:tcPr>
            <w:tcW w:w="1951" w:type="pct"/>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企业类似项目业绩共1</w:t>
            </w:r>
            <w:r>
              <w:t>0</w:t>
            </w:r>
            <w:r>
              <w:rPr>
                <w:rFonts w:hint="eastAsia"/>
              </w:rPr>
              <w:t>分</w:t>
            </w:r>
          </w:p>
        </w:tc>
        <w:tc>
          <w:tcPr>
            <w:tcW w:w="1951" w:type="pct"/>
            <w:vAlign w:val="center"/>
          </w:tcPr>
          <w:p>
            <w:pPr>
              <w:rPr>
                <w:highlight w:val="yellow"/>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90" w:type="pct"/>
            <w:vMerge w:val="continue"/>
            <w:vAlign w:val="center"/>
          </w:tcPr>
          <w:p/>
        </w:tc>
        <w:tc>
          <w:tcPr>
            <w:tcW w:w="646" w:type="pct"/>
            <w:vMerge w:val="continue"/>
            <w:vAlign w:val="center"/>
          </w:tcPr>
          <w:p/>
        </w:tc>
        <w:tc>
          <w:tcPr>
            <w:tcW w:w="2113" w:type="pct"/>
            <w:gridSpan w:val="2"/>
            <w:vAlign w:val="center"/>
          </w:tcPr>
          <w:p>
            <w:r>
              <w:rPr>
                <w:rFonts w:hint="eastAsia"/>
              </w:rPr>
              <w:t>履约能力综合评估（财务信誉、工程履约信誉、结算信誉）共计6分</w:t>
            </w:r>
          </w:p>
        </w:tc>
        <w:tc>
          <w:tcPr>
            <w:tcW w:w="1951" w:type="pct"/>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lang w:val="en-US" w:eastAsia="zh-CN"/>
        </w:rPr>
        <w:t>本项目拦标价详见报价单，报价超过综合单价拦标价及低于优惠率拦标价的一律作废标处理。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ascii="宋体" w:hAnsi="宋体"/>
          <w:b/>
          <w:bCs/>
          <w:sz w:val="36"/>
          <w:szCs w:val="36"/>
          <w:u w:val="single"/>
        </w:rPr>
        <w:t xml:space="preserve"> </w:t>
      </w:r>
      <w:r>
        <w:rPr>
          <w:rFonts w:hint="eastAsia" w:ascii="宋体" w:hAnsi="宋体" w:eastAsia="宋体" w:cs="宋体"/>
          <w:b/>
          <w:sz w:val="36"/>
          <w:szCs w:val="36"/>
          <w:u w:val="single"/>
          <w:lang w:eastAsia="zh-CN"/>
        </w:rPr>
        <w:t>炼钢部</w:t>
      </w:r>
      <w:r>
        <w:rPr>
          <w:rFonts w:hint="eastAsia" w:ascii="宋体" w:hAnsi="宋体" w:eastAsia="宋体" w:cs="宋体"/>
          <w:b/>
          <w:sz w:val="36"/>
          <w:szCs w:val="36"/>
          <w:u w:val="single"/>
          <w:lang w:val="en-US" w:eastAsia="zh-CN"/>
        </w:rPr>
        <w:t>4#LF炉钢平台安装</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5016" w:type="pct"/>
        <w:tblInd w:w="0" w:type="dxa"/>
        <w:tblLayout w:type="fixed"/>
        <w:tblCellMar>
          <w:top w:w="0" w:type="dxa"/>
          <w:left w:w="108" w:type="dxa"/>
          <w:bottom w:w="0" w:type="dxa"/>
          <w:right w:w="108" w:type="dxa"/>
        </w:tblCellMar>
      </w:tblPr>
      <w:tblGrid>
        <w:gridCol w:w="810"/>
        <w:gridCol w:w="2269"/>
        <w:gridCol w:w="988"/>
        <w:gridCol w:w="1137"/>
        <w:gridCol w:w="1461"/>
        <w:gridCol w:w="1786"/>
        <w:gridCol w:w="6793"/>
      </w:tblGrid>
      <w:tr>
        <w:tblPrEx>
          <w:tblCellMar>
            <w:top w:w="0" w:type="dxa"/>
            <w:left w:w="108" w:type="dxa"/>
            <w:bottom w:w="0" w:type="dxa"/>
            <w:right w:w="108" w:type="dxa"/>
          </w:tblCellMar>
        </w:tblPrEx>
        <w:trPr>
          <w:trHeight w:val="750" w:hRule="atLeast"/>
        </w:trPr>
        <w:tc>
          <w:tcPr>
            <w:tcW w:w="26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74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32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7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暂估工程量</w:t>
            </w:r>
          </w:p>
        </w:tc>
        <w:tc>
          <w:tcPr>
            <w:tcW w:w="4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5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22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r>
              <w:rPr>
                <w:rFonts w:hint="eastAsia" w:ascii="宋体" w:hAnsi="宋体" w:cs="宋体"/>
                <w:color w:val="000000"/>
                <w:kern w:val="0"/>
                <w:sz w:val="30"/>
                <w:szCs w:val="30"/>
              </w:rPr>
              <w:t>一、单价包干部分</w:t>
            </w:r>
          </w:p>
        </w:tc>
      </w:tr>
      <w:tr>
        <w:tblPrEx>
          <w:tblCellMar>
            <w:top w:w="0" w:type="dxa"/>
            <w:left w:w="108" w:type="dxa"/>
            <w:bottom w:w="0" w:type="dxa"/>
            <w:right w:w="108" w:type="dxa"/>
          </w:tblCellMar>
        </w:tblPrEx>
        <w:trPr>
          <w:trHeight w:val="680" w:hRule="atLeast"/>
        </w:trPr>
        <w:tc>
          <w:tcPr>
            <w:tcW w:w="265"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8"/>
                <w:szCs w:val="28"/>
              </w:rPr>
            </w:pPr>
            <w:r>
              <w:rPr>
                <w:rFonts w:hint="eastAsia"/>
                <w:color w:val="000000"/>
                <w:sz w:val="28"/>
                <w:szCs w:val="28"/>
              </w:rPr>
              <w:t>1</w:t>
            </w:r>
          </w:p>
        </w:tc>
        <w:tc>
          <w:tcPr>
            <w:tcW w:w="744" w:type="pct"/>
            <w:tcBorders>
              <w:top w:val="nil"/>
              <w:left w:val="nil"/>
              <w:bottom w:val="single" w:color="auto" w:sz="4" w:space="0"/>
              <w:right w:val="single" w:color="auto" w:sz="4" w:space="0"/>
            </w:tcBorders>
            <w:vAlign w:val="center"/>
          </w:tcPr>
          <w:p>
            <w:pPr>
              <w:widowControl/>
              <w:jc w:val="center"/>
              <w:rPr>
                <w:rFonts w:hint="eastAsia" w:eastAsia="宋体"/>
                <w:color w:val="000000"/>
                <w:kern w:val="0"/>
                <w:sz w:val="28"/>
                <w:szCs w:val="28"/>
                <w:lang w:eastAsia="zh-CN"/>
              </w:rPr>
            </w:pPr>
            <w:r>
              <w:rPr>
                <w:rFonts w:hint="eastAsia"/>
                <w:color w:val="000000"/>
                <w:kern w:val="0"/>
                <w:sz w:val="28"/>
                <w:szCs w:val="28"/>
                <w:lang w:eastAsia="zh-CN"/>
              </w:rPr>
              <w:t>钢结构制安</w:t>
            </w:r>
          </w:p>
        </w:tc>
        <w:tc>
          <w:tcPr>
            <w:tcW w:w="324" w:type="pct"/>
            <w:tcBorders>
              <w:top w:val="nil"/>
              <w:left w:val="nil"/>
              <w:bottom w:val="single" w:color="auto" w:sz="4" w:space="0"/>
              <w:right w:val="single" w:color="auto" w:sz="4" w:space="0"/>
            </w:tcBorders>
            <w:vAlign w:val="center"/>
          </w:tcPr>
          <w:p>
            <w:pPr>
              <w:widowControl/>
              <w:jc w:val="center"/>
              <w:rPr>
                <w:rFonts w:hint="eastAsia" w:eastAsia="宋体"/>
                <w:kern w:val="0"/>
                <w:sz w:val="28"/>
                <w:szCs w:val="28"/>
                <w:lang w:val="en-US" w:eastAsia="zh-CN"/>
              </w:rPr>
            </w:pPr>
            <w:r>
              <w:rPr>
                <w:rFonts w:hint="eastAsia"/>
                <w:kern w:val="0"/>
                <w:sz w:val="28"/>
                <w:szCs w:val="28"/>
                <w:lang w:val="en-US" w:eastAsia="zh-CN"/>
              </w:rPr>
              <w:t>t</w:t>
            </w:r>
          </w:p>
        </w:tc>
        <w:tc>
          <w:tcPr>
            <w:tcW w:w="373" w:type="pct"/>
            <w:tcBorders>
              <w:top w:val="nil"/>
              <w:left w:val="nil"/>
              <w:bottom w:val="single" w:color="auto" w:sz="4" w:space="0"/>
              <w:right w:val="single" w:color="auto" w:sz="4" w:space="0"/>
            </w:tcBorders>
            <w:vAlign w:val="center"/>
          </w:tcPr>
          <w:p>
            <w:pPr>
              <w:widowControl/>
              <w:jc w:val="center"/>
              <w:rPr>
                <w:rFonts w:hint="default" w:eastAsia="宋体"/>
                <w:sz w:val="28"/>
                <w:szCs w:val="28"/>
                <w:lang w:val="en-US" w:eastAsia="zh-CN"/>
              </w:rPr>
            </w:pPr>
            <w:r>
              <w:rPr>
                <w:rFonts w:hint="eastAsia"/>
                <w:sz w:val="28"/>
                <w:szCs w:val="28"/>
                <w:lang w:val="en-US" w:eastAsia="zh-CN"/>
              </w:rPr>
              <w:t>120</w:t>
            </w:r>
          </w:p>
        </w:tc>
        <w:tc>
          <w:tcPr>
            <w:tcW w:w="479" w:type="pct"/>
            <w:tcBorders>
              <w:top w:val="single" w:color="auto" w:sz="4" w:space="0"/>
              <w:left w:val="nil"/>
              <w:bottom w:val="single" w:color="auto" w:sz="4" w:space="0"/>
              <w:right w:val="single" w:color="auto" w:sz="4" w:space="0"/>
            </w:tcBorders>
            <w:vAlign w:val="center"/>
          </w:tcPr>
          <w:p>
            <w:pPr>
              <w:widowControl/>
              <w:jc w:val="center"/>
              <w:rPr>
                <w:rFonts w:hint="default" w:eastAsia="宋体"/>
                <w:kern w:val="0"/>
                <w:sz w:val="28"/>
                <w:szCs w:val="28"/>
                <w:lang w:val="en-US" w:eastAsia="zh-CN"/>
              </w:rPr>
            </w:pPr>
            <w:r>
              <w:rPr>
                <w:rFonts w:hint="eastAsia"/>
                <w:kern w:val="0"/>
                <w:sz w:val="28"/>
                <w:szCs w:val="28"/>
                <w:lang w:val="en-US" w:eastAsia="zh-CN"/>
              </w:rPr>
              <w:t>12000</w:t>
            </w:r>
          </w:p>
        </w:tc>
        <w:tc>
          <w:tcPr>
            <w:tcW w:w="585" w:type="pct"/>
            <w:tcBorders>
              <w:top w:val="single" w:color="auto" w:sz="4" w:space="0"/>
              <w:left w:val="single" w:color="auto" w:sz="4" w:space="0"/>
              <w:bottom w:val="single" w:color="auto" w:sz="4" w:space="0"/>
              <w:right w:val="single" w:color="auto" w:sz="4" w:space="0"/>
            </w:tcBorders>
            <w:vAlign w:val="center"/>
          </w:tcPr>
          <w:p>
            <w:pPr>
              <w:jc w:val="right"/>
              <w:rPr>
                <w:rFonts w:hint="eastAsia" w:eastAsia="宋体"/>
                <w:color w:val="000000"/>
                <w:sz w:val="28"/>
                <w:szCs w:val="28"/>
                <w:lang w:eastAsia="zh-CN"/>
              </w:rPr>
            </w:pPr>
            <w:r>
              <w:rPr>
                <w:rFonts w:hint="eastAsia"/>
                <w:color w:val="000000"/>
                <w:sz w:val="28"/>
                <w:szCs w:val="28"/>
              </w:rPr>
              <w:t>元/</w:t>
            </w:r>
            <w:r>
              <w:rPr>
                <w:rFonts w:hint="eastAsia"/>
                <w:color w:val="000000"/>
                <w:sz w:val="28"/>
                <w:szCs w:val="28"/>
                <w:lang w:val="en-US" w:eastAsia="zh-CN"/>
              </w:rPr>
              <w:t>t</w:t>
            </w:r>
          </w:p>
        </w:tc>
        <w:tc>
          <w:tcPr>
            <w:tcW w:w="2227" w:type="pct"/>
            <w:tcBorders>
              <w:top w:val="single" w:color="auto" w:sz="4" w:space="0"/>
              <w:left w:val="nil"/>
              <w:bottom w:val="single" w:color="auto" w:sz="4" w:space="0"/>
              <w:right w:val="single" w:color="auto" w:sz="4" w:space="0"/>
            </w:tcBorders>
          </w:tcPr>
          <w:p>
            <w:pPr>
              <w:rPr>
                <w:rFonts w:hint="eastAsia" w:eastAsia="宋体"/>
                <w:sz w:val="28"/>
                <w:szCs w:val="28"/>
                <w:lang w:eastAsia="zh-CN"/>
              </w:rPr>
            </w:pPr>
            <w:r>
              <w:rPr>
                <w:rFonts w:hint="eastAsia"/>
                <w:sz w:val="28"/>
                <w:szCs w:val="28"/>
              </w:rPr>
              <w:t>包括桥架、桁架、支架、平台、梯子、栏杆、预埋件、螺栓、盖板等所有钢构制安，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529"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24"/>
                <w:szCs w:val="24"/>
              </w:rPr>
            </w:pPr>
            <w:r>
              <w:rPr>
                <w:rFonts w:hint="eastAsia"/>
                <w:color w:val="000000"/>
                <w:sz w:val="30"/>
                <w:szCs w:val="30"/>
              </w:rPr>
              <w:t>二、除单价包干外工作量</w:t>
            </w:r>
          </w:p>
        </w:tc>
      </w:tr>
      <w:tr>
        <w:tblPrEx>
          <w:tblCellMar>
            <w:top w:w="0" w:type="dxa"/>
            <w:left w:w="108" w:type="dxa"/>
            <w:bottom w:w="0" w:type="dxa"/>
            <w:right w:w="108" w:type="dxa"/>
          </w:tblCellMar>
        </w:tblPrEx>
        <w:trPr>
          <w:trHeight w:val="972" w:hRule="atLeast"/>
        </w:trPr>
        <w:tc>
          <w:tcPr>
            <w:tcW w:w="265"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28"/>
                <w:szCs w:val="28"/>
              </w:rPr>
            </w:pPr>
            <w:r>
              <w:rPr>
                <w:color w:val="000000"/>
                <w:sz w:val="28"/>
                <w:szCs w:val="28"/>
              </w:rPr>
              <w:t>4</w:t>
            </w:r>
          </w:p>
        </w:tc>
        <w:tc>
          <w:tcPr>
            <w:tcW w:w="744" w:type="pct"/>
            <w:tcBorders>
              <w:top w:val="nil"/>
              <w:left w:val="nil"/>
              <w:bottom w:val="single" w:color="auto" w:sz="4" w:space="0"/>
              <w:right w:val="single" w:color="auto" w:sz="4" w:space="0"/>
            </w:tcBorders>
            <w:vAlign w:val="center"/>
          </w:tcPr>
          <w:p>
            <w:pPr>
              <w:jc w:val="left"/>
              <w:rPr>
                <w:color w:val="000000"/>
                <w:sz w:val="28"/>
                <w:szCs w:val="28"/>
                <w:u w:val="single"/>
              </w:rPr>
            </w:pPr>
            <w:r>
              <w:rPr>
                <w:rFonts w:hint="eastAsia"/>
                <w:sz w:val="28"/>
                <w:szCs w:val="28"/>
              </w:rPr>
              <w:t>优惠率（不包含材料费）</w:t>
            </w:r>
          </w:p>
        </w:tc>
        <w:tc>
          <w:tcPr>
            <w:tcW w:w="697" w:type="pct"/>
            <w:gridSpan w:val="2"/>
            <w:tcBorders>
              <w:top w:val="nil"/>
              <w:left w:val="nil"/>
              <w:bottom w:val="single" w:color="auto" w:sz="4" w:space="0"/>
              <w:right w:val="single" w:color="auto" w:sz="4" w:space="0"/>
            </w:tcBorders>
            <w:vAlign w:val="center"/>
          </w:tcPr>
          <w:p>
            <w:pPr>
              <w:ind w:left="241" w:hanging="281" w:hangingChars="100"/>
              <w:jc w:val="left"/>
              <w:rPr>
                <w:color w:val="000000"/>
                <w:sz w:val="28"/>
                <w:szCs w:val="28"/>
              </w:rPr>
            </w:pPr>
            <w:r>
              <w:rPr>
                <w:rFonts w:hint="eastAsia"/>
                <w:b/>
                <w:bCs/>
                <w:color w:val="FF0000"/>
                <w:sz w:val="28"/>
                <w:szCs w:val="28"/>
                <w:highlight w:val="none"/>
              </w:rPr>
              <w:t>暂估</w:t>
            </w:r>
            <w:r>
              <w:rPr>
                <w:rFonts w:hint="eastAsia"/>
                <w:sz w:val="28"/>
                <w:szCs w:val="28"/>
              </w:rPr>
              <w:t>金额</w:t>
            </w:r>
            <w:r>
              <w:rPr>
                <w:rFonts w:hint="eastAsia"/>
                <w:sz w:val="28"/>
                <w:szCs w:val="28"/>
                <w:u w:val="single"/>
                <w:lang w:val="en-US" w:eastAsia="zh-CN"/>
              </w:rPr>
              <w:t>100000</w:t>
            </w:r>
            <w:r>
              <w:rPr>
                <w:rFonts w:hint="eastAsia"/>
                <w:sz w:val="28"/>
                <w:szCs w:val="28"/>
              </w:rPr>
              <w:t>元</w:t>
            </w:r>
          </w:p>
        </w:tc>
        <w:tc>
          <w:tcPr>
            <w:tcW w:w="479" w:type="pct"/>
            <w:tcBorders>
              <w:top w:val="nil"/>
              <w:left w:val="nil"/>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1%</w:t>
            </w:r>
          </w:p>
        </w:tc>
        <w:tc>
          <w:tcPr>
            <w:tcW w:w="585"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8"/>
                <w:szCs w:val="28"/>
              </w:rPr>
            </w:pPr>
            <w:r>
              <w:rPr>
                <w:rFonts w:hint="eastAsia"/>
                <w:kern w:val="0"/>
                <w:sz w:val="28"/>
                <w:szCs w:val="28"/>
              </w:rPr>
              <w:t>优惠</w:t>
            </w:r>
            <w:r>
              <w:rPr>
                <w:rFonts w:hint="eastAsia"/>
                <w:kern w:val="0"/>
                <w:sz w:val="28"/>
                <w:szCs w:val="28"/>
                <w:u w:val="single"/>
              </w:rPr>
              <w:t xml:space="preserve">      </w:t>
            </w:r>
            <w:r>
              <w:rPr>
                <w:rFonts w:hint="eastAsia"/>
                <w:kern w:val="0"/>
                <w:sz w:val="28"/>
                <w:szCs w:val="28"/>
              </w:rPr>
              <w:t>%</w:t>
            </w:r>
          </w:p>
        </w:tc>
        <w:tc>
          <w:tcPr>
            <w:tcW w:w="2227" w:type="pct"/>
            <w:tcBorders>
              <w:top w:val="single" w:color="auto" w:sz="4" w:space="0"/>
              <w:left w:val="nil"/>
              <w:bottom w:val="single" w:color="auto" w:sz="4" w:space="0"/>
              <w:right w:val="single" w:color="auto" w:sz="4" w:space="0"/>
            </w:tcBorders>
            <w:vAlign w:val="center"/>
          </w:tcPr>
          <w:p>
            <w:pPr>
              <w:rPr>
                <w:sz w:val="28"/>
                <w:szCs w:val="28"/>
              </w:rPr>
            </w:pPr>
            <w:r>
              <w:rPr>
                <w:rFonts w:hint="eastAsia"/>
                <w:sz w:val="28"/>
                <w:szCs w:val="28"/>
              </w:rPr>
              <w:t>执行2018版安徽省建设工程计价定额及配套费用定额，材料费不参与总价优惠。措施项目费以现场确认形式据实计取，二次搬运费不计取。</w:t>
            </w:r>
          </w:p>
        </w:tc>
      </w:tr>
    </w:tbl>
    <w:p>
      <w:pPr>
        <w:spacing w:line="300" w:lineRule="auto"/>
        <w:ind w:firstLine="480" w:firstLineChars="200"/>
        <w:rPr>
          <w:rFonts w:hint="eastAsia" w:eastAsiaTheme="minorEastAsia"/>
          <w:b/>
          <w:sz w:val="18"/>
          <w:szCs w:val="18"/>
          <w:lang w:eastAsia="zh-CN"/>
        </w:rPr>
        <w:sectPr>
          <w:pgSz w:w="16840" w:h="11900" w:orient="landscape"/>
          <w:pgMar w:top="981" w:right="278" w:bottom="1361" w:left="1582"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w:t>
      </w:r>
      <w:bookmarkStart w:id="4" w:name="_GoBack"/>
      <w:bookmarkEnd w:id="4"/>
      <w:r>
        <w:rPr>
          <w:rFonts w:hint="eastAsia"/>
          <w:sz w:val="24"/>
          <w:szCs w:val="24"/>
        </w:rPr>
        <w:t>章或授权代理人签字</w:t>
      </w:r>
      <w:r>
        <w:rPr>
          <w:rFonts w:hint="eastAsia"/>
          <w:sz w:val="24"/>
          <w:szCs w:val="24"/>
          <w:lang w:eastAsia="zh-CN"/>
        </w:rPr>
        <w:t>。</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91886"/>
      <w:bookmarkStart w:id="2" w:name="_Toc15231775"/>
      <w:bookmarkStart w:id="3" w:name="_Toc532887698"/>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A600EA"/>
    <w:rsid w:val="0DFC1491"/>
    <w:rsid w:val="1DC136C9"/>
    <w:rsid w:val="214D2E1E"/>
    <w:rsid w:val="21F73AF2"/>
    <w:rsid w:val="23883F50"/>
    <w:rsid w:val="24C93CD8"/>
    <w:rsid w:val="24E835CF"/>
    <w:rsid w:val="282A37D0"/>
    <w:rsid w:val="2ACC54A6"/>
    <w:rsid w:val="2F663835"/>
    <w:rsid w:val="326329B3"/>
    <w:rsid w:val="33F77810"/>
    <w:rsid w:val="34481C4C"/>
    <w:rsid w:val="42E868F7"/>
    <w:rsid w:val="4CBD129F"/>
    <w:rsid w:val="4FE71EA0"/>
    <w:rsid w:val="51280DE8"/>
    <w:rsid w:val="59A06F0E"/>
    <w:rsid w:val="5B1F3D2D"/>
    <w:rsid w:val="5C3B118A"/>
    <w:rsid w:val="5F972E39"/>
    <w:rsid w:val="6533734E"/>
    <w:rsid w:val="66296C18"/>
    <w:rsid w:val="68E35667"/>
    <w:rsid w:val="6B320EB8"/>
    <w:rsid w:val="6F1A7BAF"/>
    <w:rsid w:val="724E1F86"/>
    <w:rsid w:val="77676C2F"/>
    <w:rsid w:val="7A7A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1"/>
      <w:szCs w:val="21"/>
      <w:u w:val="none"/>
    </w:rPr>
  </w:style>
  <w:style w:type="character" w:customStyle="1" w:styleId="35">
    <w:name w:val="font01"/>
    <w:basedOn w:val="14"/>
    <w:qFormat/>
    <w:uiPriority w:val="0"/>
    <w:rPr>
      <w:rFonts w:hint="eastAsia" w:ascii="宋体" w:hAnsi="宋体" w:eastAsia="宋体" w:cs="宋体"/>
      <w:color w:val="000000"/>
      <w:sz w:val="20"/>
      <w:szCs w:val="20"/>
      <w:u w:val="none"/>
    </w:rPr>
  </w:style>
  <w:style w:type="character" w:customStyle="1" w:styleId="36">
    <w:name w:val="font31"/>
    <w:basedOn w:val="14"/>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2021-08-13T09:15:03Z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8A205F93C21C4C5CB679A371B12D3AF4</vt:lpwstr>
  </property>
</Properties>
</file>