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中水水质提升土建工程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8011ZSSZTJGC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中水水质提升土建工程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中水水质提升土建工程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9</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中水水质提升土建工程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中水水质提升土建工程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壹万贰仟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09</w:t>
      </w:r>
      <w:r>
        <w:rPr>
          <w:rFonts w:hint="eastAsia" w:ascii="宋体" w:hAnsi="宋体" w:cs="宋体"/>
          <w:bCs/>
          <w:color w:val="FF0000"/>
          <w:kern w:val="36"/>
        </w:rPr>
        <w:t>月</w:t>
      </w:r>
      <w:r>
        <w:rPr>
          <w:rFonts w:hint="eastAsia" w:ascii="宋体" w:hAnsi="宋体" w:cs="宋体"/>
          <w:bCs/>
          <w:color w:val="FF0000"/>
          <w:kern w:val="36"/>
          <w:u w:val="single"/>
          <w:lang w:val="en-US" w:eastAsia="zh-CN"/>
        </w:rPr>
        <w:t>01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调节池、深度处理车间土建改造等施工。工作量：土方开挖约175m3，土方回填约40m3，凿除钢筋砼约60m3，级配砂石约265m3，砼浇筑约350m3，钢筋制安约26t，钢结构制安约38t，砌筑约35m3，水池内壁防腐约360m2，石膏板吊顶约230m2，地板砖铺设约500m2等工作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开工日期：2021年</w:t>
      </w:r>
      <w:r>
        <w:rPr>
          <w:rFonts w:hint="eastAsia"/>
          <w:bCs/>
          <w:kern w:val="36"/>
          <w:lang w:val="en-US" w:eastAsia="zh-CN"/>
        </w:rPr>
        <w:t>9</w:t>
      </w:r>
      <w:r>
        <w:rPr>
          <w:rFonts w:hint="eastAsia"/>
          <w:bCs/>
          <w:kern w:val="36"/>
        </w:rPr>
        <w:t>月</w:t>
      </w:r>
      <w:r>
        <w:rPr>
          <w:rFonts w:hint="eastAsia"/>
          <w:bCs/>
          <w:kern w:val="36"/>
          <w:lang w:val="en-US" w:eastAsia="zh-CN"/>
        </w:rPr>
        <w:t>22</w:t>
      </w:r>
      <w:r>
        <w:rPr>
          <w:rFonts w:hint="eastAsia"/>
          <w:bCs/>
          <w:kern w:val="36"/>
        </w:rPr>
        <w:t xml:space="preserve">日（暂定）                                          </w:t>
      </w:r>
    </w:p>
    <w:p>
      <w:pPr>
        <w:spacing w:line="360" w:lineRule="exact"/>
        <w:rPr>
          <w:rFonts w:hint="eastAsia"/>
          <w:bCs/>
          <w:kern w:val="36"/>
        </w:rPr>
      </w:pPr>
      <w:r>
        <w:rPr>
          <w:rFonts w:hint="eastAsia"/>
          <w:bCs/>
          <w:kern w:val="36"/>
        </w:rPr>
        <w:t>竣工日期：202</w:t>
      </w:r>
      <w:r>
        <w:rPr>
          <w:rFonts w:hint="eastAsia"/>
          <w:bCs/>
          <w:kern w:val="36"/>
          <w:lang w:val="en-US" w:eastAsia="zh-CN"/>
        </w:rPr>
        <w:t>2</w:t>
      </w:r>
      <w:r>
        <w:rPr>
          <w:rFonts w:hint="eastAsia"/>
          <w:bCs/>
          <w:kern w:val="36"/>
        </w:rPr>
        <w:t>年</w:t>
      </w:r>
      <w:r>
        <w:rPr>
          <w:rFonts w:hint="eastAsia"/>
          <w:bCs/>
          <w:kern w:val="36"/>
          <w:lang w:val="en-US" w:eastAsia="zh-CN"/>
        </w:rPr>
        <w:t>1</w:t>
      </w:r>
      <w:r>
        <w:rPr>
          <w:rFonts w:hint="eastAsia"/>
          <w:bCs/>
          <w:kern w:val="36"/>
        </w:rPr>
        <w:t>月</w:t>
      </w:r>
      <w:r>
        <w:rPr>
          <w:rFonts w:hint="eastAsia"/>
          <w:bCs/>
          <w:kern w:val="36"/>
          <w:lang w:val="en-US" w:eastAsia="zh-CN"/>
        </w:rPr>
        <w:t>20</w:t>
      </w:r>
      <w:r>
        <w:rPr>
          <w:rFonts w:hint="eastAsia"/>
          <w:bCs/>
          <w:kern w:val="36"/>
        </w:rPr>
        <w:t xml:space="preserve">日                                              </w:t>
      </w:r>
    </w:p>
    <w:p>
      <w:pPr>
        <w:spacing w:line="360" w:lineRule="exact"/>
        <w:rPr>
          <w:rFonts w:hint="eastAsia"/>
          <w:bCs/>
          <w:kern w:val="36"/>
        </w:rPr>
      </w:pPr>
      <w:r>
        <w:rPr>
          <w:rFonts w:hint="eastAsia"/>
          <w:bCs/>
          <w:kern w:val="36"/>
        </w:rPr>
        <w:t>合同工期总日历天数</w:t>
      </w:r>
      <w:r>
        <w:rPr>
          <w:rFonts w:hint="eastAsia"/>
          <w:bCs/>
          <w:kern w:val="36"/>
          <w:lang w:val="en-US" w:eastAsia="zh-CN"/>
        </w:rPr>
        <w:t>120</w:t>
      </w:r>
      <w:r>
        <w:rPr>
          <w:rFonts w:hint="eastAsia"/>
          <w:bCs/>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该工程</w:t>
      </w:r>
      <w:r>
        <w:rPr>
          <w:rFonts w:hint="eastAsia" w:asciiTheme="minorHAnsi" w:hAnsiTheme="minorHAnsi" w:eastAsiaTheme="minorEastAsia" w:cstheme="minorBidi"/>
          <w:bCs/>
          <w:color w:val="FF0000"/>
          <w:kern w:val="36"/>
          <w:sz w:val="21"/>
          <w:szCs w:val="22"/>
          <w:lang w:val="en-US" w:eastAsia="zh-CN" w:bidi="ar-SA"/>
        </w:rPr>
        <w:t>钢筋由发包人提供</w:t>
      </w:r>
      <w:r>
        <w:rPr>
          <w:rFonts w:hint="eastAsia" w:asciiTheme="minorHAnsi" w:hAnsiTheme="minorHAnsi" w:eastAsiaTheme="minorEastAsia" w:cstheme="minorBidi"/>
          <w:bCs/>
          <w:kern w:val="36"/>
          <w:sz w:val="21"/>
          <w:szCs w:val="22"/>
          <w:lang w:val="en-US" w:eastAsia="zh-CN" w:bidi="ar-SA"/>
        </w:rPr>
        <w:t>，</w:t>
      </w:r>
      <w:r>
        <w:rPr>
          <w:rFonts w:hint="eastAsia" w:asciiTheme="minorHAnsi" w:hAnsiTheme="minorHAnsi" w:eastAsiaTheme="minorEastAsia" w:cstheme="minorBidi"/>
          <w:bCs/>
          <w:color w:val="FF0000"/>
          <w:kern w:val="36"/>
          <w:sz w:val="21"/>
          <w:szCs w:val="22"/>
          <w:lang w:val="en-US" w:eastAsia="zh-CN" w:bidi="ar-SA"/>
        </w:rPr>
        <w:t>其他所有材料由承包人提供</w:t>
      </w:r>
      <w:r>
        <w:rPr>
          <w:rFonts w:hint="eastAsia" w:asciiTheme="minorHAnsi" w:hAnsiTheme="minorHAnsi" w:eastAsiaTheme="minorEastAsia" w:cstheme="minorBidi"/>
          <w:bCs/>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单价包干部分钢材价格以2021年第7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工程内容按合同约定执行，开具增值税发票执行9%税率。</w:t>
      </w:r>
    </w:p>
    <w:p>
      <w:pPr>
        <w:spacing w:beforeLines="50" w:afterLines="50" w:line="360" w:lineRule="exact"/>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12</w:t>
      </w:r>
      <w:r>
        <w:rPr>
          <w:rFonts w:hint="eastAsia"/>
          <w:bCs/>
          <w:kern w:val="36"/>
          <w:szCs w:val="21"/>
          <w:lang w:eastAsia="zh-CN"/>
        </w:rPr>
        <w:t>、</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sectPr>
          <w:pgSz w:w="11906" w:h="16838"/>
          <w:pgMar w:top="1440" w:right="1418" w:bottom="1440" w:left="1418" w:header="851" w:footer="992" w:gutter="0"/>
          <w:cols w:space="720" w:num="1"/>
          <w:docGrid w:type="lines" w:linePitch="312" w:charSpace="0"/>
        </w:sect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rPr>
          <w:rFonts w:hint="eastAsia" w:ascii="宋体" w:hAnsi="宋体" w:cs="宋体"/>
        </w:rPr>
      </w:pP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pStyle w:val="2"/>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中水水质提升土建工程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630" w:type="pct"/>
        <w:tblInd w:w="0" w:type="dxa"/>
        <w:tblLayout w:type="fixed"/>
        <w:tblCellMar>
          <w:top w:w="0" w:type="dxa"/>
          <w:left w:w="108" w:type="dxa"/>
          <w:bottom w:w="0" w:type="dxa"/>
          <w:right w:w="108" w:type="dxa"/>
        </w:tblCellMar>
      </w:tblPr>
      <w:tblGrid>
        <w:gridCol w:w="423"/>
        <w:gridCol w:w="1382"/>
        <w:gridCol w:w="403"/>
        <w:gridCol w:w="740"/>
        <w:gridCol w:w="1000"/>
        <w:gridCol w:w="1290"/>
        <w:gridCol w:w="5768"/>
      </w:tblGrid>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2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分项名称</w:t>
            </w:r>
          </w:p>
        </w:tc>
        <w:tc>
          <w:tcPr>
            <w:tcW w:w="18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33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工程量</w:t>
            </w:r>
          </w:p>
        </w:tc>
        <w:tc>
          <w:tcPr>
            <w:tcW w:w="45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拦标价</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w:t>
            </w:r>
          </w:p>
        </w:tc>
        <w:tc>
          <w:tcPr>
            <w:tcW w:w="262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工作内容</w:t>
            </w:r>
          </w:p>
        </w:tc>
      </w:tr>
      <w:tr>
        <w:tblPrEx>
          <w:tblCellMar>
            <w:top w:w="0" w:type="dxa"/>
            <w:left w:w="108" w:type="dxa"/>
            <w:bottom w:w="0" w:type="dxa"/>
            <w:right w:w="108" w:type="dxa"/>
          </w:tblCellMar>
        </w:tblPrEx>
        <w:trPr>
          <w:trHeight w:val="90"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土方开挖</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175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40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2</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50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3</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凿除钢筋砼</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280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级配砂石</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包括卸车、运输、倒运、拌和、铺设、夯实等涉及的全部工序及人工费、机械费、材料费、措施费、不可竞争费、税金、水电费等全部费用。</w:t>
            </w:r>
          </w:p>
        </w:tc>
      </w:tr>
      <w:tr>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18"/>
                <w:szCs w:val="18"/>
                <w:lang w:val="en-US" w:eastAsia="zh-CN"/>
              </w:rPr>
            </w:pPr>
            <w:r>
              <w:rPr>
                <w:rFonts w:hint="eastAsia" w:ascii="宋体" w:hAnsi="宋体" w:cs="宋体"/>
                <w:i w:val="0"/>
                <w:color w:val="000000"/>
                <w:kern w:val="0"/>
                <w:sz w:val="18"/>
                <w:szCs w:val="18"/>
                <w:u w:val="none"/>
                <w:lang w:val="en-US" w:eastAsia="zh-CN" w:bidi="ar"/>
              </w:rPr>
              <w:t>5</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砼浇筑</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vertAlign w:val="baseli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6</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钢筋制安</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1800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包括卸车、运输、倒运、制作、安装等涉及的全部工序及人工费、机械费、材料费（不包含钢筋主材费用）、措施费、不可竞争费、税金、水电费等全部费用。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7</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钢结构制安</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t</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12000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t</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t</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8</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砌筑</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Style w:val="26"/>
                <w:sz w:val="18"/>
                <w:szCs w:val="18"/>
                <w:lang w:val="en-US" w:eastAsia="zh-CN" w:bidi="ar"/>
              </w:rPr>
              <w:t>m</w:t>
            </w:r>
            <w:r>
              <w:rPr>
                <w:rStyle w:val="30"/>
                <w:sz w:val="18"/>
                <w:szCs w:val="18"/>
                <w:lang w:val="en-US" w:eastAsia="zh-CN" w:bidi="ar"/>
              </w:rPr>
              <w:t>3</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900</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9</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水池内壁防腐</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360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400元/m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color w:val="000000"/>
                <w:sz w:val="18"/>
                <w:szCs w:val="18"/>
                <w:vertAlign w:val="superscript"/>
                <w:lang w:val="en-US"/>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包括卸车、运输、倒运、池壁清理、2布3涂玻璃钢防腐等涉及的全部工序及人工费、机械费、材料费、措施费、不可竞争费、税金、水电费等全部费用。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color w:val="000000"/>
                <w:kern w:val="0"/>
                <w:sz w:val="18"/>
                <w:szCs w:val="18"/>
              </w:rPr>
            </w:pPr>
            <w:r>
              <w:rPr>
                <w:rFonts w:hint="eastAsia" w:ascii="宋体" w:hAnsi="宋体" w:cs="宋体"/>
                <w:i w:val="0"/>
                <w:color w:val="000000"/>
                <w:kern w:val="0"/>
                <w:sz w:val="18"/>
                <w:szCs w:val="18"/>
                <w:u w:val="none"/>
                <w:lang w:val="en-US" w:eastAsia="zh-CN" w:bidi="ar"/>
              </w:rPr>
              <w:t>10</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000000"/>
                <w:kern w:val="0"/>
                <w:sz w:val="18"/>
                <w:szCs w:val="18"/>
              </w:rPr>
            </w:pPr>
            <w:r>
              <w:rPr>
                <w:rFonts w:hint="eastAsia" w:ascii="宋体" w:hAnsi="宋体" w:eastAsia="宋体" w:cs="宋体"/>
                <w:i w:val="0"/>
                <w:iCs w:val="0"/>
                <w:color w:val="000000"/>
                <w:kern w:val="0"/>
                <w:sz w:val="18"/>
                <w:szCs w:val="18"/>
                <w:u w:val="none"/>
                <w:lang w:val="en-US" w:eastAsia="zh-CN" w:bidi="ar"/>
              </w:rPr>
              <w:t>混凝土及墙体表面杂物清理、抹灰</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320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kern w:val="0"/>
                <w:sz w:val="18"/>
                <w:szCs w:val="18"/>
                <w:lang w:val="en-US"/>
              </w:rPr>
            </w:pPr>
            <w:r>
              <w:rPr>
                <w:rFonts w:hint="eastAsia" w:ascii="宋体" w:hAnsi="宋体" w:eastAsia="宋体" w:cs="宋体"/>
                <w:i w:val="0"/>
                <w:iCs w:val="0"/>
                <w:color w:val="000000"/>
                <w:kern w:val="0"/>
                <w:sz w:val="18"/>
                <w:szCs w:val="18"/>
                <w:u w:val="none"/>
                <w:lang w:val="en-US" w:eastAsia="zh-CN" w:bidi="ar"/>
              </w:rPr>
              <w:t>40元/m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sz w:val="18"/>
                <w:szCs w:val="18"/>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18"/>
                <w:szCs w:val="18"/>
                <w:lang w:val="en-US" w:eastAsia="zh-CN"/>
              </w:rPr>
            </w:pPr>
            <w:r>
              <w:rPr>
                <w:rFonts w:hint="eastAsia" w:ascii="宋体" w:hAnsi="宋体" w:cs="宋体"/>
                <w:i w:val="0"/>
                <w:color w:val="000000"/>
                <w:kern w:val="0"/>
                <w:sz w:val="18"/>
                <w:szCs w:val="18"/>
                <w:u w:val="none"/>
                <w:lang w:val="en-US" w:eastAsia="zh-CN" w:bidi="ar"/>
              </w:rPr>
              <w:t>11</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混凝土及墙体表面杂物清理、刮腻子、粉刷涂料</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320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30元/m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kern w:val="0"/>
                <w:sz w:val="18"/>
                <w:szCs w:val="18"/>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包括卸车、运输、倒运、杂物清理、刮腻子及粉刷涂料（或乳胶漆）等涉及的全部工序及人工费、机械费、材料费、措施费、不可竞争费、税金、水电费等全部费用。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植筋</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15元/根</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元/根</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iCs w:val="0"/>
                <w:color w:val="auto"/>
                <w:kern w:val="0"/>
                <w:sz w:val="18"/>
                <w:szCs w:val="18"/>
                <w:u w:val="none"/>
                <w:lang w:val="en-US" w:eastAsia="zh-CN" w:bidi="ar"/>
              </w:rPr>
              <w:t>包含制作打眼、植筋、灌胶（含胶）等相应做法全部工作内容涉及的人工费、机械费、材料费（不包含钢筋主材费用）、措施费、税金、水电费等全部费用。</w:t>
            </w:r>
          </w:p>
        </w:tc>
      </w:tr>
      <w:tr>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不锈钢栏杆</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550元/m</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cs="宋体"/>
                <w:i w:val="0"/>
                <w:color w:val="000000"/>
                <w:kern w:val="0"/>
                <w:sz w:val="18"/>
                <w:szCs w:val="18"/>
                <w:u w:val="none"/>
                <w:lang w:val="en-US" w:eastAsia="zh-CN" w:bidi="ar"/>
              </w:rPr>
              <w:t>m</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iCs w:val="0"/>
                <w:color w:val="auto"/>
                <w:kern w:val="0"/>
                <w:sz w:val="18"/>
                <w:szCs w:val="18"/>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石膏板吊顶</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Style w:val="26"/>
                <w:sz w:val="18"/>
                <w:szCs w:val="18"/>
                <w:lang w:val="en-US" w:eastAsia="zh-CN" w:bidi="ar"/>
              </w:rPr>
              <w:t>m</w:t>
            </w:r>
            <w:r>
              <w:rPr>
                <w:rStyle w:val="30"/>
                <w:sz w:val="18"/>
                <w:szCs w:val="18"/>
                <w:lang w:val="en-US" w:eastAsia="zh-CN" w:bidi="ar"/>
              </w:rPr>
              <w:t>2</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iCs w:val="0"/>
                <w:color w:val="auto"/>
                <w:kern w:val="0"/>
                <w:sz w:val="18"/>
                <w:szCs w:val="18"/>
                <w:u w:val="none"/>
                <w:lang w:val="en-US" w:eastAsia="zh-CN" w:bidi="ar"/>
              </w:rPr>
              <w:t>包括吊杆、龙骨、石膏板的卸车、运输、倒运、安装等涉及的全部工序及人工费、机械费、材料费、措施费、不可竞争费、税金、水电费等全部费用。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6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地板砖铺设</w:t>
            </w:r>
          </w:p>
        </w:tc>
        <w:tc>
          <w:tcPr>
            <w:tcW w:w="1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3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70元/m</w:t>
            </w:r>
            <w:r>
              <w:rPr>
                <w:rFonts w:hint="eastAsia" w:ascii="宋体" w:hAnsi="宋体" w:eastAsia="宋体" w:cs="宋体"/>
                <w:i w:val="0"/>
                <w:iCs w:val="0"/>
                <w:color w:val="000000"/>
                <w:kern w:val="0"/>
                <w:sz w:val="18"/>
                <w:szCs w:val="18"/>
                <w:u w:val="none"/>
                <w:vertAlign w:val="superscript"/>
                <w:lang w:val="en-US" w:eastAsia="zh-CN" w:bidi="ar"/>
              </w:rPr>
              <w:t>2</w:t>
            </w:r>
          </w:p>
        </w:tc>
        <w:tc>
          <w:tcPr>
            <w:tcW w:w="586" w:type="pct"/>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i w:val="0"/>
                <w:iCs w:val="0"/>
                <w:color w:val="000000"/>
                <w:kern w:val="0"/>
                <w:sz w:val="18"/>
                <w:szCs w:val="18"/>
                <w:u w:val="single"/>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元/</w:t>
            </w: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color w:val="auto"/>
                <w:sz w:val="18"/>
                <w:szCs w:val="18"/>
              </w:rPr>
            </w:pPr>
            <w:r>
              <w:rPr>
                <w:rFonts w:hint="eastAsia" w:ascii="宋体" w:hAnsi="宋体" w:eastAsia="宋体" w:cs="宋体"/>
                <w:i w:val="0"/>
                <w:iCs w:val="0"/>
                <w:color w:val="auto"/>
                <w:kern w:val="0"/>
                <w:sz w:val="18"/>
                <w:szCs w:val="18"/>
                <w:u w:val="none"/>
                <w:lang w:val="en-US" w:eastAsia="zh-CN" w:bidi="ar"/>
              </w:rPr>
              <w:t>包含卸车、运输、倒运、擦缝、水泥砂浆结合层、地砖铺贴等涉及的全部工序及人工费、机械费、材料费（不包含地板砖费用）、措施费、不可竞争费、税金、水电费等全部费用。</w:t>
            </w:r>
          </w:p>
        </w:tc>
      </w:tr>
      <w:tr>
        <w:tblPrEx>
          <w:tblCellMar>
            <w:top w:w="0" w:type="dxa"/>
            <w:left w:w="108" w:type="dxa"/>
            <w:bottom w:w="0" w:type="dxa"/>
            <w:right w:w="108" w:type="dxa"/>
          </w:tblCellMar>
        </w:tblPrEx>
        <w:trPr>
          <w:trHeight w:val="90"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90" w:hRule="atLeast"/>
        </w:trPr>
        <w:tc>
          <w:tcPr>
            <w:tcW w:w="1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27" w:type="pct"/>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519" w:type="pct"/>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暂估金额</w:t>
            </w:r>
            <w:r>
              <w:rPr>
                <w:rFonts w:hint="eastAsia" w:ascii="宋体" w:hAnsi="宋体" w:cs="宋体"/>
                <w:i w:val="0"/>
                <w:color w:val="auto"/>
                <w:kern w:val="0"/>
                <w:sz w:val="18"/>
                <w:szCs w:val="18"/>
                <w:u w:val="single"/>
                <w:lang w:val="en-US" w:eastAsia="zh-CN" w:bidi="ar"/>
              </w:rPr>
              <w:t>50</w:t>
            </w:r>
            <w:r>
              <w:rPr>
                <w:rFonts w:hint="eastAsia" w:ascii="宋体" w:hAnsi="宋体" w:eastAsia="宋体" w:cs="宋体"/>
                <w:i w:val="0"/>
                <w:color w:val="auto"/>
                <w:kern w:val="0"/>
                <w:sz w:val="18"/>
                <w:szCs w:val="18"/>
                <w:u w:val="single"/>
                <w:lang w:val="en-US" w:eastAsia="zh-CN" w:bidi="ar"/>
              </w:rPr>
              <w:t>000</w:t>
            </w:r>
            <w:r>
              <w:rPr>
                <w:rFonts w:hint="eastAsia" w:ascii="宋体" w:hAnsi="宋体" w:eastAsia="宋体" w:cs="宋体"/>
                <w:i w:val="0"/>
                <w:color w:val="auto"/>
                <w:kern w:val="0"/>
                <w:sz w:val="18"/>
                <w:szCs w:val="18"/>
                <w:u w:val="none"/>
                <w:lang w:val="en-US" w:eastAsia="zh-CN" w:bidi="ar"/>
              </w:rPr>
              <w:t>元</w:t>
            </w:r>
          </w:p>
        </w:tc>
        <w:tc>
          <w:tcPr>
            <w:tcW w:w="45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优惠 </w:t>
            </w:r>
            <w:r>
              <w:rPr>
                <w:rFonts w:hint="eastAsia" w:ascii="宋体" w:hAnsi="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w:t>
            </w:r>
          </w:p>
        </w:tc>
        <w:tc>
          <w:tcPr>
            <w:tcW w:w="262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ind w:left="-840" w:leftChars="-400" w:firstLine="840" w:firstLineChars="350"/>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spacing w:line="300" w:lineRule="auto"/>
        <w:rPr>
          <w:rFonts w:hint="eastAsia"/>
          <w:b/>
        </w:rPr>
      </w:pPr>
    </w:p>
    <w:p>
      <w:pPr>
        <w:pStyle w:val="2"/>
        <w:rPr>
          <w:rFonts w:hint="eastAsia"/>
        </w:rPr>
      </w:pPr>
      <w:bookmarkStart w:id="3" w:name="_GoBack"/>
      <w:bookmarkEnd w:id="3"/>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DA2242"/>
    <w:rsid w:val="0DFC1491"/>
    <w:rsid w:val="1DC136C9"/>
    <w:rsid w:val="214D2E1E"/>
    <w:rsid w:val="21F73AF2"/>
    <w:rsid w:val="22574413"/>
    <w:rsid w:val="23883F50"/>
    <w:rsid w:val="24C93CD8"/>
    <w:rsid w:val="24E835CF"/>
    <w:rsid w:val="282A37D0"/>
    <w:rsid w:val="326329B3"/>
    <w:rsid w:val="34481C4C"/>
    <w:rsid w:val="47614EF9"/>
    <w:rsid w:val="492349FE"/>
    <w:rsid w:val="59A06F0E"/>
    <w:rsid w:val="5D882CE0"/>
    <w:rsid w:val="64A26E4D"/>
    <w:rsid w:val="66296C18"/>
    <w:rsid w:val="6903317D"/>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16</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2021-08-24T08:29:55Z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D1A0F34327A0413C96BBF0182386BB71</vt:lpwstr>
  </property>
</Properties>
</file>