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ascii="仿宋" w:hAnsi="仿宋" w:eastAsia="仿宋"/>
          <w:b/>
          <w:sz w:val="36"/>
          <w:szCs w:val="36"/>
          <w:lang w:eastAsia="zh-CN"/>
        </w:rPr>
        <w:t>六个单体厂房安全鉴定</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09</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9001CFJD</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FF0000"/>
          <w:kern w:val="0"/>
          <w:sz w:val="24"/>
          <w:szCs w:val="24"/>
          <w:lang w:eastAsia="zh-CN"/>
        </w:rPr>
        <w:t>六个单体厂房安全鉴定</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pacing w:line="360" w:lineRule="auto"/>
        <w:rPr>
          <w:rFonts w:asciiTheme="minorEastAsia" w:hAnsiTheme="minorEastAsia"/>
          <w:color w:val="000000" w:themeColor="text1"/>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Theme="minorEastAsia" w:hAnsiTheme="minorEastAsia"/>
          <w:color w:val="000000" w:themeColor="text1"/>
          <w:sz w:val="24"/>
          <w:szCs w:val="24"/>
        </w:rPr>
        <w:t>（1）具有省级以上技术监督部门颁发的计量认证合格证书；</w:t>
      </w:r>
    </w:p>
    <w:p>
      <w:pPr>
        <w:spacing w:line="360" w:lineRule="auto"/>
        <w:ind w:left="480" w:hanging="480" w:hangingChars="200"/>
        <w:rPr>
          <w:rFonts w:asciiTheme="minorEastAsia" w:hAnsiTheme="minorEastAsia"/>
          <w:color w:val="000000" w:themeColor="text1"/>
          <w:sz w:val="24"/>
          <w:szCs w:val="24"/>
        </w:rPr>
      </w:pPr>
      <w:r>
        <w:rPr>
          <w:rFonts w:asciiTheme="minorEastAsia" w:hAnsiTheme="minorEastAsia"/>
          <w:color w:val="000000" w:themeColor="text1"/>
          <w:sz w:val="24"/>
          <w:szCs w:val="24"/>
        </w:rPr>
        <w:t></w:t>
      </w:r>
      <w:r>
        <w:rPr>
          <w:rFonts w:asciiTheme="minorEastAsia" w:hAnsiTheme="minorEastAsia"/>
          <w:color w:val="000000" w:themeColor="text1"/>
          <w:sz w:val="24"/>
          <w:szCs w:val="24"/>
        </w:rPr>
        <w:tab/>
      </w:r>
      <w:r>
        <w:rPr>
          <w:rFonts w:hint="eastAsia" w:asciiTheme="minorEastAsia" w:hAnsiTheme="minorEastAsia"/>
          <w:color w:val="000000" w:themeColor="text1"/>
          <w:sz w:val="24"/>
          <w:szCs w:val="24"/>
          <w:lang w:val="en-US" w:eastAsia="zh-CN"/>
        </w:rPr>
        <w:t xml:space="preserve">   </w:t>
      </w:r>
      <w:r>
        <w:rPr>
          <w:rFonts w:hint="eastAsia" w:asciiTheme="minorEastAsia" w:hAnsiTheme="minorEastAsia"/>
          <w:color w:val="000000" w:themeColor="text1"/>
          <w:sz w:val="24"/>
          <w:szCs w:val="24"/>
        </w:rPr>
        <w:t>（2）具有省级以上建设行政主管部门颁发的主体结构工程检测、见证取样检测、地基基础工程检测及钢结构工程检测资质证书；</w:t>
      </w:r>
    </w:p>
    <w:p>
      <w:pPr>
        <w:widowControl/>
        <w:shd w:val="clear" w:color="auto" w:fill="FFFFFF"/>
        <w:spacing w:line="440" w:lineRule="exact"/>
        <w:ind w:left="482"/>
        <w:rPr>
          <w:rFonts w:hAnsi="宋体"/>
          <w:sz w:val="24"/>
          <w:szCs w:val="24"/>
        </w:rPr>
      </w:pPr>
      <w:r>
        <w:rPr>
          <w:rFonts w:asciiTheme="minorEastAsia" w:hAnsiTheme="minorEastAsia"/>
          <w:color w:val="000000" w:themeColor="text1"/>
          <w:sz w:val="24"/>
          <w:szCs w:val="24"/>
        </w:rPr>
        <w:t></w:t>
      </w:r>
      <w:r>
        <w:rPr>
          <w:rFonts w:asciiTheme="minorEastAsia" w:hAnsiTheme="minorEastAsia"/>
          <w:color w:val="000000" w:themeColor="text1"/>
          <w:sz w:val="24"/>
          <w:szCs w:val="24"/>
        </w:rPr>
        <w:tab/>
      </w:r>
      <w:r>
        <w:rPr>
          <w:rFonts w:hint="eastAsia" w:asciiTheme="minorEastAsia" w:hAnsiTheme="minorEastAsia"/>
          <w:color w:val="000000" w:themeColor="text1"/>
          <w:sz w:val="24"/>
          <w:szCs w:val="24"/>
        </w:rPr>
        <w:t>（3）具有安徽省建设主管部门关于检测机构开展建设工程结构可靠性鉴定等事项的批复</w:t>
      </w:r>
      <w:r>
        <w:rPr>
          <w:rFonts w:hint="eastAsia" w:hAnsi="宋体"/>
          <w:sz w:val="24"/>
          <w:szCs w:val="24"/>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9</w:t>
      </w:r>
      <w:r>
        <w:rPr>
          <w:rFonts w:hint="eastAsia" w:ascii="宋体" w:hAnsi="宋体"/>
          <w:bCs/>
          <w:sz w:val="24"/>
          <w:szCs w:val="24"/>
        </w:rPr>
        <w:t>月</w:t>
      </w:r>
      <w:r>
        <w:rPr>
          <w:rFonts w:hint="eastAsia" w:ascii="宋体" w:hAnsi="宋体"/>
          <w:bCs/>
          <w:color w:val="FF0000"/>
          <w:sz w:val="24"/>
          <w:szCs w:val="24"/>
          <w:lang w:val="en-US" w:eastAsia="zh-CN"/>
        </w:rPr>
        <w:t>03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9</w:t>
      </w:r>
      <w:r>
        <w:rPr>
          <w:rFonts w:hint="eastAsia" w:ascii="宋体" w:hAnsi="宋体"/>
          <w:bCs/>
          <w:sz w:val="24"/>
          <w:szCs w:val="24"/>
        </w:rPr>
        <w:t>月</w:t>
      </w:r>
      <w:r>
        <w:rPr>
          <w:rFonts w:hint="eastAsia" w:ascii="宋体" w:hAnsi="宋体"/>
          <w:bCs/>
          <w:color w:val="FF0000"/>
          <w:sz w:val="24"/>
          <w:szCs w:val="24"/>
          <w:lang w:val="en-US" w:eastAsia="zh-CN"/>
        </w:rPr>
        <w:t>09</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9</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9</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FF0000"/>
          <w:kern w:val="0"/>
          <w:sz w:val="24"/>
          <w:szCs w:val="24"/>
          <w:lang w:eastAsia="zh-CN"/>
        </w:rPr>
        <w:t>六个单体厂房安全鉴定</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李青凯</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15955356961</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9</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09</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FF0000"/>
          <w:kern w:val="0"/>
          <w:sz w:val="24"/>
          <w:szCs w:val="24"/>
          <w:lang w:eastAsia="zh-CN"/>
        </w:rPr>
        <w:t>六个单体厂房安全鉴定</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eastAsia="宋体" w:cs="宋体"/>
          <w:bCs/>
          <w:color w:val="FF0000"/>
          <w:kern w:val="0"/>
          <w:sz w:val="24"/>
          <w:szCs w:val="24"/>
          <w:lang w:eastAsia="zh-CN"/>
        </w:rPr>
        <w:t>六个单体厂房安全鉴定</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09</w:t>
      </w:r>
      <w:r>
        <w:rPr>
          <w:rFonts w:hint="eastAsia" w:ascii="宋体" w:hAnsi="宋体" w:cs="宋体"/>
          <w:bCs/>
          <w:color w:val="FF0000"/>
          <w:kern w:val="36"/>
        </w:rPr>
        <w:t>月</w:t>
      </w:r>
      <w:r>
        <w:rPr>
          <w:rFonts w:hint="eastAsia" w:ascii="宋体" w:hAnsi="宋体" w:cs="宋体"/>
          <w:bCs/>
          <w:color w:val="FF0000"/>
          <w:kern w:val="36"/>
          <w:u w:val="single"/>
          <w:lang w:val="en-US" w:eastAsia="zh-CN"/>
        </w:rPr>
        <w:t>09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w:t>
      </w:r>
    </w:p>
    <w:p>
      <w:pPr>
        <w:numPr>
          <w:ilvl w:val="0"/>
          <w:numId w:val="0"/>
        </w:numPr>
        <w:spacing w:beforeLines="50" w:afterLines="50" w:line="360" w:lineRule="exact"/>
        <w:ind w:leftChars="0"/>
        <w:rPr>
          <w:rFonts w:hint="eastAsia" w:ascii="宋体" w:hAnsi="宋体"/>
        </w:rPr>
      </w:pPr>
      <w:r>
        <w:rPr>
          <w:rFonts w:hint="eastAsia" w:ascii="宋体" w:hAnsi="宋体"/>
        </w:rPr>
        <w:t>（1）项目范围（含配套生产辅助厂房建筑）：</w:t>
      </w:r>
    </w:p>
    <w:tbl>
      <w:tblPr>
        <w:tblStyle w:val="13"/>
        <w:tblW w:w="3299" w:type="pct"/>
        <w:jc w:val="center"/>
        <w:tblLayout w:type="fixed"/>
        <w:tblCellMar>
          <w:top w:w="0" w:type="dxa"/>
          <w:left w:w="108" w:type="dxa"/>
          <w:bottom w:w="0" w:type="dxa"/>
          <w:right w:w="108" w:type="dxa"/>
        </w:tblCellMar>
      </w:tblPr>
      <w:tblGrid>
        <w:gridCol w:w="838"/>
        <w:gridCol w:w="3157"/>
        <w:gridCol w:w="1632"/>
      </w:tblGrid>
      <w:tr>
        <w:tblPrEx>
          <w:tblCellMar>
            <w:top w:w="0" w:type="dxa"/>
            <w:left w:w="108" w:type="dxa"/>
            <w:bottom w:w="0" w:type="dxa"/>
            <w:right w:w="108" w:type="dxa"/>
          </w:tblCellMar>
        </w:tblPrEx>
        <w:trPr>
          <w:trHeight w:val="402" w:hRule="atLeast"/>
          <w:jc w:val="center"/>
        </w:trPr>
        <w:tc>
          <w:tcPr>
            <w:tcW w:w="745"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Tahoma"/>
                <w:bCs/>
                <w:color w:val="000000" w:themeColor="text1"/>
                <w:kern w:val="0"/>
                <w:sz w:val="18"/>
                <w:szCs w:val="18"/>
              </w:rPr>
            </w:pPr>
            <w:r>
              <w:rPr>
                <w:rFonts w:hint="eastAsia" w:ascii="宋体" w:hAnsi="宋体" w:eastAsia="宋体" w:cs="Tahoma"/>
                <w:bCs/>
                <w:color w:val="000000" w:themeColor="text1"/>
                <w:kern w:val="0"/>
                <w:sz w:val="18"/>
                <w:szCs w:val="18"/>
              </w:rPr>
              <w:t>序号</w:t>
            </w:r>
          </w:p>
        </w:tc>
        <w:tc>
          <w:tcPr>
            <w:tcW w:w="2805"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Tahoma"/>
                <w:bCs/>
                <w:color w:val="000000" w:themeColor="text1"/>
                <w:kern w:val="0"/>
                <w:sz w:val="18"/>
                <w:szCs w:val="18"/>
              </w:rPr>
            </w:pPr>
            <w:r>
              <w:rPr>
                <w:rFonts w:hint="eastAsia" w:ascii="宋体" w:hAnsi="宋体" w:eastAsia="宋体" w:cs="Tahoma"/>
                <w:bCs/>
                <w:color w:val="000000" w:themeColor="text1"/>
                <w:kern w:val="0"/>
                <w:sz w:val="18"/>
                <w:szCs w:val="18"/>
              </w:rPr>
              <w:t>项目名称</w:t>
            </w:r>
          </w:p>
        </w:tc>
        <w:tc>
          <w:tcPr>
            <w:tcW w:w="1450" w:type="pct"/>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Tahoma"/>
                <w:bCs/>
                <w:color w:val="000000" w:themeColor="text1"/>
                <w:kern w:val="0"/>
                <w:sz w:val="18"/>
                <w:szCs w:val="18"/>
              </w:rPr>
            </w:pPr>
            <w:r>
              <w:rPr>
                <w:rFonts w:hint="eastAsia" w:ascii="宋体" w:hAnsi="宋体" w:eastAsia="宋体" w:cs="Tahoma"/>
                <w:bCs/>
                <w:color w:val="000000" w:themeColor="text1"/>
                <w:kern w:val="0"/>
                <w:sz w:val="18"/>
                <w:szCs w:val="18"/>
              </w:rPr>
              <w:t>建筑面积（m2）</w:t>
            </w:r>
          </w:p>
        </w:tc>
      </w:tr>
      <w:tr>
        <w:tblPrEx>
          <w:tblCellMar>
            <w:top w:w="0" w:type="dxa"/>
            <w:left w:w="108" w:type="dxa"/>
            <w:bottom w:w="0" w:type="dxa"/>
            <w:right w:w="108" w:type="dxa"/>
          </w:tblCellMar>
        </w:tblPrEx>
        <w:trPr>
          <w:trHeight w:val="213" w:hRule="atLeast"/>
          <w:jc w:val="center"/>
        </w:trPr>
        <w:tc>
          <w:tcPr>
            <w:tcW w:w="7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Tahoma"/>
                <w:color w:val="000000" w:themeColor="text1"/>
                <w:kern w:val="0"/>
                <w:sz w:val="18"/>
                <w:szCs w:val="18"/>
              </w:rPr>
            </w:pPr>
            <w:r>
              <w:rPr>
                <w:rFonts w:hint="eastAsia" w:ascii="仿宋" w:hAnsi="仿宋" w:eastAsia="仿宋" w:cs="Tahoma"/>
                <w:color w:val="000000" w:themeColor="text1"/>
                <w:kern w:val="0"/>
                <w:sz w:val="18"/>
                <w:szCs w:val="18"/>
              </w:rPr>
              <w:t>1</w:t>
            </w:r>
          </w:p>
        </w:tc>
        <w:tc>
          <w:tcPr>
            <w:tcW w:w="2805" w:type="pct"/>
            <w:tcBorders>
              <w:top w:val="nil"/>
              <w:left w:val="nil"/>
              <w:bottom w:val="single" w:color="auto" w:sz="4" w:space="0"/>
              <w:right w:val="single" w:color="auto" w:sz="4" w:space="0"/>
            </w:tcBorders>
            <w:shd w:val="clear" w:color="auto" w:fill="auto"/>
            <w:noWrap/>
            <w:vAlign w:val="bottom"/>
          </w:tcPr>
          <w:p>
            <w:pPr>
              <w:widowControl/>
              <w:rPr>
                <w:rFonts w:ascii="仿宋" w:hAnsi="仿宋" w:eastAsia="仿宋" w:cs="Tahoma"/>
                <w:color w:val="000000" w:themeColor="text1"/>
                <w:kern w:val="0"/>
                <w:sz w:val="18"/>
                <w:szCs w:val="18"/>
              </w:rPr>
            </w:pPr>
            <w:r>
              <w:rPr>
                <w:rFonts w:ascii="仿宋" w:hAnsi="仿宋" w:eastAsia="仿宋" w:cs="Tahoma"/>
                <w:color w:val="000000" w:themeColor="text1"/>
                <w:kern w:val="0"/>
                <w:sz w:val="18"/>
                <w:szCs w:val="18"/>
              </w:rPr>
              <w:t>65MW</w:t>
            </w:r>
            <w:r>
              <w:rPr>
                <w:rFonts w:hint="eastAsia" w:ascii="仿宋" w:hAnsi="仿宋" w:eastAsia="仿宋" w:cs="Tahoma"/>
                <w:color w:val="000000" w:themeColor="text1"/>
                <w:kern w:val="0"/>
                <w:sz w:val="18"/>
                <w:szCs w:val="18"/>
              </w:rPr>
              <w:t>发电厂房</w:t>
            </w:r>
          </w:p>
        </w:tc>
        <w:tc>
          <w:tcPr>
            <w:tcW w:w="1450" w:type="pct"/>
            <w:tcBorders>
              <w:top w:val="nil"/>
              <w:left w:val="nil"/>
              <w:bottom w:val="single" w:color="auto" w:sz="4" w:space="0"/>
              <w:right w:val="single" w:color="auto" w:sz="4" w:space="0"/>
            </w:tcBorders>
            <w:shd w:val="clear" w:color="000000" w:fill="FFFFFF"/>
            <w:vAlign w:val="bottom"/>
          </w:tcPr>
          <w:p>
            <w:pPr>
              <w:widowControl/>
              <w:jc w:val="center"/>
              <w:rPr>
                <w:rFonts w:ascii="仿宋" w:hAnsi="仿宋" w:eastAsia="仿宋" w:cs="Tahoma"/>
                <w:color w:val="000000" w:themeColor="text1"/>
                <w:kern w:val="0"/>
                <w:sz w:val="18"/>
                <w:szCs w:val="18"/>
              </w:rPr>
            </w:pPr>
            <w:r>
              <w:rPr>
                <w:rFonts w:ascii="仿宋" w:hAnsi="仿宋" w:eastAsia="仿宋" w:cs="Tahoma"/>
                <w:color w:val="000000" w:themeColor="text1"/>
                <w:kern w:val="0"/>
                <w:sz w:val="18"/>
                <w:szCs w:val="18"/>
              </w:rPr>
              <w:t>4483.29</w:t>
            </w:r>
          </w:p>
        </w:tc>
      </w:tr>
      <w:tr>
        <w:tblPrEx>
          <w:tblCellMar>
            <w:top w:w="0" w:type="dxa"/>
            <w:left w:w="108" w:type="dxa"/>
            <w:bottom w:w="0" w:type="dxa"/>
            <w:right w:w="108" w:type="dxa"/>
          </w:tblCellMar>
        </w:tblPrEx>
        <w:trPr>
          <w:trHeight w:val="317" w:hRule="atLeast"/>
          <w:jc w:val="center"/>
        </w:trPr>
        <w:tc>
          <w:tcPr>
            <w:tcW w:w="7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Tahoma"/>
                <w:color w:val="000000" w:themeColor="text1"/>
                <w:kern w:val="0"/>
                <w:sz w:val="18"/>
                <w:szCs w:val="18"/>
              </w:rPr>
            </w:pPr>
            <w:r>
              <w:rPr>
                <w:rFonts w:hint="eastAsia" w:ascii="仿宋" w:hAnsi="仿宋" w:eastAsia="仿宋" w:cs="Tahoma"/>
                <w:color w:val="000000" w:themeColor="text1"/>
                <w:kern w:val="0"/>
                <w:sz w:val="18"/>
                <w:szCs w:val="18"/>
              </w:rPr>
              <w:t>2</w:t>
            </w:r>
          </w:p>
        </w:tc>
        <w:tc>
          <w:tcPr>
            <w:tcW w:w="2805" w:type="pct"/>
            <w:tcBorders>
              <w:top w:val="nil"/>
              <w:left w:val="nil"/>
              <w:bottom w:val="single" w:color="auto" w:sz="4" w:space="0"/>
              <w:right w:val="single" w:color="auto" w:sz="4" w:space="0"/>
            </w:tcBorders>
            <w:shd w:val="clear" w:color="000000" w:fill="FFFFFF"/>
            <w:noWrap/>
            <w:vAlign w:val="bottom"/>
          </w:tcPr>
          <w:p>
            <w:pPr>
              <w:widowControl/>
              <w:rPr>
                <w:rFonts w:ascii="仿宋" w:hAnsi="仿宋" w:eastAsia="仿宋" w:cs="Tahoma"/>
                <w:color w:val="000000" w:themeColor="text1"/>
                <w:kern w:val="0"/>
                <w:sz w:val="18"/>
                <w:szCs w:val="18"/>
              </w:rPr>
            </w:pPr>
            <w:r>
              <w:rPr>
                <w:rFonts w:ascii="仿宋" w:hAnsi="仿宋" w:eastAsia="仿宋" w:cs="Tahoma"/>
                <w:color w:val="000000" w:themeColor="text1"/>
                <w:kern w:val="0"/>
                <w:sz w:val="18"/>
                <w:szCs w:val="18"/>
              </w:rPr>
              <w:t>55MW</w:t>
            </w:r>
            <w:r>
              <w:rPr>
                <w:rFonts w:hint="eastAsia" w:ascii="仿宋" w:hAnsi="仿宋" w:eastAsia="仿宋" w:cs="Tahoma"/>
                <w:color w:val="000000" w:themeColor="text1"/>
                <w:kern w:val="0"/>
                <w:sz w:val="18"/>
                <w:szCs w:val="18"/>
              </w:rPr>
              <w:t>发电厂房</w:t>
            </w:r>
          </w:p>
        </w:tc>
        <w:tc>
          <w:tcPr>
            <w:tcW w:w="1450" w:type="pct"/>
            <w:tcBorders>
              <w:top w:val="nil"/>
              <w:left w:val="nil"/>
              <w:bottom w:val="single" w:color="auto" w:sz="4" w:space="0"/>
              <w:right w:val="single" w:color="auto" w:sz="4" w:space="0"/>
            </w:tcBorders>
            <w:shd w:val="clear" w:color="000000" w:fill="FFFFFF"/>
            <w:vAlign w:val="bottom"/>
          </w:tcPr>
          <w:p>
            <w:pPr>
              <w:widowControl/>
              <w:jc w:val="center"/>
              <w:rPr>
                <w:rFonts w:ascii="仿宋" w:hAnsi="仿宋" w:eastAsia="仿宋" w:cs="Tahoma"/>
                <w:color w:val="000000" w:themeColor="text1"/>
                <w:kern w:val="0"/>
                <w:sz w:val="18"/>
                <w:szCs w:val="18"/>
              </w:rPr>
            </w:pPr>
            <w:r>
              <w:rPr>
                <w:rFonts w:ascii="仿宋" w:hAnsi="仿宋" w:eastAsia="仿宋" w:cs="Tahoma"/>
                <w:color w:val="000000" w:themeColor="text1"/>
                <w:kern w:val="0"/>
                <w:sz w:val="18"/>
                <w:szCs w:val="18"/>
              </w:rPr>
              <w:t>4096.16</w:t>
            </w:r>
          </w:p>
        </w:tc>
      </w:tr>
      <w:tr>
        <w:tblPrEx>
          <w:tblCellMar>
            <w:top w:w="0" w:type="dxa"/>
            <w:left w:w="108" w:type="dxa"/>
            <w:bottom w:w="0" w:type="dxa"/>
            <w:right w:w="108" w:type="dxa"/>
          </w:tblCellMar>
        </w:tblPrEx>
        <w:trPr>
          <w:trHeight w:val="279" w:hRule="atLeast"/>
          <w:jc w:val="center"/>
        </w:trPr>
        <w:tc>
          <w:tcPr>
            <w:tcW w:w="7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Tahoma"/>
                <w:color w:val="000000" w:themeColor="text1"/>
                <w:kern w:val="0"/>
                <w:sz w:val="18"/>
                <w:szCs w:val="18"/>
              </w:rPr>
            </w:pPr>
            <w:r>
              <w:rPr>
                <w:rFonts w:hint="eastAsia" w:ascii="仿宋" w:hAnsi="仿宋" w:eastAsia="仿宋" w:cs="Tahoma"/>
                <w:color w:val="000000" w:themeColor="text1"/>
                <w:kern w:val="0"/>
                <w:sz w:val="18"/>
                <w:szCs w:val="18"/>
              </w:rPr>
              <w:t>3</w:t>
            </w:r>
          </w:p>
        </w:tc>
        <w:tc>
          <w:tcPr>
            <w:tcW w:w="2805" w:type="pct"/>
            <w:tcBorders>
              <w:top w:val="nil"/>
              <w:left w:val="nil"/>
              <w:bottom w:val="single" w:color="auto" w:sz="4" w:space="0"/>
              <w:right w:val="single" w:color="auto" w:sz="4" w:space="0"/>
            </w:tcBorders>
            <w:shd w:val="clear" w:color="000000" w:fill="FFFFFF"/>
            <w:noWrap/>
            <w:vAlign w:val="bottom"/>
          </w:tcPr>
          <w:p>
            <w:pPr>
              <w:widowControl/>
              <w:rPr>
                <w:rFonts w:ascii="仿宋" w:hAnsi="仿宋" w:eastAsia="仿宋" w:cs="Tahoma"/>
                <w:color w:val="000000" w:themeColor="text1"/>
                <w:kern w:val="0"/>
                <w:sz w:val="18"/>
                <w:szCs w:val="18"/>
              </w:rPr>
            </w:pPr>
            <w:r>
              <w:rPr>
                <w:rFonts w:hint="eastAsia" w:ascii="仿宋" w:hAnsi="仿宋" w:eastAsia="仿宋" w:cs="Tahoma"/>
                <w:color w:val="000000" w:themeColor="text1"/>
                <w:kern w:val="0"/>
                <w:sz w:val="18"/>
                <w:szCs w:val="18"/>
              </w:rPr>
              <w:t>径向锻厂房</w:t>
            </w:r>
          </w:p>
        </w:tc>
        <w:tc>
          <w:tcPr>
            <w:tcW w:w="1450" w:type="pct"/>
            <w:tcBorders>
              <w:top w:val="nil"/>
              <w:left w:val="nil"/>
              <w:bottom w:val="single" w:color="auto" w:sz="4" w:space="0"/>
              <w:right w:val="single" w:color="auto" w:sz="4" w:space="0"/>
            </w:tcBorders>
            <w:shd w:val="clear" w:color="000000" w:fill="FFFFFF"/>
            <w:vAlign w:val="bottom"/>
          </w:tcPr>
          <w:p>
            <w:pPr>
              <w:widowControl/>
              <w:jc w:val="center"/>
              <w:rPr>
                <w:rFonts w:ascii="仿宋" w:hAnsi="仿宋" w:eastAsia="仿宋" w:cs="Tahoma"/>
                <w:color w:val="000000" w:themeColor="text1"/>
                <w:kern w:val="0"/>
                <w:sz w:val="18"/>
                <w:szCs w:val="18"/>
              </w:rPr>
            </w:pPr>
            <w:r>
              <w:rPr>
                <w:rFonts w:ascii="仿宋" w:hAnsi="仿宋" w:eastAsia="仿宋" w:cs="Tahoma"/>
                <w:color w:val="000000" w:themeColor="text1"/>
                <w:kern w:val="0"/>
                <w:sz w:val="18"/>
                <w:szCs w:val="18"/>
              </w:rPr>
              <w:t>27543.05</w:t>
            </w:r>
          </w:p>
        </w:tc>
      </w:tr>
      <w:tr>
        <w:tblPrEx>
          <w:tblCellMar>
            <w:top w:w="0" w:type="dxa"/>
            <w:left w:w="108" w:type="dxa"/>
            <w:bottom w:w="0" w:type="dxa"/>
            <w:right w:w="108" w:type="dxa"/>
          </w:tblCellMar>
        </w:tblPrEx>
        <w:trPr>
          <w:trHeight w:val="227" w:hRule="atLeast"/>
          <w:jc w:val="center"/>
        </w:trPr>
        <w:tc>
          <w:tcPr>
            <w:tcW w:w="7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Tahoma"/>
                <w:color w:val="000000" w:themeColor="text1"/>
                <w:kern w:val="0"/>
                <w:sz w:val="18"/>
                <w:szCs w:val="18"/>
              </w:rPr>
            </w:pPr>
            <w:r>
              <w:rPr>
                <w:rFonts w:hint="eastAsia" w:ascii="仿宋" w:hAnsi="仿宋" w:eastAsia="仿宋" w:cs="Tahoma"/>
                <w:color w:val="000000" w:themeColor="text1"/>
                <w:kern w:val="0"/>
                <w:sz w:val="18"/>
                <w:szCs w:val="18"/>
              </w:rPr>
              <w:t>4</w:t>
            </w:r>
          </w:p>
        </w:tc>
        <w:tc>
          <w:tcPr>
            <w:tcW w:w="2805" w:type="pct"/>
            <w:tcBorders>
              <w:top w:val="nil"/>
              <w:left w:val="nil"/>
              <w:bottom w:val="single" w:color="auto" w:sz="4" w:space="0"/>
              <w:right w:val="single" w:color="auto" w:sz="4" w:space="0"/>
            </w:tcBorders>
            <w:shd w:val="clear" w:color="000000" w:fill="FFFFFF"/>
            <w:noWrap/>
            <w:vAlign w:val="bottom"/>
          </w:tcPr>
          <w:p>
            <w:pPr>
              <w:widowControl/>
              <w:rPr>
                <w:rFonts w:ascii="仿宋" w:hAnsi="仿宋" w:eastAsia="仿宋" w:cs="Tahoma"/>
                <w:color w:val="000000" w:themeColor="text1"/>
                <w:kern w:val="0"/>
                <w:sz w:val="18"/>
                <w:szCs w:val="18"/>
              </w:rPr>
            </w:pPr>
            <w:r>
              <w:rPr>
                <w:rFonts w:ascii="仿宋" w:hAnsi="仿宋" w:eastAsia="仿宋" w:cs="Tahoma"/>
                <w:color w:val="000000" w:themeColor="text1"/>
                <w:kern w:val="0"/>
                <w:sz w:val="18"/>
                <w:szCs w:val="18"/>
              </w:rPr>
              <w:t>DN80-150</w:t>
            </w:r>
            <w:r>
              <w:rPr>
                <w:rFonts w:hint="eastAsia" w:ascii="仿宋" w:hAnsi="仿宋" w:eastAsia="仿宋" w:cs="Tahoma"/>
                <w:color w:val="000000" w:themeColor="text1"/>
                <w:kern w:val="0"/>
                <w:sz w:val="18"/>
                <w:szCs w:val="18"/>
              </w:rPr>
              <w:t>铸件自动化生产线厂房</w:t>
            </w:r>
          </w:p>
        </w:tc>
        <w:tc>
          <w:tcPr>
            <w:tcW w:w="1450" w:type="pct"/>
            <w:tcBorders>
              <w:top w:val="nil"/>
              <w:left w:val="nil"/>
              <w:bottom w:val="single" w:color="auto" w:sz="4" w:space="0"/>
              <w:right w:val="single" w:color="auto" w:sz="4" w:space="0"/>
            </w:tcBorders>
            <w:shd w:val="clear" w:color="000000" w:fill="FFFFFF"/>
            <w:vAlign w:val="bottom"/>
          </w:tcPr>
          <w:p>
            <w:pPr>
              <w:widowControl/>
              <w:jc w:val="center"/>
              <w:rPr>
                <w:rFonts w:ascii="仿宋" w:hAnsi="仿宋" w:eastAsia="仿宋" w:cs="Tahoma"/>
                <w:color w:val="000000" w:themeColor="text1"/>
                <w:kern w:val="0"/>
                <w:sz w:val="18"/>
                <w:szCs w:val="18"/>
              </w:rPr>
            </w:pPr>
            <w:r>
              <w:rPr>
                <w:rFonts w:ascii="仿宋" w:hAnsi="仿宋" w:eastAsia="仿宋" w:cs="Tahoma"/>
                <w:color w:val="000000" w:themeColor="text1"/>
                <w:kern w:val="0"/>
                <w:sz w:val="18"/>
                <w:szCs w:val="18"/>
              </w:rPr>
              <w:t>11295.90</w:t>
            </w:r>
          </w:p>
        </w:tc>
      </w:tr>
      <w:tr>
        <w:tblPrEx>
          <w:tblCellMar>
            <w:top w:w="0" w:type="dxa"/>
            <w:left w:w="108" w:type="dxa"/>
            <w:bottom w:w="0" w:type="dxa"/>
            <w:right w:w="108" w:type="dxa"/>
          </w:tblCellMar>
        </w:tblPrEx>
        <w:trPr>
          <w:trHeight w:val="345" w:hRule="atLeast"/>
          <w:jc w:val="center"/>
        </w:trPr>
        <w:tc>
          <w:tcPr>
            <w:tcW w:w="7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Tahoma"/>
                <w:color w:val="000000" w:themeColor="text1"/>
                <w:kern w:val="0"/>
                <w:sz w:val="18"/>
                <w:szCs w:val="18"/>
              </w:rPr>
            </w:pPr>
            <w:r>
              <w:rPr>
                <w:rFonts w:hint="eastAsia" w:ascii="仿宋" w:hAnsi="仿宋" w:eastAsia="仿宋" w:cs="Tahoma"/>
                <w:color w:val="000000" w:themeColor="text1"/>
                <w:kern w:val="0"/>
                <w:sz w:val="18"/>
                <w:szCs w:val="18"/>
              </w:rPr>
              <w:t>5</w:t>
            </w:r>
          </w:p>
        </w:tc>
        <w:tc>
          <w:tcPr>
            <w:tcW w:w="2805" w:type="pct"/>
            <w:tcBorders>
              <w:top w:val="nil"/>
              <w:left w:val="nil"/>
              <w:bottom w:val="single" w:color="auto" w:sz="4" w:space="0"/>
              <w:right w:val="single" w:color="auto" w:sz="4" w:space="0"/>
            </w:tcBorders>
            <w:shd w:val="clear" w:color="000000" w:fill="FFFFFF"/>
            <w:noWrap/>
            <w:vAlign w:val="bottom"/>
          </w:tcPr>
          <w:p>
            <w:pPr>
              <w:widowControl/>
              <w:rPr>
                <w:rFonts w:ascii="仿宋" w:hAnsi="仿宋" w:eastAsia="仿宋" w:cs="Tahoma"/>
                <w:color w:val="000000" w:themeColor="text1"/>
                <w:kern w:val="0"/>
                <w:sz w:val="18"/>
                <w:szCs w:val="18"/>
              </w:rPr>
            </w:pPr>
            <w:r>
              <w:rPr>
                <w:rFonts w:hint="eastAsia" w:ascii="仿宋" w:hAnsi="仿宋" w:eastAsia="仿宋" w:cs="Tahoma"/>
                <w:color w:val="000000" w:themeColor="text1"/>
                <w:kern w:val="0"/>
                <w:sz w:val="18"/>
                <w:szCs w:val="18"/>
              </w:rPr>
              <w:t>造型材料制品车间厂房</w:t>
            </w:r>
          </w:p>
        </w:tc>
        <w:tc>
          <w:tcPr>
            <w:tcW w:w="1450" w:type="pct"/>
            <w:tcBorders>
              <w:top w:val="nil"/>
              <w:left w:val="nil"/>
              <w:bottom w:val="single" w:color="auto" w:sz="4" w:space="0"/>
              <w:right w:val="single" w:color="auto" w:sz="4" w:space="0"/>
            </w:tcBorders>
            <w:shd w:val="clear" w:color="000000" w:fill="FFFFFF"/>
            <w:vAlign w:val="bottom"/>
          </w:tcPr>
          <w:p>
            <w:pPr>
              <w:widowControl/>
              <w:jc w:val="center"/>
              <w:rPr>
                <w:rFonts w:ascii="仿宋" w:hAnsi="仿宋" w:eastAsia="仿宋" w:cs="Tahoma"/>
                <w:color w:val="000000" w:themeColor="text1"/>
                <w:kern w:val="0"/>
                <w:sz w:val="18"/>
                <w:szCs w:val="18"/>
              </w:rPr>
            </w:pPr>
            <w:r>
              <w:rPr>
                <w:rFonts w:ascii="仿宋" w:hAnsi="仿宋" w:eastAsia="仿宋" w:cs="Tahoma"/>
                <w:color w:val="000000" w:themeColor="text1"/>
                <w:kern w:val="0"/>
                <w:sz w:val="18"/>
                <w:szCs w:val="18"/>
              </w:rPr>
              <w:t>3969.00</w:t>
            </w:r>
          </w:p>
        </w:tc>
      </w:tr>
      <w:tr>
        <w:tblPrEx>
          <w:tblCellMar>
            <w:top w:w="0" w:type="dxa"/>
            <w:left w:w="108" w:type="dxa"/>
            <w:bottom w:w="0" w:type="dxa"/>
            <w:right w:w="108" w:type="dxa"/>
          </w:tblCellMar>
        </w:tblPrEx>
        <w:trPr>
          <w:trHeight w:val="265" w:hRule="atLeast"/>
          <w:jc w:val="center"/>
        </w:trPr>
        <w:tc>
          <w:tcPr>
            <w:tcW w:w="745"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Tahoma"/>
                <w:color w:val="000000" w:themeColor="text1"/>
                <w:kern w:val="0"/>
                <w:sz w:val="18"/>
                <w:szCs w:val="18"/>
              </w:rPr>
            </w:pPr>
            <w:r>
              <w:rPr>
                <w:rFonts w:hint="eastAsia" w:ascii="仿宋" w:hAnsi="仿宋" w:eastAsia="仿宋" w:cs="Tahoma"/>
                <w:color w:val="000000" w:themeColor="text1"/>
                <w:kern w:val="0"/>
                <w:sz w:val="18"/>
                <w:szCs w:val="18"/>
              </w:rPr>
              <w:t>6</w:t>
            </w:r>
          </w:p>
        </w:tc>
        <w:tc>
          <w:tcPr>
            <w:tcW w:w="2805" w:type="pct"/>
            <w:tcBorders>
              <w:top w:val="nil"/>
              <w:left w:val="nil"/>
              <w:bottom w:val="single" w:color="auto" w:sz="4" w:space="0"/>
              <w:right w:val="single" w:color="auto" w:sz="4" w:space="0"/>
            </w:tcBorders>
            <w:shd w:val="clear" w:color="000000" w:fill="FFFFFF"/>
            <w:vAlign w:val="bottom"/>
          </w:tcPr>
          <w:p>
            <w:pPr>
              <w:widowControl/>
              <w:rPr>
                <w:rFonts w:ascii="仿宋" w:hAnsi="仿宋" w:eastAsia="仿宋" w:cs="Tahoma"/>
                <w:color w:val="000000" w:themeColor="text1"/>
                <w:kern w:val="0"/>
                <w:sz w:val="18"/>
                <w:szCs w:val="18"/>
              </w:rPr>
            </w:pPr>
            <w:r>
              <w:rPr>
                <w:rFonts w:hint="eastAsia" w:ascii="仿宋" w:hAnsi="仿宋" w:eastAsia="仿宋" w:cs="Tahoma"/>
                <w:color w:val="000000" w:themeColor="text1"/>
                <w:kern w:val="0"/>
                <w:sz w:val="18"/>
                <w:szCs w:val="18"/>
              </w:rPr>
              <w:t>固废大棚</w:t>
            </w:r>
          </w:p>
        </w:tc>
        <w:tc>
          <w:tcPr>
            <w:tcW w:w="1450" w:type="pct"/>
            <w:tcBorders>
              <w:top w:val="nil"/>
              <w:left w:val="nil"/>
              <w:bottom w:val="single" w:color="auto" w:sz="4" w:space="0"/>
              <w:right w:val="single" w:color="auto" w:sz="4" w:space="0"/>
            </w:tcBorders>
            <w:shd w:val="clear" w:color="000000" w:fill="FFFFFF"/>
            <w:vAlign w:val="bottom"/>
          </w:tcPr>
          <w:p>
            <w:pPr>
              <w:widowControl/>
              <w:jc w:val="center"/>
              <w:rPr>
                <w:rFonts w:ascii="仿宋" w:hAnsi="仿宋" w:eastAsia="仿宋" w:cs="Tahoma"/>
                <w:color w:val="000000" w:themeColor="text1"/>
                <w:kern w:val="0"/>
                <w:sz w:val="18"/>
                <w:szCs w:val="18"/>
              </w:rPr>
            </w:pPr>
            <w:r>
              <w:rPr>
                <w:rFonts w:ascii="仿宋" w:hAnsi="仿宋" w:eastAsia="仿宋" w:cs="Tahoma"/>
                <w:color w:val="000000" w:themeColor="text1"/>
                <w:kern w:val="0"/>
                <w:sz w:val="18"/>
                <w:szCs w:val="18"/>
              </w:rPr>
              <w:t>10570.77</w:t>
            </w:r>
          </w:p>
        </w:tc>
      </w:tr>
      <w:tr>
        <w:tblPrEx>
          <w:tblCellMar>
            <w:top w:w="0" w:type="dxa"/>
            <w:left w:w="108" w:type="dxa"/>
            <w:bottom w:w="0" w:type="dxa"/>
            <w:right w:w="108" w:type="dxa"/>
          </w:tblCellMar>
        </w:tblPrEx>
        <w:trPr>
          <w:trHeight w:val="227" w:hRule="atLeast"/>
          <w:jc w:val="center"/>
        </w:trPr>
        <w:tc>
          <w:tcPr>
            <w:tcW w:w="3550"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Tahoma"/>
                <w:color w:val="000000" w:themeColor="text1"/>
                <w:kern w:val="0"/>
                <w:sz w:val="18"/>
                <w:szCs w:val="18"/>
              </w:rPr>
            </w:pPr>
            <w:r>
              <w:rPr>
                <w:rFonts w:hint="eastAsia" w:ascii="仿宋" w:hAnsi="仿宋" w:eastAsia="仿宋" w:cs="Tahoma"/>
                <w:color w:val="000000" w:themeColor="text1"/>
                <w:kern w:val="0"/>
                <w:sz w:val="18"/>
                <w:szCs w:val="18"/>
              </w:rPr>
              <w:t>合计</w:t>
            </w:r>
          </w:p>
        </w:tc>
        <w:tc>
          <w:tcPr>
            <w:tcW w:w="1450" w:type="pct"/>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Tahoma"/>
                <w:color w:val="000000" w:themeColor="text1"/>
                <w:kern w:val="0"/>
                <w:sz w:val="18"/>
                <w:szCs w:val="18"/>
              </w:rPr>
            </w:pPr>
            <w:r>
              <w:rPr>
                <w:rFonts w:ascii="仿宋" w:hAnsi="仿宋" w:eastAsia="仿宋" w:cs="Tahoma"/>
                <w:color w:val="000000" w:themeColor="text1"/>
                <w:kern w:val="0"/>
                <w:sz w:val="18"/>
                <w:szCs w:val="18"/>
              </w:rPr>
              <w:t>61958.17</w:t>
            </w:r>
          </w:p>
        </w:tc>
      </w:tr>
    </w:tbl>
    <w:p>
      <w:pPr>
        <w:spacing w:line="360" w:lineRule="auto"/>
        <w:rPr>
          <w:rFonts w:asciiTheme="minorEastAsia" w:hAnsiTheme="minorEastAsia"/>
          <w:color w:val="000000" w:themeColor="text1"/>
          <w:sz w:val="24"/>
          <w:szCs w:val="24"/>
        </w:rPr>
      </w:pPr>
    </w:p>
    <w:p>
      <w:pPr>
        <w:numPr>
          <w:ilvl w:val="0"/>
          <w:numId w:val="0"/>
        </w:numPr>
        <w:spacing w:beforeLines="50" w:afterLines="50" w:line="360" w:lineRule="exact"/>
        <w:ind w:leftChars="0"/>
        <w:rPr>
          <w:rFonts w:hint="eastAsia" w:ascii="宋体" w:hAnsi="宋体"/>
        </w:rPr>
      </w:pPr>
      <w:r>
        <w:rPr>
          <w:rFonts w:hint="eastAsia" w:ascii="宋体" w:hAnsi="宋体"/>
        </w:rPr>
        <w:t>（2）根据房屋建筑的实际情况及国家规范标准，对委托鉴定的厂房进行安全性、抗震鉴定，工作内容主要分为现场检测部分和计算分析鉴定部分。</w:t>
      </w:r>
    </w:p>
    <w:p>
      <w:pPr>
        <w:numPr>
          <w:ilvl w:val="0"/>
          <w:numId w:val="2"/>
        </w:numPr>
        <w:spacing w:beforeLines="50" w:afterLines="50" w:line="360" w:lineRule="exact"/>
        <w:rPr>
          <w:rFonts w:hint="eastAsia" w:ascii="宋体" w:hAnsi="宋体"/>
        </w:rPr>
      </w:pPr>
      <w:r>
        <w:rPr>
          <w:rFonts w:hint="eastAsia" w:ascii="宋体" w:hAnsi="宋体"/>
        </w:rPr>
        <w:t>检测包括:资料核查:包括原结构设计图纸、现状荷载情况(后期改造设计要求)及历史修缮加固记录；结构现状及质量检查；结构体系及构件布置检查；结构整体性连接构造检测；构件混凝土强度检测；构件配筋情况检测；承重构件截面检测；建筑整体倾斜测量。</w:t>
      </w:r>
    </w:p>
    <w:p>
      <w:pPr>
        <w:numPr>
          <w:ilvl w:val="0"/>
          <w:numId w:val="2"/>
        </w:numPr>
        <w:spacing w:beforeLines="50" w:afterLines="50" w:line="360" w:lineRule="exact"/>
        <w:rPr>
          <w:rFonts w:hint="eastAsia" w:ascii="宋体" w:hAnsi="宋体"/>
        </w:rPr>
      </w:pPr>
      <w:r>
        <w:rPr>
          <w:rFonts w:hint="eastAsia" w:ascii="宋体" w:hAnsi="宋体"/>
        </w:rPr>
        <w:t>计算分析鉴定包括：结构承载能力验算；结构可靠性鉴定结论；处理意见及建议；出具《厂房安全鉴定、抗震鉴定》报告。</w:t>
      </w:r>
    </w:p>
    <w:p>
      <w:pPr>
        <w:spacing w:line="360" w:lineRule="exact"/>
        <w:rPr>
          <w:rFonts w:hint="eastAsia" w:ascii="宋体" w:hAnsi="宋体"/>
        </w:rPr>
      </w:pPr>
      <w:r>
        <w:rPr>
          <w:rFonts w:hint="eastAsia" w:ascii="宋体" w:hAnsi="宋体"/>
          <w:lang w:val="en-US" w:eastAsia="zh-CN"/>
        </w:rPr>
        <w:t>4</w:t>
      </w:r>
      <w:r>
        <w:rPr>
          <w:rFonts w:hint="eastAsia" w:ascii="宋体" w:hAnsi="宋体"/>
        </w:rPr>
        <w:t>.  投标有效期:90天。</w:t>
      </w:r>
    </w:p>
    <w:p>
      <w:pPr>
        <w:spacing w:beforeLines="50" w:afterLines="50" w:line="360" w:lineRule="exact"/>
        <w:rPr>
          <w:rFonts w:ascii="宋体" w:hAnsi="宋体"/>
        </w:rPr>
      </w:pPr>
      <w:r>
        <w:rPr>
          <w:rFonts w:hint="eastAsia" w:ascii="宋体" w:hAnsi="宋体"/>
          <w:b/>
        </w:rPr>
        <w:t>四、工期：</w:t>
      </w:r>
    </w:p>
    <w:p>
      <w:pPr>
        <w:spacing w:line="360" w:lineRule="exact"/>
        <w:ind w:firstLine="420" w:firstLineChars="200"/>
        <w:rPr>
          <w:rFonts w:hint="eastAsia"/>
          <w:bCs/>
          <w:kern w:val="36"/>
        </w:rPr>
      </w:pPr>
      <w:r>
        <w:rPr>
          <w:rFonts w:hint="eastAsia"/>
          <w:bCs/>
          <w:kern w:val="36"/>
        </w:rPr>
        <w:t>本工程工期（进厂检测日起-提交检测报告日止）要求在满足施工条件的情况下，不超过20个工作日。（由于招标方原因导致的工期延误扣除不计）。</w:t>
      </w:r>
    </w:p>
    <w:p>
      <w:pPr>
        <w:spacing w:line="360" w:lineRule="exact"/>
        <w:ind w:firstLine="420" w:firstLineChars="200"/>
        <w:rPr>
          <w:rFonts w:ascii="宋体" w:hAnsi="宋体"/>
        </w:rPr>
      </w:pPr>
    </w:p>
    <w:p>
      <w:pPr>
        <w:pStyle w:val="8"/>
        <w:snapToGrid w:val="0"/>
        <w:spacing w:line="360" w:lineRule="exact"/>
        <w:rPr>
          <w:rFonts w:hAnsi="宋体"/>
          <w:b/>
          <w:sz w:val="24"/>
          <w:szCs w:val="24"/>
        </w:rPr>
      </w:pPr>
      <w:r>
        <w:rPr>
          <w:rFonts w:hint="eastAsia" w:hAnsi="宋体"/>
          <w:b/>
          <w:sz w:val="24"/>
          <w:szCs w:val="24"/>
        </w:rPr>
        <w:t>五、投标说明</w:t>
      </w:r>
    </w:p>
    <w:p>
      <w:pPr>
        <w:numPr>
          <w:ilvl w:val="0"/>
          <w:numId w:val="0"/>
        </w:numPr>
        <w:spacing w:beforeLines="50" w:afterLines="50" w:line="360" w:lineRule="exact"/>
        <w:ind w:leftChars="0"/>
        <w:rPr>
          <w:rFonts w:hint="eastAsia"/>
          <w:bCs/>
          <w:kern w:val="36"/>
          <w:szCs w:val="21"/>
          <w:lang w:val="en-US" w:eastAsia="zh-CN"/>
        </w:rPr>
      </w:pPr>
      <w:r>
        <w:rPr>
          <w:rFonts w:hint="eastAsia"/>
          <w:bCs/>
          <w:kern w:val="36"/>
          <w:szCs w:val="21"/>
          <w:lang w:val="en-US" w:eastAsia="zh-CN"/>
        </w:rPr>
        <w:t>一、说明：</w:t>
      </w:r>
    </w:p>
    <w:p>
      <w:pPr>
        <w:numPr>
          <w:ilvl w:val="0"/>
          <w:numId w:val="0"/>
        </w:numPr>
        <w:spacing w:beforeLines="50" w:afterLines="50" w:line="360" w:lineRule="exact"/>
        <w:ind w:leftChars="0"/>
        <w:rPr>
          <w:rFonts w:hint="eastAsia"/>
          <w:bCs/>
          <w:kern w:val="36"/>
          <w:szCs w:val="21"/>
        </w:rPr>
      </w:pPr>
      <w:r>
        <w:rPr>
          <w:rFonts w:hint="eastAsia"/>
          <w:bCs/>
          <w:kern w:val="36"/>
          <w:szCs w:val="21"/>
        </w:rPr>
        <w:t>1.</w:t>
      </w:r>
      <w:r>
        <w:rPr>
          <w:rFonts w:hint="eastAsia"/>
          <w:bCs/>
          <w:kern w:val="36"/>
          <w:szCs w:val="21"/>
          <w:lang w:val="en-US" w:eastAsia="zh-CN"/>
        </w:rPr>
        <w:t xml:space="preserve"> </w:t>
      </w:r>
      <w:r>
        <w:rPr>
          <w:rFonts w:hint="eastAsia"/>
          <w:bCs/>
          <w:kern w:val="36"/>
          <w:szCs w:val="21"/>
        </w:rPr>
        <w:t>如投标方对招标方房屋检测结果为不合格，由招标方负责整改，整改结束合格后，再由投标方出具检测合格报告。不增加再次检测费用。</w:t>
      </w:r>
    </w:p>
    <w:p>
      <w:pPr>
        <w:numPr>
          <w:ilvl w:val="0"/>
          <w:numId w:val="0"/>
        </w:numPr>
        <w:spacing w:beforeLines="50" w:afterLines="50" w:line="360" w:lineRule="exact"/>
        <w:ind w:leftChars="0"/>
        <w:rPr>
          <w:rFonts w:hint="eastAsia"/>
          <w:bCs/>
          <w:kern w:val="36"/>
          <w:szCs w:val="21"/>
        </w:rPr>
      </w:pPr>
      <w:r>
        <w:rPr>
          <w:rFonts w:hint="eastAsia"/>
          <w:bCs/>
          <w:kern w:val="36"/>
          <w:szCs w:val="21"/>
        </w:rPr>
        <w:t>2.</w:t>
      </w:r>
      <w:r>
        <w:rPr>
          <w:rFonts w:hint="eastAsia"/>
          <w:bCs/>
          <w:kern w:val="36"/>
          <w:szCs w:val="21"/>
          <w:lang w:val="en-US" w:eastAsia="zh-CN"/>
        </w:rPr>
        <w:t xml:space="preserve"> </w:t>
      </w:r>
      <w:r>
        <w:rPr>
          <w:rFonts w:hint="eastAsia"/>
          <w:bCs/>
          <w:kern w:val="36"/>
          <w:szCs w:val="21"/>
        </w:rPr>
        <w:t>投标方中标后应向招标方提交人民币20000元的履约保证金。</w:t>
      </w:r>
    </w:p>
    <w:p>
      <w:pPr>
        <w:numPr>
          <w:ilvl w:val="0"/>
          <w:numId w:val="0"/>
        </w:numPr>
        <w:spacing w:beforeLines="50" w:afterLines="50" w:line="360" w:lineRule="exact"/>
        <w:ind w:leftChars="0"/>
        <w:rPr>
          <w:rFonts w:hint="eastAsia"/>
          <w:bCs/>
          <w:kern w:val="36"/>
          <w:szCs w:val="21"/>
        </w:rPr>
      </w:pPr>
      <w:r>
        <w:rPr>
          <w:rFonts w:hint="eastAsia"/>
          <w:bCs/>
          <w:kern w:val="36"/>
          <w:szCs w:val="21"/>
        </w:rPr>
        <w:t>3.</w:t>
      </w:r>
      <w:r>
        <w:rPr>
          <w:rFonts w:hint="eastAsia"/>
          <w:bCs/>
          <w:kern w:val="36"/>
          <w:szCs w:val="21"/>
          <w:lang w:val="en-US" w:eastAsia="zh-CN"/>
        </w:rPr>
        <w:t xml:space="preserve"> </w:t>
      </w:r>
      <w:r>
        <w:rPr>
          <w:rFonts w:hint="eastAsia"/>
          <w:bCs/>
          <w:kern w:val="36"/>
          <w:szCs w:val="21"/>
        </w:rPr>
        <w:t>中标后现场服务人配备：项目负责人 1 人、技术负责人 1 人、结构验算员至少1 人，实验检测员至少 3 人（以上人员需带证上岗）。</w:t>
      </w:r>
    </w:p>
    <w:p>
      <w:pPr>
        <w:numPr>
          <w:ilvl w:val="0"/>
          <w:numId w:val="0"/>
        </w:numPr>
        <w:spacing w:beforeLines="50" w:afterLines="50" w:line="360" w:lineRule="exact"/>
        <w:ind w:leftChars="0"/>
        <w:rPr>
          <w:rFonts w:hint="eastAsia"/>
          <w:bCs/>
          <w:kern w:val="36"/>
          <w:szCs w:val="21"/>
        </w:rPr>
      </w:pPr>
      <w:r>
        <w:rPr>
          <w:rFonts w:hint="eastAsia"/>
          <w:bCs/>
          <w:kern w:val="36"/>
          <w:szCs w:val="21"/>
        </w:rPr>
        <w:t>注：投标文件中须提供以上人员相关证书复印件并加盖投标人公章。</w:t>
      </w:r>
    </w:p>
    <w:p>
      <w:pPr>
        <w:numPr>
          <w:ilvl w:val="0"/>
          <w:numId w:val="2"/>
        </w:numPr>
        <w:spacing w:beforeLines="50" w:afterLines="50" w:line="360" w:lineRule="exact"/>
        <w:ind w:left="420" w:leftChars="0" w:hanging="420" w:firstLineChars="0"/>
        <w:rPr>
          <w:rFonts w:hint="eastAsia"/>
          <w:bCs/>
          <w:kern w:val="36"/>
          <w:szCs w:val="21"/>
        </w:rPr>
      </w:pPr>
      <w:r>
        <w:rPr>
          <w:rFonts w:hint="eastAsia"/>
          <w:bCs/>
          <w:kern w:val="36"/>
          <w:szCs w:val="21"/>
        </w:rPr>
        <w:t>签订合同之日起 5 天内，中标人必须按照招标人要求将人员分配到位。</w:t>
      </w:r>
    </w:p>
    <w:p>
      <w:pPr>
        <w:numPr>
          <w:ilvl w:val="0"/>
          <w:numId w:val="2"/>
        </w:numPr>
        <w:spacing w:beforeLines="50" w:afterLines="50" w:line="360" w:lineRule="exact"/>
        <w:ind w:left="420" w:leftChars="0" w:hanging="420" w:firstLineChars="0"/>
        <w:rPr>
          <w:rFonts w:hint="eastAsia"/>
          <w:bCs/>
          <w:kern w:val="36"/>
          <w:szCs w:val="21"/>
        </w:rPr>
      </w:pPr>
      <w:r>
        <w:rPr>
          <w:rFonts w:hint="eastAsia"/>
          <w:bCs/>
          <w:kern w:val="36"/>
          <w:szCs w:val="21"/>
        </w:rPr>
        <w:t>投标人需勘察现场，合理报价。</w:t>
      </w:r>
    </w:p>
    <w:p>
      <w:pPr>
        <w:numPr>
          <w:ilvl w:val="0"/>
          <w:numId w:val="2"/>
        </w:numPr>
        <w:spacing w:beforeLines="50" w:afterLines="50" w:line="360" w:lineRule="exact"/>
        <w:ind w:left="420" w:leftChars="0" w:hanging="420" w:firstLineChars="0"/>
        <w:rPr>
          <w:rFonts w:hint="eastAsia"/>
          <w:bCs/>
          <w:kern w:val="36"/>
          <w:szCs w:val="21"/>
        </w:rPr>
      </w:pPr>
      <w:r>
        <w:rPr>
          <w:rFonts w:hint="eastAsia"/>
          <w:bCs/>
          <w:kern w:val="36"/>
          <w:szCs w:val="21"/>
        </w:rPr>
        <w:t>中标人派驻现场的人员必须是其单位的正式职员，如发现有非其单位正式职工被派驻现场的，每发现一人次中标人须向招标人承担 1 万元违约金。</w:t>
      </w:r>
    </w:p>
    <w:p>
      <w:pPr>
        <w:numPr>
          <w:ilvl w:val="0"/>
          <w:numId w:val="2"/>
        </w:numPr>
        <w:spacing w:beforeLines="50" w:afterLines="50" w:line="360" w:lineRule="exact"/>
        <w:ind w:left="420" w:leftChars="0" w:hanging="420" w:firstLineChars="0"/>
        <w:rPr>
          <w:rFonts w:hint="eastAsia"/>
          <w:bCs/>
          <w:kern w:val="36"/>
          <w:szCs w:val="21"/>
        </w:rPr>
      </w:pPr>
      <w:r>
        <w:rPr>
          <w:rFonts w:hint="eastAsia"/>
          <w:bCs/>
          <w:kern w:val="36"/>
          <w:szCs w:val="21"/>
        </w:rPr>
        <w:t>中标人必须根据规范开展检测鉴定工作，确保试验数据的客观、公正、科学。中标人所完成的工作内容必须达到国家相关法规对环境保护的要求。</w:t>
      </w:r>
    </w:p>
    <w:p>
      <w:pPr>
        <w:numPr>
          <w:ilvl w:val="0"/>
          <w:numId w:val="2"/>
        </w:numPr>
        <w:spacing w:beforeLines="50" w:afterLines="50" w:line="360" w:lineRule="exact"/>
        <w:ind w:left="420" w:leftChars="0" w:hanging="420" w:firstLineChars="0"/>
        <w:rPr>
          <w:rFonts w:hint="eastAsia"/>
          <w:bCs/>
          <w:kern w:val="36"/>
          <w:szCs w:val="21"/>
          <w:lang w:val="en-US" w:eastAsia="zh-CN"/>
        </w:rPr>
      </w:pPr>
      <w:r>
        <w:rPr>
          <w:rFonts w:hint="eastAsia"/>
          <w:bCs/>
          <w:kern w:val="36"/>
          <w:szCs w:val="21"/>
        </w:rPr>
        <w:t>严禁投标人有挂靠、转包的行为，一旦发现即终止合同，并报建设行政主管部门进行相应处罚。</w:t>
      </w:r>
    </w:p>
    <w:p>
      <w:pPr>
        <w:pStyle w:val="2"/>
        <w:ind w:left="0" w:leftChars="0" w:firstLine="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9.投标方提前了解并承诺遵守招标方一切管理制度（含疫情期间相关防控措施）。</w:t>
      </w:r>
    </w:p>
    <w:p>
      <w:pPr>
        <w:numPr>
          <w:ilvl w:val="0"/>
          <w:numId w:val="0"/>
        </w:numPr>
        <w:spacing w:beforeLines="50" w:afterLines="50" w:line="360" w:lineRule="exact"/>
        <w:ind w:leftChars="0"/>
        <w:rPr>
          <w:bCs/>
          <w:kern w:val="36"/>
          <w:sz w:val="44"/>
          <w:szCs w:val="44"/>
        </w:rPr>
      </w:pPr>
      <w:r>
        <w:rPr>
          <w:rFonts w:hint="eastAsia"/>
          <w:bCs/>
          <w:kern w:val="36"/>
          <w:szCs w:val="21"/>
          <w:lang w:val="en-US" w:eastAsia="zh-CN"/>
        </w:rPr>
        <w:t>10</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标价（50分）</w:t>
            </w:r>
          </w:p>
        </w:tc>
        <w:tc>
          <w:tcPr>
            <w:tcW w:w="4064" w:type="pct"/>
            <w:gridSpan w:val="3"/>
            <w:vAlign w:val="center"/>
          </w:tcPr>
          <w:p>
            <w:r>
              <w:rPr>
                <w:rFonts w:hint="eastAsia"/>
              </w:rPr>
              <w:t>满足招标文件要求的前提下，取所有投标方有效报价的最低价作为评标基准价，其得分为50分，其他投标方得分为：价格分=50*评标基准价÷有效报价。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restart"/>
            <w:vAlign w:val="center"/>
          </w:tcPr>
          <w:p>
            <w:r>
              <w:rPr>
                <w:rFonts w:hint="eastAsia"/>
              </w:rPr>
              <w:t>实施方案（20分）</w:t>
            </w:r>
          </w:p>
        </w:tc>
        <w:tc>
          <w:tcPr>
            <w:tcW w:w="2113" w:type="pct"/>
            <w:gridSpan w:val="2"/>
            <w:vAlign w:val="center"/>
          </w:tcPr>
          <w:p>
            <w:r>
              <w:rPr>
                <w:rFonts w:hint="eastAsia"/>
              </w:rPr>
              <w:t>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方案及技术措施：共13分</w:t>
            </w:r>
          </w:p>
        </w:tc>
        <w:tc>
          <w:tcPr>
            <w:tcW w:w="1454" w:type="pct"/>
            <w:vAlign w:val="center"/>
          </w:tcPr>
          <w:p>
            <w:r>
              <w:rPr>
                <w:rFonts w:hint="eastAsia"/>
              </w:rPr>
              <w:t>人力配备计划（4分）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机、具配备计划（4分）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工期计划（5分）</w:t>
            </w:r>
          </w:p>
        </w:tc>
        <w:tc>
          <w:tcPr>
            <w:tcW w:w="1951" w:type="pct"/>
            <w:vAlign w:val="center"/>
          </w:tcPr>
          <w:p>
            <w:r>
              <w:rPr>
                <w:rFonts w:hint="eastAsia"/>
              </w:rPr>
              <w:t>贴合现场实际情况1~5分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安全防范措施：3分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文明作业： 2分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r>
              <w:rPr>
                <w:rFonts w:hint="eastAsia"/>
              </w:rPr>
              <w:t>企业信誉  （30分）</w:t>
            </w:r>
          </w:p>
        </w:tc>
        <w:tc>
          <w:tcPr>
            <w:tcW w:w="2113" w:type="pct"/>
            <w:gridSpan w:val="2"/>
            <w:vAlign w:val="center"/>
          </w:tcPr>
          <w:p>
            <w:r>
              <w:rPr>
                <w:rFonts w:hint="eastAsia"/>
              </w:rPr>
              <w:t>企业资金状况及信用等级： 4分</w:t>
            </w:r>
          </w:p>
        </w:tc>
        <w:tc>
          <w:tcPr>
            <w:tcW w:w="1951" w:type="pct"/>
            <w:vAlign w:val="center"/>
          </w:tcPr>
          <w:p>
            <w:r>
              <w:rPr>
                <w:rFonts w:hint="eastAsia"/>
              </w:rPr>
              <w:t>近三年财务状况良好+1分，AAA级企业+</w:t>
            </w:r>
            <w:r>
              <w:t>1</w:t>
            </w:r>
            <w:r>
              <w:rPr>
                <w:rFonts w:hint="eastAsia"/>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项目经理业绩共4分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企业类似项目业绩共12分</w:t>
            </w:r>
          </w:p>
        </w:tc>
        <w:tc>
          <w:tcPr>
            <w:tcW w:w="1951" w:type="pct"/>
            <w:vAlign w:val="center"/>
          </w:tcPr>
          <w:p>
            <w:r>
              <w:rPr>
                <w:rFonts w:hint="eastAsia"/>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履约能力综合评估（财务信誉、工程履约信誉、结算信誉）共计10分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1</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bookmarkStart w:id="3" w:name="_GoBack"/>
      <w:bookmarkEnd w:id="3"/>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firstLine="210" w:firstLineChars="100"/>
        <w:rPr>
          <w:rFonts w:ascii="宋体" w:hAnsi="宋体"/>
          <w:bCs/>
        </w:rPr>
      </w:pPr>
      <w:r>
        <w:rPr>
          <w:rFonts w:hint="eastAsia" w:ascii="宋体" w:hAnsi="宋体"/>
          <w:bCs/>
        </w:rPr>
        <w:t>1. 投标书应含有上述所列第五、六、七项相应内容。</w:t>
      </w:r>
    </w:p>
    <w:p>
      <w:pPr>
        <w:spacing w:line="360" w:lineRule="exact"/>
        <w:ind w:firstLine="210" w:firstLineChars="100"/>
        <w:rPr>
          <w:rFonts w:ascii="宋体" w:hAnsi="宋体"/>
          <w:bCs/>
        </w:rPr>
      </w:pPr>
      <w:r>
        <w:rPr>
          <w:rFonts w:hint="eastAsia" w:ascii="宋体" w:hAnsi="宋体"/>
          <w:bCs/>
          <w:lang w:val="en-US" w:eastAsia="zh-CN"/>
        </w:rPr>
        <w:t>2</w:t>
      </w:r>
      <w:r>
        <w:rPr>
          <w:rFonts w:hint="eastAsia" w:ascii="宋体" w:hAnsi="宋体"/>
          <w:bCs/>
        </w:rPr>
        <w:t>.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lang w:val="en-US" w:eastAsia="zh-CN"/>
        </w:rPr>
        <w:t>3</w:t>
      </w:r>
      <w:r>
        <w:rPr>
          <w:rFonts w:hint="eastAsia" w:ascii="宋体" w:hAnsi="宋体"/>
        </w:rPr>
        <w:t xml:space="preserve">.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lang w:val="en-US" w:eastAsia="zh-CN"/>
        </w:rPr>
        <w:t>4</w:t>
      </w:r>
      <w:r>
        <w:rPr>
          <w:rFonts w:hint="eastAsia" w:ascii="宋体" w:hAnsi="宋体" w:cs="宋体"/>
        </w:rPr>
        <w:t>.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5.投标文件需</w:t>
      </w:r>
      <w:r>
        <w:rPr>
          <w:rFonts w:hint="eastAsia" w:ascii="宋体" w:hAnsi="宋体" w:cs="宋体"/>
          <w:color w:val="FF0000"/>
          <w:lang w:val="en-US" w:eastAsia="zh-CN"/>
        </w:rPr>
        <w:t>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hAnsi="宋体"/>
          <w:lang w:val="en-US" w:eastAsia="zh-CN"/>
        </w:rPr>
        <w:t xml:space="preserve">  本</w:t>
      </w:r>
      <w:r>
        <w:rPr>
          <w:rFonts w:hint="eastAsia" w:ascii="宋体" w:hAnsi="宋体" w:cs="宋体"/>
          <w:color w:val="000000"/>
          <w:lang w:val="en-US" w:eastAsia="zh-CN"/>
        </w:rPr>
        <w:t>项目税率6%</w:t>
      </w:r>
      <w:r>
        <w:rPr>
          <w:rFonts w:hint="eastAsia" w:ascii="宋体" w:hAnsi="宋体" w:cs="宋体"/>
          <w:color w:val="000000"/>
        </w:rPr>
        <w:t>。</w:t>
      </w:r>
    </w:p>
    <w:p>
      <w:pPr>
        <w:widowControl/>
        <w:spacing w:beforeLines="50" w:afterLines="50" w:line="360" w:lineRule="exact"/>
        <w:rPr>
          <w:rFonts w:hint="eastAsia" w:ascii="宋体" w:hAnsi="宋体" w:cs="宋体" w:eastAsiaTheme="minorEastAsia"/>
          <w:kern w:val="2"/>
          <w:sz w:val="21"/>
          <w:szCs w:val="22"/>
          <w:lang w:val="en-US" w:eastAsia="zh-CN" w:bidi="ar-SA"/>
        </w:rPr>
      </w:pPr>
      <w:r>
        <w:rPr>
          <w:rFonts w:hint="eastAsia" w:ascii="宋体" w:hAnsi="宋体" w:cs="宋体"/>
          <w:color w:val="000000"/>
        </w:rPr>
        <w:t>2．</w:t>
      </w:r>
      <w:r>
        <w:rPr>
          <w:rFonts w:hint="eastAsia" w:ascii="宋体" w:hAnsi="宋体" w:cs="宋体" w:eastAsiaTheme="minorEastAsia"/>
          <w:kern w:val="2"/>
          <w:sz w:val="21"/>
          <w:szCs w:val="22"/>
          <w:lang w:val="en-US" w:eastAsia="zh-CN" w:bidi="ar-SA"/>
        </w:rPr>
        <w:t>双方约定的项目款（进度款）支付的方式：现汇。以单体项目计，阶段付款。付款金额=（合同价*完成单体鉴定面积/合同总面积）。</w:t>
      </w:r>
    </w:p>
    <w:p>
      <w:pPr>
        <w:widowControl/>
        <w:spacing w:beforeLines="50" w:afterLines="50" w:line="360" w:lineRule="exact"/>
        <w:ind w:firstLine="420" w:firstLineChars="200"/>
        <w:rPr>
          <w:rFonts w:hint="eastAsia" w:ascii="宋体" w:hAnsi="宋体" w:cs="宋体"/>
          <w:color w:val="000000"/>
        </w:rPr>
      </w:pPr>
      <w:r>
        <w:rPr>
          <w:rFonts w:hint="eastAsia" w:ascii="宋体" w:hAnsi="宋体" w:cs="宋体" w:eastAsiaTheme="minorEastAsia"/>
          <w:kern w:val="2"/>
          <w:sz w:val="21"/>
          <w:szCs w:val="22"/>
          <w:lang w:val="en-US" w:eastAsia="zh-CN" w:bidi="ar-SA"/>
        </w:rPr>
        <w:t>乙方提前一个月向甲方提交付款申请，乙方出具安全鉴定及抗震鉴定报告等成果文件，并向甲方出具正规等额增值税专用发票后，甲方向乙方通过银行转账一次性支付单体项目的全部审查费用。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本项目拦标价496000元</w:t>
      </w:r>
      <w:r>
        <w:rPr>
          <w:rFonts w:hint="eastAsia" w:ascii="宋体" w:hAnsi="宋体"/>
          <w:bCs/>
          <w:color w:val="FF0000"/>
          <w:lang w:val="en-US" w:eastAsia="zh-CN"/>
        </w:rPr>
        <w:t>（肆拾玖万陆仟元整）</w:t>
      </w:r>
      <w:r>
        <w:rPr>
          <w:rFonts w:hint="eastAsia" w:ascii="宋体" w:hAnsi="宋体"/>
          <w:bCs/>
          <w:lang w:val="en-US" w:eastAsia="zh-CN"/>
        </w:rPr>
        <w:t>，报价超过拦标价的作废标处理。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eastAsia="宋体" w:cs="宋体"/>
          <w:b/>
          <w:sz w:val="36"/>
          <w:szCs w:val="36"/>
          <w:u w:val="single"/>
          <w:lang w:val="en-US" w:eastAsia="zh-CN"/>
        </w:rPr>
        <w:t>六个单体厂房安全鉴定</w:t>
      </w:r>
      <w:r>
        <w:rPr>
          <w:rFonts w:hint="eastAsia" w:ascii="宋体" w:hAnsi="宋体"/>
          <w:b/>
          <w:bCs/>
          <w:sz w:val="36"/>
          <w:szCs w:val="36"/>
        </w:rPr>
        <w:t>报价单</w:t>
      </w:r>
    </w:p>
    <w:p>
      <w:pPr>
        <w:spacing w:line="300" w:lineRule="auto"/>
        <w:ind w:firstLine="1120" w:firstLineChars="400"/>
        <w:rPr>
          <w:rFonts w:hint="eastAsia" w:ascii="宋体" w:hAnsi="宋体" w:cs="宋体"/>
          <w:sz w:val="28"/>
          <w:szCs w:val="28"/>
          <w:lang w:val="en-US" w:eastAsia="zh-CN"/>
        </w:rPr>
      </w:pPr>
      <w:r>
        <w:rPr>
          <w:rFonts w:hint="eastAsia" w:ascii="宋体" w:hAnsi="宋体" w:cs="宋体"/>
          <w:sz w:val="28"/>
          <w:szCs w:val="28"/>
          <w:lang w:val="en-US" w:eastAsia="zh-CN"/>
        </w:rPr>
        <w:t>项目名称：六个单体厂房安全鉴定</w:t>
      </w:r>
    </w:p>
    <w:p>
      <w:pPr>
        <w:pStyle w:val="2"/>
        <w:rPr>
          <w:rFonts w:hint="eastAsia" w:ascii="宋体" w:hAnsi="宋体" w:cs="宋体"/>
          <w:sz w:val="28"/>
          <w:szCs w:val="28"/>
          <w:lang w:val="en-US" w:eastAsia="zh-CN"/>
        </w:rPr>
      </w:pPr>
    </w:p>
    <w:p>
      <w:pPr>
        <w:pStyle w:val="2"/>
        <w:rPr>
          <w:rFonts w:hint="eastAsia" w:ascii="宋体" w:hAnsi="宋体" w:cs="宋体"/>
          <w:sz w:val="28"/>
          <w:szCs w:val="28"/>
          <w:lang w:val="en-US" w:eastAsia="zh-CN"/>
        </w:rPr>
      </w:pPr>
    </w:p>
    <w:p>
      <w:pPr>
        <w:pStyle w:val="2"/>
        <w:ind w:left="0" w:leftChars="0" w:firstLine="1120" w:firstLineChars="400"/>
        <w:rPr>
          <w:rFonts w:hint="default"/>
          <w:u w:val="single"/>
          <w:lang w:val="en-US" w:eastAsia="zh-CN"/>
        </w:rPr>
      </w:pPr>
      <w:r>
        <w:rPr>
          <w:rFonts w:hint="eastAsia" w:ascii="宋体" w:hAnsi="宋体" w:cs="宋体"/>
          <w:sz w:val="28"/>
          <w:szCs w:val="28"/>
          <w:lang w:val="en-US" w:eastAsia="zh-CN"/>
        </w:rPr>
        <w:t>报价：</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元（含6%税）</w:t>
      </w:r>
    </w:p>
    <w:p>
      <w:pPr>
        <w:spacing w:line="300" w:lineRule="auto"/>
        <w:ind w:firstLine="560" w:firstLineChars="200"/>
        <w:rPr>
          <w:rFonts w:hint="eastAsia" w:ascii="宋体" w:hAnsi="宋体" w:cs="宋体"/>
          <w:sz w:val="28"/>
          <w:szCs w:val="28"/>
        </w:rPr>
      </w:pPr>
    </w:p>
    <w:p>
      <w:pPr>
        <w:spacing w:line="300" w:lineRule="auto"/>
        <w:ind w:firstLine="560" w:firstLineChars="200"/>
        <w:rPr>
          <w:rFonts w:hint="eastAsia" w:ascii="宋体" w:hAnsi="宋体" w:cs="宋体"/>
          <w:sz w:val="28"/>
          <w:szCs w:val="28"/>
        </w:rPr>
      </w:pPr>
    </w:p>
    <w:p>
      <w:pPr>
        <w:spacing w:line="300" w:lineRule="auto"/>
        <w:ind w:firstLine="560" w:firstLineChars="200"/>
        <w:rPr>
          <w:rFonts w:hint="eastAsia" w:ascii="宋体" w:hAnsi="宋体" w:cs="宋体"/>
          <w:sz w:val="28"/>
          <w:szCs w:val="28"/>
        </w:rPr>
      </w:pPr>
    </w:p>
    <w:p>
      <w:pPr>
        <w:spacing w:line="300" w:lineRule="auto"/>
        <w:ind w:firstLine="560" w:firstLineChars="200"/>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sz w:val="28"/>
          <w:szCs w:val="28"/>
        </w:rPr>
        <w:t>注：本报价单需加盖投标单位公章和</w:t>
      </w:r>
      <w:r>
        <w:rPr>
          <w:rFonts w:hint="eastAsia"/>
          <w:sz w:val="28"/>
          <w:szCs w:val="28"/>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A600EA"/>
    <w:rsid w:val="0AFA4866"/>
    <w:rsid w:val="0BD460F7"/>
    <w:rsid w:val="0DFC1491"/>
    <w:rsid w:val="13D87C50"/>
    <w:rsid w:val="1DC136C9"/>
    <w:rsid w:val="214D2E1E"/>
    <w:rsid w:val="21F73AF2"/>
    <w:rsid w:val="23883F50"/>
    <w:rsid w:val="23A3231D"/>
    <w:rsid w:val="246C7447"/>
    <w:rsid w:val="24C93CD8"/>
    <w:rsid w:val="24E835CF"/>
    <w:rsid w:val="25121484"/>
    <w:rsid w:val="282A37D0"/>
    <w:rsid w:val="2A6F13B5"/>
    <w:rsid w:val="2ACC54A6"/>
    <w:rsid w:val="2B4D1F6D"/>
    <w:rsid w:val="2DA07D9B"/>
    <w:rsid w:val="2F663835"/>
    <w:rsid w:val="326329B3"/>
    <w:rsid w:val="33F77810"/>
    <w:rsid w:val="34481C4C"/>
    <w:rsid w:val="37433243"/>
    <w:rsid w:val="3D2E2B20"/>
    <w:rsid w:val="3F4134B3"/>
    <w:rsid w:val="42E868F7"/>
    <w:rsid w:val="46C83933"/>
    <w:rsid w:val="49BB4916"/>
    <w:rsid w:val="4CB767A8"/>
    <w:rsid w:val="4CBD129F"/>
    <w:rsid w:val="4FE71EA0"/>
    <w:rsid w:val="51280DE8"/>
    <w:rsid w:val="59A06F0E"/>
    <w:rsid w:val="5B1F3D2D"/>
    <w:rsid w:val="5C3B118A"/>
    <w:rsid w:val="5F972E39"/>
    <w:rsid w:val="6533734E"/>
    <w:rsid w:val="66296C18"/>
    <w:rsid w:val="6B320EB8"/>
    <w:rsid w:val="6F1A7BAF"/>
    <w:rsid w:val="724E1F86"/>
    <w:rsid w:val="73EB2F25"/>
    <w:rsid w:val="77676C2F"/>
    <w:rsid w:val="7A7A00BB"/>
    <w:rsid w:val="7DB4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1"/>
      <w:szCs w:val="21"/>
      <w:u w:val="none"/>
    </w:rPr>
  </w:style>
  <w:style w:type="character" w:customStyle="1" w:styleId="35">
    <w:name w:val="font01"/>
    <w:basedOn w:val="14"/>
    <w:qFormat/>
    <w:uiPriority w:val="0"/>
    <w:rPr>
      <w:rFonts w:hint="eastAsia" w:ascii="宋体" w:hAnsi="宋体" w:eastAsia="宋体" w:cs="宋体"/>
      <w:color w:val="000000"/>
      <w:sz w:val="20"/>
      <w:szCs w:val="20"/>
      <w:u w:val="none"/>
    </w:rPr>
  </w:style>
  <w:style w:type="character" w:customStyle="1" w:styleId="36">
    <w:name w:val="font31"/>
    <w:basedOn w:val="14"/>
    <w:qFormat/>
    <w:uiPriority w:val="0"/>
    <w:rPr>
      <w:rFonts w:hint="eastAsia" w:ascii="宋体" w:hAnsi="宋体" w:eastAsia="宋体" w:cs="宋体"/>
      <w:color w:val="FF0000"/>
      <w:sz w:val="20"/>
      <w:szCs w:val="20"/>
      <w:u w:val="none"/>
    </w:rPr>
  </w:style>
  <w:style w:type="character" w:customStyle="1" w:styleId="37">
    <w:name w:val="font111"/>
    <w:basedOn w:val="14"/>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13</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2021-09-02T10:34:45Z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8A205F93C21C4C5CB679A371B12D3AF4</vt:lpwstr>
  </property>
</Properties>
</file>