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炼铁安全通道隐患整改工程</w:t>
      </w:r>
      <w:r>
        <w:rPr>
          <w:rFonts w:hint="eastAsia" w:ascii="宋体" w:hAnsi="宋体"/>
          <w:color w:val="auto"/>
          <w:sz w:val="36"/>
          <w:szCs w:val="32"/>
          <w:highlight w:val="none"/>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color w:val="auto"/>
          <w:sz w:val="36"/>
          <w:szCs w:val="32"/>
          <w:highlight w:val="none"/>
          <w:lang w:val="en-US" w:eastAsia="zh-CN"/>
        </w:rPr>
        <w:t>炼铁安全通道隐患整改工程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bookmarkStart w:id="3" w:name="_GoBack"/>
      <w:bookmarkEnd w:id="3"/>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olor w:val="auto"/>
          <w:sz w:val="36"/>
          <w:szCs w:val="32"/>
          <w:highlight w:val="none"/>
          <w:lang w:val="en-US" w:eastAsia="zh-CN"/>
        </w:rPr>
        <w:t>炼铁安全通道隐患整改工程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olor w:val="auto"/>
          <w:sz w:val="36"/>
          <w:szCs w:val="32"/>
          <w:highlight w:val="none"/>
          <w:lang w:val="en-US" w:eastAsia="zh-CN"/>
        </w:rPr>
        <w:t>炼铁安全通道隐患整改工程</w:t>
      </w:r>
      <w:r>
        <w:rPr>
          <w:rFonts w:hint="eastAsia" w:ascii="宋体" w:hAnsi="宋体" w:cs="宋体"/>
          <w:b/>
          <w:bCs/>
          <w:color w:val="auto"/>
          <w:highlight w:val="none"/>
        </w:rPr>
        <w:t xml:space="preserve"> </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default" w:ascii="宋体" w:hAnsi="宋体"/>
          <w:color w:val="auto"/>
          <w:highlight w:val="none"/>
          <w:lang w:val="en-US" w:eastAsia="zh-CN"/>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工程概况和估算工作量：</w:t>
      </w:r>
      <w:r>
        <w:rPr>
          <w:rFonts w:hint="eastAsia"/>
          <w:color w:val="auto"/>
          <w:sz w:val="24"/>
          <w:szCs w:val="24"/>
          <w:highlight w:val="none"/>
          <w:u w:val="single"/>
          <w:lang w:eastAsia="zh-CN"/>
        </w:rPr>
        <w:t>炼铁安全通道隐患整改工程</w:t>
      </w:r>
      <w:r>
        <w:rPr>
          <w:rFonts w:hint="eastAsia"/>
          <w:color w:val="auto"/>
          <w:sz w:val="24"/>
          <w:szCs w:val="24"/>
          <w:highlight w:val="none"/>
          <w:u w:val="single"/>
        </w:rPr>
        <w:t>，</w:t>
      </w:r>
      <w:r>
        <w:rPr>
          <w:rFonts w:hint="eastAsia"/>
          <w:color w:val="auto"/>
          <w:sz w:val="24"/>
          <w:szCs w:val="24"/>
          <w:highlight w:val="none"/>
          <w:u w:val="single"/>
          <w:lang w:val="en-US" w:eastAsia="zh-CN"/>
        </w:rPr>
        <w:t>包含1#高炉热风炉和干除尘、3#高炉干除尘、喷煤喷吹管道的安全通道、平台改造等</w:t>
      </w:r>
      <w:r>
        <w:rPr>
          <w:rFonts w:hint="eastAsia"/>
          <w:color w:val="auto"/>
          <w:sz w:val="24"/>
          <w:szCs w:val="24"/>
          <w:highlight w:val="none"/>
          <w:u w:val="single"/>
          <w:lang w:eastAsia="zh-CN"/>
        </w:rPr>
        <w:t>施工</w:t>
      </w:r>
      <w:r>
        <w:rPr>
          <w:rFonts w:hint="eastAsia"/>
          <w:color w:val="auto"/>
          <w:sz w:val="24"/>
          <w:szCs w:val="24"/>
          <w:highlight w:val="none"/>
          <w:u w:val="single"/>
        </w:rPr>
        <w:t>。</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45</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本工程预结算执行《建设工程结算管理暂行办法》。</w:t>
      </w:r>
    </w:p>
    <w:p>
      <w:pPr>
        <w:numPr>
          <w:ilvl w:val="0"/>
          <w:numId w:val="2"/>
        </w:numPr>
        <w:spacing w:before="156" w:beforeLines="50" w:after="156" w:afterLines="50"/>
        <w:rPr>
          <w:strike w:val="0"/>
          <w:dstrike w:val="0"/>
          <w:sz w:val="24"/>
          <w:szCs w:val="24"/>
          <w:highlight w:val="none"/>
          <w:u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highlight w:val="none"/>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highlight w:val="none"/>
          <w:u w:val="single"/>
          <w:lang w:eastAsia="zh-CN"/>
        </w:rPr>
      </w:pPr>
      <w:r>
        <w:rPr>
          <w:rFonts w:hint="eastAsia"/>
          <w:color w:val="auto"/>
          <w:sz w:val="24"/>
          <w:szCs w:val="24"/>
          <w:highlight w:val="none"/>
          <w:u w:val="single"/>
        </w:rPr>
        <w:t>该工程</w:t>
      </w:r>
      <w:r>
        <w:rPr>
          <w:rFonts w:hint="eastAsia" w:ascii="宋体" w:hAnsi="宋体"/>
          <w:b w:val="0"/>
          <w:bCs w:val="0"/>
          <w:color w:val="auto"/>
          <w:sz w:val="24"/>
          <w:highlight w:val="none"/>
          <w:u w:val="single"/>
        </w:rPr>
        <w:t>所有材料由承包人提</w:t>
      </w:r>
      <w:r>
        <w:rPr>
          <w:rFonts w:hint="eastAsia" w:ascii="Times New Roman" w:hAnsi="Times New Roman" w:eastAsia="宋体" w:cs="Times New Roman"/>
          <w:color w:val="auto"/>
          <w:sz w:val="24"/>
          <w:szCs w:val="24"/>
          <w:highlight w:val="none"/>
          <w:u w:val="single"/>
          <w:lang w:eastAsia="zh-CN"/>
        </w:rPr>
        <w:t>供。</w:t>
      </w:r>
    </w:p>
    <w:p>
      <w:pPr>
        <w:numPr>
          <w:ilvl w:val="0"/>
          <w:numId w:val="2"/>
        </w:numPr>
        <w:spacing w:before="156" w:beforeLines="50" w:after="156" w:afterLines="50"/>
        <w:rPr>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highlight w:val="none"/>
        </w:rPr>
      </w:pPr>
      <w:r>
        <w:rPr>
          <w:sz w:val="24"/>
          <w:szCs w:val="24"/>
          <w:highlight w:val="none"/>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highlight w:val="none"/>
        </w:rPr>
      </w:pPr>
      <w:r>
        <w:rPr>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w:t>
      </w:r>
      <w:r>
        <w:rPr>
          <w:b w:val="0"/>
          <w:bCs w:val="0"/>
          <w:sz w:val="24"/>
          <w:szCs w:val="24"/>
          <w:highlight w:val="none"/>
        </w:rPr>
        <w:t>管理费结算（从承包价扣除）。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u w:val="single"/>
        </w:rPr>
        <w:t>单价包干部分钢材价格以2021年</w:t>
      </w:r>
      <w:r>
        <w:rPr>
          <w:rFonts w:hint="eastAsia"/>
          <w:b w:val="0"/>
          <w:bCs w:val="0"/>
          <w:color w:val="auto"/>
          <w:sz w:val="24"/>
          <w:szCs w:val="24"/>
          <w:highlight w:val="none"/>
          <w:u w:val="single"/>
          <w:lang w:val="en-US" w:eastAsia="zh-CN"/>
        </w:rPr>
        <w:t>第7期</w:t>
      </w:r>
      <w:r>
        <w:rPr>
          <w:rFonts w:hint="eastAsia"/>
          <w:b w:val="0"/>
          <w:bCs w:val="0"/>
          <w:color w:val="auto"/>
          <w:sz w:val="24"/>
          <w:szCs w:val="24"/>
          <w:highlight w:val="none"/>
          <w:u w:val="single"/>
        </w:rPr>
        <w:t>芜湖市市场信息价为基准，芜湖市市场信息价没有的以合肥市市场信息价为基准，若施工期间材料单价涨跌幅超过±</w:t>
      </w:r>
      <w:r>
        <w:rPr>
          <w:b w:val="0"/>
          <w:bCs w:val="0"/>
          <w:color w:val="auto"/>
          <w:sz w:val="24"/>
          <w:szCs w:val="24"/>
          <w:highlight w:val="none"/>
          <w:u w:val="single"/>
        </w:rPr>
        <w:t>5</w:t>
      </w:r>
      <w:r>
        <w:rPr>
          <w:rFonts w:hint="eastAsia"/>
          <w:b w:val="0"/>
          <w:bCs w:val="0"/>
          <w:color w:val="auto"/>
          <w:sz w:val="24"/>
          <w:szCs w:val="24"/>
          <w:highlight w:val="none"/>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14、</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炼铁安全通道隐患整改工程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42" w:type="dxa"/>
        <w:tblInd w:w="0" w:type="dxa"/>
        <w:shd w:val="clear" w:color="auto" w:fill="auto"/>
        <w:tblLayout w:type="autofit"/>
        <w:tblCellMar>
          <w:top w:w="0" w:type="dxa"/>
          <w:left w:w="0" w:type="dxa"/>
          <w:bottom w:w="0" w:type="dxa"/>
          <w:right w:w="0" w:type="dxa"/>
        </w:tblCellMar>
      </w:tblPr>
      <w:tblGrid>
        <w:gridCol w:w="480"/>
        <w:gridCol w:w="2089"/>
        <w:gridCol w:w="2230"/>
        <w:gridCol w:w="510"/>
        <w:gridCol w:w="890"/>
        <w:gridCol w:w="8843"/>
      </w:tblGrid>
      <w:tr>
        <w:tblPrEx>
          <w:shd w:val="clear" w:color="auto" w:fill="auto"/>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钢结构制安</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21070192.01J01-01、21070099.01J01-01g~06g</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32</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拦标价：18000元/t。包括支架、平台、梯子、栏杆等所有钢构的卸车、运输、倒运、制作、安装、除锈、刷漆等涉及的全部工序及人工费、机械费、材料费、措施费、不可竞争费、税金、水电费等全部费用。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利旧钢结构保护性拆除、改造、安装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拦标价：9000元/t。包括利旧钢构的卸车、运输、倒运、保护性拆除、改造、安装、除锈、刷漆等涉及的全部工序及人工费、机械费、材料费、措施费、不可竞争费、税金、水电费等全部费用。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钢结构拆除</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拦标价：1500元/t。包括拆除、分解成块（600mm以内）、运输、倒运等涉及的全部工序及人工费、机械费、材料费、措施费、不可竞争费、税金、水电费等全部费用。由施工现场送至厂内指定地点。</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优惠率（不包含材料费）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项</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Style w:val="35"/>
                <w:highlight w:val="none"/>
                <w:lang w:val="en-US" w:eastAsia="zh-CN" w:bidi="ar"/>
              </w:rPr>
              <w:t xml:space="preserve">暂估金额20000元 </w:t>
            </w:r>
            <w:r>
              <w:rPr>
                <w:rFonts w:hint="eastAsia" w:ascii="宋体" w:hAnsi="宋体" w:eastAsia="宋体" w:cs="宋体"/>
                <w:i w:val="0"/>
                <w:color w:val="000000"/>
                <w:kern w:val="0"/>
                <w:sz w:val="20"/>
                <w:szCs w:val="20"/>
                <w:highlight w:val="none"/>
                <w:u w:val="none"/>
                <w:lang w:val="en-US" w:eastAsia="zh-CN" w:bidi="ar"/>
              </w:rPr>
              <w:t xml:space="preserve">     </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532887698"/>
      <w:bookmarkStart w:id="1" w:name="_Toc15291886"/>
      <w:bookmarkStart w:id="2" w:name="_Toc15231775"/>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214D2E1E"/>
    <w:rsid w:val="21D2437C"/>
    <w:rsid w:val="21F73AF2"/>
    <w:rsid w:val="23562493"/>
    <w:rsid w:val="23883F50"/>
    <w:rsid w:val="24C93CD8"/>
    <w:rsid w:val="24E835CF"/>
    <w:rsid w:val="282A37D0"/>
    <w:rsid w:val="28754C22"/>
    <w:rsid w:val="29AB06DF"/>
    <w:rsid w:val="29EF4459"/>
    <w:rsid w:val="2A62363C"/>
    <w:rsid w:val="2AFF2879"/>
    <w:rsid w:val="326329B3"/>
    <w:rsid w:val="33B16D86"/>
    <w:rsid w:val="34481C4C"/>
    <w:rsid w:val="364C51F0"/>
    <w:rsid w:val="37CA36AB"/>
    <w:rsid w:val="386D04A2"/>
    <w:rsid w:val="38BF635E"/>
    <w:rsid w:val="3A9E2574"/>
    <w:rsid w:val="3B9F0063"/>
    <w:rsid w:val="3C062CAD"/>
    <w:rsid w:val="3D5977E3"/>
    <w:rsid w:val="400A7CF7"/>
    <w:rsid w:val="42B5472A"/>
    <w:rsid w:val="467B56CD"/>
    <w:rsid w:val="47111AB1"/>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ACF5D45"/>
    <w:rsid w:val="5D634D0C"/>
    <w:rsid w:val="5F533CAB"/>
    <w:rsid w:val="66296C18"/>
    <w:rsid w:val="68BB783B"/>
    <w:rsid w:val="6998730F"/>
    <w:rsid w:val="6BFA79CF"/>
    <w:rsid w:val="6CDE16B5"/>
    <w:rsid w:val="6DC53C6B"/>
    <w:rsid w:val="6DF65BBA"/>
    <w:rsid w:val="6F286C4E"/>
    <w:rsid w:val="6FB3692B"/>
    <w:rsid w:val="71A34979"/>
    <w:rsid w:val="724E1F86"/>
    <w:rsid w:val="73F30113"/>
    <w:rsid w:val="74BF37D3"/>
    <w:rsid w:val="74E73BF7"/>
    <w:rsid w:val="75037D3A"/>
    <w:rsid w:val="765207B1"/>
    <w:rsid w:val="767B7BCD"/>
    <w:rsid w:val="77676C2F"/>
    <w:rsid w:val="782F64FC"/>
    <w:rsid w:val="7A1268BD"/>
    <w:rsid w:val="7F5D6717"/>
    <w:rsid w:val="7F8C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 w:type="character" w:customStyle="1" w:styleId="35">
    <w:name w:val="font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2021-09-02T10:08:36Z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