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综合料场收尾土建工程</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09</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17</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综合料场收尾土建工程项目</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hAnsi="宋体"/>
          <w:color w:val="FF0000"/>
          <w:sz w:val="24"/>
          <w:szCs w:val="24"/>
          <w:highlight w:val="none"/>
          <w:u w:val="none"/>
          <w:lang w:val="en-US" w:eastAsia="zh-CN"/>
        </w:rPr>
        <w:t>建筑工程施工总承包叁级及以上资质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09</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19</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16</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 xml:space="preserve">周伟  </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杨国琳</w:t>
      </w:r>
      <w:r>
        <w:rPr>
          <w:rFonts w:hint="eastAsia" w:ascii="宋体" w:hAnsi="宋体" w:eastAsia="宋体" w:cs="宋体"/>
          <w:color w:val="FF0000"/>
          <w:kern w:val="0"/>
          <w:sz w:val="24"/>
          <w:szCs w:val="24"/>
        </w:rPr>
        <w:t>    </w:t>
      </w:r>
      <w:r>
        <w:rPr>
          <w:rFonts w:hint="eastAsia" w:ascii="宋体" w:hAnsi="宋体" w:eastAsia="宋体" w:cs="宋体"/>
          <w:color w:val="FF0000"/>
          <w:kern w:val="0"/>
          <w:sz w:val="24"/>
          <w:szCs w:val="24"/>
          <w:lang w:val="en-US" w:eastAsia="zh-CN"/>
        </w:rPr>
        <w:t>18010798955</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olor w:val="auto"/>
          <w:sz w:val="24"/>
          <w:szCs w:val="22"/>
          <w:lang w:eastAsia="zh-CN"/>
        </w:rPr>
        <w:t>综合料场收尾土建工程项目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olor w:val="auto"/>
          <w:sz w:val="24"/>
          <w:szCs w:val="22"/>
          <w:lang w:eastAsia="zh-CN"/>
        </w:rPr>
        <w:t>综合料场收尾土建工程项目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numPr>
          <w:ilvl w:val="0"/>
          <w:numId w:val="0"/>
        </w:numPr>
        <w:spacing w:line="360" w:lineRule="auto"/>
        <w:ind w:leftChars="0"/>
        <w:rPr>
          <w:rFonts w:ascii="宋体" w:hAnsi="宋体"/>
          <w:color w:val="auto"/>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eastAsia="zh-CN"/>
        </w:rPr>
        <w:t>综合料场收尾土建工程</w:t>
      </w:r>
      <w:r>
        <w:rPr>
          <w:rFonts w:hint="eastAsia" w:ascii="宋体" w:hAnsi="宋体"/>
          <w:color w:val="auto"/>
        </w:rPr>
        <w:t>，</w:t>
      </w:r>
      <w:r>
        <w:rPr>
          <w:rFonts w:hint="eastAsia" w:ascii="宋体" w:hAnsi="宋体"/>
          <w:color w:val="auto"/>
          <w:lang w:eastAsia="zh-CN"/>
        </w:rPr>
        <w:t>包含</w:t>
      </w:r>
      <w:r>
        <w:rPr>
          <w:rFonts w:hint="eastAsia" w:ascii="宋体" w:hAnsi="宋体"/>
          <w:color w:val="auto"/>
          <w:lang w:val="en-US" w:eastAsia="zh-CN"/>
        </w:rPr>
        <w:t>道路、地坪、排水沟、人行道、基础、钢格板安装、钢柱包脚等</w:t>
      </w:r>
      <w:r>
        <w:rPr>
          <w:rFonts w:hint="eastAsia" w:ascii="宋体" w:hAnsi="宋体"/>
          <w:color w:val="auto"/>
          <w:lang w:eastAsia="zh-CN"/>
        </w:rPr>
        <w:t>施工。</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ind w:firstLine="420"/>
        <w:rPr>
          <w:rFonts w:hint="eastAsia" w:ascii="宋体" w:hAnsi="宋体" w:cs="宋体"/>
          <w:color w:val="auto"/>
          <w:kern w:val="36"/>
        </w:rPr>
      </w:pPr>
      <w:r>
        <w:rPr>
          <w:rFonts w:hint="eastAsia" w:ascii="宋体" w:hAnsi="宋体" w:cs="宋体"/>
          <w:color w:val="auto"/>
          <w:kern w:val="36"/>
        </w:rPr>
        <w:t>开工日期： 2021-</w:t>
      </w:r>
      <w:r>
        <w:rPr>
          <w:rFonts w:hint="eastAsia" w:ascii="宋体" w:hAnsi="宋体" w:cs="宋体"/>
          <w:color w:val="auto"/>
          <w:kern w:val="36"/>
          <w:lang w:val="en-US" w:eastAsia="zh-CN"/>
        </w:rPr>
        <w:t>9</w:t>
      </w:r>
      <w:r>
        <w:rPr>
          <w:rFonts w:hint="eastAsia" w:ascii="宋体" w:hAnsi="宋体" w:cs="宋体"/>
          <w:color w:val="auto"/>
          <w:kern w:val="36"/>
        </w:rPr>
        <w:t>-</w:t>
      </w:r>
      <w:r>
        <w:rPr>
          <w:rFonts w:hint="eastAsia" w:ascii="宋体" w:hAnsi="宋体" w:cs="宋体"/>
          <w:color w:val="auto"/>
          <w:kern w:val="36"/>
          <w:lang w:val="en-US" w:eastAsia="zh-CN"/>
        </w:rPr>
        <w:t>30</w:t>
      </w:r>
      <w:r>
        <w:rPr>
          <w:rFonts w:hint="eastAsia" w:ascii="宋体" w:hAnsi="宋体" w:cs="宋体"/>
          <w:color w:val="auto"/>
          <w:kern w:val="36"/>
        </w:rPr>
        <w:t xml:space="preserve">           （暂定）                             </w:t>
      </w:r>
    </w:p>
    <w:p>
      <w:pPr>
        <w:spacing w:line="360" w:lineRule="auto"/>
        <w:ind w:firstLine="420"/>
        <w:rPr>
          <w:rFonts w:hint="eastAsia" w:ascii="宋体" w:hAnsi="宋体" w:cs="宋体"/>
          <w:color w:val="auto"/>
          <w:kern w:val="36"/>
        </w:rPr>
      </w:pPr>
      <w:r>
        <w:rPr>
          <w:rFonts w:hint="eastAsia" w:ascii="宋体" w:hAnsi="宋体" w:cs="宋体"/>
          <w:color w:val="auto"/>
          <w:kern w:val="36"/>
        </w:rPr>
        <w:t>竣工日期： 2021-</w:t>
      </w:r>
      <w:r>
        <w:rPr>
          <w:rFonts w:hint="eastAsia" w:ascii="宋体" w:hAnsi="宋体" w:cs="宋体"/>
          <w:color w:val="auto"/>
          <w:kern w:val="36"/>
          <w:lang w:val="en-US" w:eastAsia="zh-CN"/>
        </w:rPr>
        <w:t>11</w:t>
      </w:r>
      <w:r>
        <w:rPr>
          <w:rFonts w:hint="eastAsia" w:ascii="宋体" w:hAnsi="宋体" w:cs="宋体"/>
          <w:color w:val="auto"/>
          <w:kern w:val="36"/>
        </w:rPr>
        <w:t>-</w:t>
      </w:r>
      <w:r>
        <w:rPr>
          <w:rFonts w:hint="eastAsia" w:ascii="宋体" w:hAnsi="宋体" w:cs="宋体"/>
          <w:color w:val="auto"/>
          <w:kern w:val="36"/>
          <w:lang w:val="en-US" w:eastAsia="zh-CN"/>
        </w:rPr>
        <w:t>29</w:t>
      </w:r>
      <w:r>
        <w:rPr>
          <w:rFonts w:hint="eastAsia" w:ascii="宋体" w:hAnsi="宋体" w:cs="宋体"/>
          <w:color w:val="auto"/>
          <w:kern w:val="36"/>
        </w:rPr>
        <w:t xml:space="preserve">                                                        </w:t>
      </w:r>
    </w:p>
    <w:p>
      <w:pPr>
        <w:spacing w:line="360" w:lineRule="auto"/>
        <w:ind w:firstLine="420"/>
        <w:rPr>
          <w:rFonts w:ascii="宋体" w:hAnsi="宋体"/>
          <w:color w:val="auto"/>
        </w:rPr>
      </w:pPr>
      <w:r>
        <w:rPr>
          <w:rFonts w:hint="eastAsia" w:ascii="宋体" w:hAnsi="宋体" w:cs="宋体"/>
          <w:color w:val="auto"/>
          <w:kern w:val="36"/>
        </w:rPr>
        <w:t xml:space="preserve">合同工期总日历天数 </w:t>
      </w:r>
      <w:r>
        <w:rPr>
          <w:rFonts w:hint="eastAsia" w:ascii="宋体" w:hAnsi="宋体" w:cs="宋体"/>
          <w:color w:val="auto"/>
          <w:kern w:val="36"/>
          <w:lang w:val="en-US" w:eastAsia="zh-CN"/>
        </w:rPr>
        <w:t>6</w:t>
      </w:r>
      <w:r>
        <w:rPr>
          <w:rFonts w:hint="eastAsia" w:ascii="宋体" w:hAnsi="宋体" w:cs="宋体"/>
          <w:color w:val="auto"/>
          <w:kern w:val="36"/>
        </w:rPr>
        <w:t>0 天</w:t>
      </w:r>
      <w:r>
        <w:rPr>
          <w:rFonts w:hint="eastAsia" w:ascii="宋体" w:hAnsi="宋体" w:cs="宋体"/>
          <w:color w:val="auto"/>
          <w:kern w:val="36"/>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sz w:val="24"/>
          <w:szCs w:val="24"/>
        </w:rPr>
      </w:pPr>
      <w:r>
        <w:rPr>
          <w:rFonts w:hint="eastAsia"/>
          <w:sz w:val="24"/>
          <w:szCs w:val="24"/>
        </w:rPr>
        <w:t>本工程预结算执行《建设工程结算管理暂行办法》。</w:t>
      </w:r>
    </w:p>
    <w:p>
      <w:pPr>
        <w:numPr>
          <w:ilvl w:val="0"/>
          <w:numId w:val="2"/>
        </w:numPr>
        <w:spacing w:before="156" w:beforeLines="50" w:after="156" w:afterLines="50"/>
        <w:rPr>
          <w:strike w:val="0"/>
          <w:dstrike w:val="0"/>
          <w:sz w:val="24"/>
          <w:szCs w:val="24"/>
          <w:u w:val="none"/>
        </w:rPr>
      </w:pPr>
      <w:r>
        <w:rPr>
          <w:rFonts w:hint="eastAsia"/>
          <w:sz w:val="24"/>
          <w:szCs w:val="24"/>
        </w:rPr>
        <w:t>本工程按</w:t>
      </w:r>
      <w:r>
        <w:rPr>
          <w:rFonts w:hint="eastAsia"/>
          <w:b/>
          <w:bCs/>
          <w:sz w:val="24"/>
          <w:szCs w:val="24"/>
        </w:rPr>
        <w:t>单价包干</w:t>
      </w:r>
      <w:r>
        <w:rPr>
          <w:rFonts w:hint="eastAsia"/>
          <w:sz w:val="24"/>
          <w:szCs w:val="24"/>
        </w:rPr>
        <w:t>结合定额优惠率（材料费不参与总价优惠）的方式进行报价。未列分项工作量（执行优惠率部分）</w:t>
      </w:r>
      <w:r>
        <w:rPr>
          <w:rFonts w:hint="eastAsia" w:ascii="宋体" w:hAnsi="宋体" w:cs="宋体"/>
          <w:sz w:val="24"/>
          <w:szCs w:val="24"/>
        </w:rPr>
        <w:t>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w:t>
      </w:r>
      <w:r>
        <w:rPr>
          <w:rFonts w:hint="eastAsia"/>
          <w:strike w:val="0"/>
          <w:dstrike w:val="0"/>
          <w:sz w:val="24"/>
          <w:szCs w:val="24"/>
          <w:u w:val="none"/>
        </w:rPr>
        <w:t>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sz w:val="24"/>
          <w:szCs w:val="24"/>
        </w:rPr>
      </w:pPr>
      <w:r>
        <w:rPr>
          <w:rFonts w:hint="eastAsia"/>
          <w:color w:val="FF0000"/>
          <w:sz w:val="24"/>
          <w:szCs w:val="24"/>
          <w:u w:val="single"/>
        </w:rPr>
        <w:t>该工程</w:t>
      </w:r>
      <w:r>
        <w:rPr>
          <w:rFonts w:hint="eastAsia"/>
          <w:color w:val="FF0000"/>
          <w:sz w:val="24"/>
          <w:szCs w:val="24"/>
          <w:u w:val="single"/>
          <w:lang w:val="en-US" w:eastAsia="zh-CN"/>
        </w:rPr>
        <w:t>钢筋</w:t>
      </w:r>
      <w:r>
        <w:rPr>
          <w:rFonts w:hint="eastAsia"/>
          <w:color w:val="FF0000"/>
          <w:sz w:val="24"/>
          <w:szCs w:val="24"/>
          <w:u w:val="single"/>
          <w:lang w:eastAsia="zh-CN"/>
        </w:rPr>
        <w:t>、</w:t>
      </w:r>
      <w:r>
        <w:rPr>
          <w:rFonts w:hint="eastAsia"/>
          <w:color w:val="FF0000"/>
          <w:sz w:val="24"/>
          <w:szCs w:val="24"/>
          <w:u w:val="single"/>
          <w:lang w:val="en-US" w:eastAsia="zh-CN"/>
        </w:rPr>
        <w:t>钢格板由</w:t>
      </w:r>
      <w:r>
        <w:rPr>
          <w:rFonts w:hint="eastAsia"/>
          <w:color w:val="FF0000"/>
          <w:sz w:val="24"/>
          <w:szCs w:val="24"/>
          <w:u w:val="single"/>
          <w:lang w:eastAsia="zh-CN"/>
        </w:rPr>
        <w:t>发包人提供，</w:t>
      </w:r>
      <w:r>
        <w:rPr>
          <w:rFonts w:hint="eastAsia" w:ascii="宋体" w:hAnsi="宋体"/>
          <w:b w:val="0"/>
          <w:bCs w:val="0"/>
          <w:color w:val="FF0000"/>
          <w:sz w:val="24"/>
          <w:u w:val="single"/>
          <w:lang w:eastAsia="zh-CN"/>
        </w:rPr>
        <w:t>其他</w:t>
      </w:r>
      <w:r>
        <w:rPr>
          <w:rFonts w:hint="eastAsia" w:ascii="宋体" w:hAnsi="宋体"/>
          <w:b w:val="0"/>
          <w:bCs w:val="0"/>
          <w:color w:val="FF0000"/>
          <w:sz w:val="24"/>
          <w:u w:val="single"/>
        </w:rPr>
        <w:t>所有材料由承包人提</w:t>
      </w:r>
      <w:r>
        <w:rPr>
          <w:rFonts w:hint="eastAsia" w:ascii="Times New Roman" w:hAnsi="Times New Roman" w:eastAsia="宋体" w:cs="Times New Roman"/>
          <w:color w:val="FF0000"/>
          <w:sz w:val="24"/>
          <w:szCs w:val="24"/>
          <w:u w:val="single"/>
          <w:lang w:eastAsia="zh-CN"/>
        </w:rPr>
        <w:t>供。</w:t>
      </w:r>
      <w:r>
        <w:rPr>
          <w:rFonts w:hint="eastAsia" w:ascii="Times New Roman" w:hAnsi="Times New Roman" w:eastAsia="宋体" w:cs="Times New Roman"/>
          <w:color w:val="auto"/>
          <w:sz w:val="24"/>
          <w:szCs w:val="24"/>
          <w:u w:val="single"/>
          <w:lang w:eastAsia="zh-CN"/>
        </w:rPr>
        <w:t>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sz w:val="24"/>
          <w:szCs w:val="24"/>
        </w:rPr>
      </w:pPr>
      <w:r>
        <w:rPr>
          <w:rFonts w:hint="eastAsia"/>
          <w:sz w:val="24"/>
          <w:szCs w:val="24"/>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sz w:val="24"/>
          <w:szCs w:val="24"/>
        </w:rPr>
      </w:pPr>
      <w:r>
        <w:rPr>
          <w:sz w:val="24"/>
          <w:szCs w:val="24"/>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sz w:val="24"/>
          <w:szCs w:val="24"/>
        </w:rPr>
      </w:pPr>
      <w:r>
        <w:rPr>
          <w:sz w:val="24"/>
          <w:szCs w:val="24"/>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b w:val="0"/>
          <w:bCs w:val="0"/>
          <w:sz w:val="24"/>
          <w:szCs w:val="24"/>
        </w:rPr>
      </w:pPr>
      <w:r>
        <w:rPr>
          <w:sz w:val="24"/>
          <w:szCs w:val="24"/>
        </w:rPr>
        <w:t>发包人有权提出复检要求，承包人应无偿无条件满足抽检时发现承包人采购材料违规，有权处罚和收回采购权，收回采购权后发包人供应材料按进价（含税）加5%</w:t>
      </w:r>
      <w:r>
        <w:rPr>
          <w:b w:val="0"/>
          <w:bCs w:val="0"/>
          <w:sz w:val="24"/>
          <w:szCs w:val="24"/>
        </w:rPr>
        <w:t>管理费结算（从承包价扣除）。</w:t>
      </w:r>
    </w:p>
    <w:p>
      <w:pPr>
        <w:numPr>
          <w:ilvl w:val="0"/>
          <w:numId w:val="2"/>
        </w:numPr>
        <w:spacing w:before="156" w:beforeLines="50" w:after="156" w:afterLines="50"/>
        <w:rPr>
          <w:b w:val="0"/>
          <w:bCs w:val="0"/>
          <w:color w:val="auto"/>
          <w:sz w:val="24"/>
          <w:szCs w:val="24"/>
        </w:rPr>
      </w:pPr>
      <w:r>
        <w:rPr>
          <w:rFonts w:hint="eastAsia"/>
          <w:b w:val="0"/>
          <w:bCs w:val="0"/>
          <w:color w:val="auto"/>
          <w:sz w:val="24"/>
          <w:szCs w:val="24"/>
          <w:u w:val="single"/>
        </w:rPr>
        <w:t>单价包干部分钢材价格以2021年</w:t>
      </w:r>
      <w:r>
        <w:rPr>
          <w:rFonts w:hint="eastAsia"/>
          <w:b w:val="0"/>
          <w:bCs w:val="0"/>
          <w:color w:val="FF0000"/>
          <w:sz w:val="24"/>
          <w:szCs w:val="24"/>
          <w:u w:val="single"/>
          <w:lang w:val="en-US" w:eastAsia="zh-CN"/>
        </w:rPr>
        <w:t>第8期</w:t>
      </w:r>
      <w:r>
        <w:rPr>
          <w:rFonts w:hint="eastAsia"/>
          <w:b w:val="0"/>
          <w:bCs w:val="0"/>
          <w:color w:val="auto"/>
          <w:sz w:val="24"/>
          <w:szCs w:val="24"/>
          <w:u w:val="single"/>
        </w:rPr>
        <w:t>芜湖市市场信息价为基准，芜湖市市场信息价没有的以合肥市市场信息价为基准，若施工期间材料单价涨跌幅超过±</w:t>
      </w:r>
      <w:r>
        <w:rPr>
          <w:b w:val="0"/>
          <w:bCs w:val="0"/>
          <w:color w:val="auto"/>
          <w:sz w:val="24"/>
          <w:szCs w:val="24"/>
          <w:u w:val="single"/>
        </w:rPr>
        <w:t>5</w:t>
      </w:r>
      <w:r>
        <w:rPr>
          <w:rFonts w:hint="eastAsia"/>
          <w:b w:val="0"/>
          <w:bCs w:val="0"/>
          <w:color w:val="auto"/>
          <w:sz w:val="24"/>
          <w:szCs w:val="24"/>
          <w:u w:val="single"/>
        </w:rPr>
        <w:t>%时，其超过部分据实调整钢材价格，芜湖和合肥市场信息价查询不到的不予调整。</w:t>
      </w:r>
    </w:p>
    <w:p>
      <w:pPr>
        <w:numPr>
          <w:ilvl w:val="0"/>
          <w:numId w:val="2"/>
        </w:numPr>
        <w:spacing w:before="156" w:beforeLines="50" w:after="156" w:afterLines="50"/>
        <w:rPr>
          <w:rFonts w:hint="eastAsia"/>
          <w:b w:val="0"/>
          <w:bCs w:val="0"/>
          <w:color w:val="auto"/>
          <w:sz w:val="24"/>
          <w:szCs w:val="24"/>
          <w:highlight w:val="none"/>
        </w:rPr>
      </w:pPr>
      <w:r>
        <w:rPr>
          <w:rFonts w:hint="eastAsia"/>
          <w:b w:val="0"/>
          <w:bCs w:val="0"/>
          <w:color w:val="auto"/>
          <w:sz w:val="24"/>
          <w:szCs w:val="24"/>
          <w:highlight w:val="none"/>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sz w:val="24"/>
          <w:szCs w:val="24"/>
          <w:highlight w:val="none"/>
        </w:rPr>
      </w:pPr>
      <w:r>
        <w:rPr>
          <w:rFonts w:hint="eastAsia"/>
          <w:sz w:val="24"/>
          <w:szCs w:val="24"/>
          <w:highlight w:val="none"/>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sz w:val="24"/>
          <w:szCs w:val="24"/>
        </w:rPr>
      </w:pPr>
      <w:r>
        <w:rPr>
          <w:rFonts w:hint="eastAsia"/>
          <w:sz w:val="24"/>
          <w:szCs w:val="24"/>
          <w:highlight w:val="none"/>
        </w:rPr>
        <w:t>工程内容按合同约定执行，开具增值税发票执行9%</w:t>
      </w:r>
      <w:r>
        <w:rPr>
          <w:rFonts w:hint="eastAsia"/>
          <w:sz w:val="24"/>
          <w:szCs w:val="24"/>
        </w:rPr>
        <w:t>税率。</w:t>
      </w:r>
    </w:p>
    <w:p>
      <w:pPr>
        <w:keepNext w:val="0"/>
        <w:keepLines w:val="0"/>
        <w:widowControl/>
        <w:numPr>
          <w:ilvl w:val="0"/>
          <w:numId w:val="2"/>
        </w:numPr>
        <w:suppressLineNumbers w:val="0"/>
        <w:ind w:left="420" w:leftChars="0" w:hanging="420" w:firstLineChars="0"/>
        <w:jc w:val="left"/>
        <w:rPr>
          <w:rFonts w:hint="eastAsia" w:ascii="宋体" w:hAnsi="宋体"/>
          <w:sz w:val="24"/>
          <w:szCs w:val="24"/>
        </w:rPr>
      </w:pPr>
      <w:r>
        <w:rPr>
          <w:rFonts w:hint="eastAsia" w:ascii="宋体" w:hAnsi="宋体"/>
          <w:sz w:val="24"/>
          <w:szCs w:val="24"/>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auto"/>
          <w:lang w:eastAsia="zh-CN"/>
        </w:rPr>
      </w:pPr>
      <w:r>
        <w:rPr>
          <w:rFonts w:hint="eastAsia" w:ascii="宋体" w:hAnsi="宋体" w:cs="宋体"/>
          <w:color w:val="auto"/>
        </w:rPr>
        <w:t>2．双方约定的工程款（进度款）支付的方式：以上工程无预付款；进度款按月支付已完工程量的70% ，付款前提供等额增值税专用发票。</w:t>
      </w:r>
    </w:p>
    <w:p>
      <w:pPr>
        <w:spacing w:line="360" w:lineRule="exact"/>
        <w:ind w:firstLine="420" w:firstLineChars="20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ascii="宋体"/>
          <w:sz w:val="24"/>
        </w:rPr>
      </w:pPr>
      <w:r>
        <w:rPr>
          <w:rFonts w:hint="eastAsia" w:ascii="宋体" w:hAnsi="宋体" w:cs="宋体"/>
          <w:color w:val="auto"/>
        </w:rPr>
        <w:t>结算审核后承包人及时向发包人开具全额增值税专用发票。</w:t>
      </w:r>
    </w:p>
    <w:p>
      <w:pPr>
        <w:widowControl/>
        <w:spacing w:before="156" w:beforeLines="50" w:after="156" w:afterLines="50"/>
        <w:rPr>
          <w:rFonts w:hint="eastAsia" w:ascii="宋体" w:hAnsi="宋体" w:cs="宋体"/>
          <w:color w:val="auto"/>
          <w:lang w:val="en-US" w:eastAsia="zh-CN"/>
        </w:rPr>
      </w:pP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cstheme="minorBidi"/>
          <w:bCs/>
          <w:color w:val="FF0000"/>
          <w:kern w:val="2"/>
          <w:sz w:val="21"/>
          <w:szCs w:val="22"/>
          <w:lang w:val="en-US" w:eastAsia="zh-CN" w:bidi="ar-SA"/>
        </w:rPr>
        <w:t>yang_19821112</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附件1</w:t>
      </w:r>
    </w:p>
    <w:tbl>
      <w:tblPr>
        <w:tblW w:w="14970" w:type="dxa"/>
        <w:tblInd w:w="0" w:type="dxa"/>
        <w:shd w:val="clear"/>
        <w:tblLayout w:type="autofit"/>
        <w:tblCellMar>
          <w:top w:w="0" w:type="dxa"/>
          <w:left w:w="0" w:type="dxa"/>
          <w:bottom w:w="0" w:type="dxa"/>
          <w:right w:w="0" w:type="dxa"/>
        </w:tblCellMar>
      </w:tblPr>
      <w:tblGrid>
        <w:gridCol w:w="452"/>
        <w:gridCol w:w="2250"/>
        <w:gridCol w:w="1630"/>
        <w:gridCol w:w="540"/>
        <w:gridCol w:w="930"/>
        <w:gridCol w:w="9168"/>
      </w:tblGrid>
      <w:tr>
        <w:tblPrEx>
          <w:shd w:val="clear"/>
          <w:tblCellMar>
            <w:top w:w="0" w:type="dxa"/>
            <w:left w:w="0" w:type="dxa"/>
            <w:bottom w:w="0" w:type="dxa"/>
            <w:right w:w="0" w:type="dxa"/>
          </w:tblCellMar>
        </w:tblPrEx>
        <w:trPr>
          <w:trHeight w:val="405" w:hRule="atLeast"/>
        </w:trPr>
        <w:tc>
          <w:tcPr>
            <w:tcW w:w="14970" w:type="dxa"/>
            <w:gridSpan w:val="6"/>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综合料场收尾土建工程项目报价单</w:t>
            </w:r>
            <w:bookmarkStart w:id="3" w:name="_GoBack"/>
            <w:bookmarkEnd w:id="3"/>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分项名称</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施工图号</w:t>
            </w: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工程量</w:t>
            </w:r>
          </w:p>
        </w:tc>
        <w:tc>
          <w:tcPr>
            <w:tcW w:w="9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备注</w:t>
            </w:r>
          </w:p>
        </w:tc>
      </w:tr>
      <w:tr>
        <w:tblPrEx>
          <w:tblCellMar>
            <w:top w:w="0" w:type="dxa"/>
            <w:left w:w="0" w:type="dxa"/>
            <w:bottom w:w="0" w:type="dxa"/>
            <w:right w:w="0"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土方开挖</w:t>
            </w:r>
          </w:p>
        </w:tc>
        <w:tc>
          <w:tcPr>
            <w:tcW w:w="1035" w:type="dxa"/>
            <w:vMerge w:val="restart"/>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S1905.00J01-03、S1905.01J04</w:t>
            </w: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550</w:t>
            </w:r>
          </w:p>
        </w:tc>
        <w:tc>
          <w:tcPr>
            <w:tcW w:w="9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拦标价：45元/m3。包括开挖、装车、外排、人工清底等涉及的全部工序及人工费、机械费、材料费、措施费、不可竞争费、税金、水电费等全部费用。</w:t>
            </w:r>
          </w:p>
        </w:tc>
      </w:tr>
      <w:tr>
        <w:tblPrEx>
          <w:tblCellMar>
            <w:top w:w="0" w:type="dxa"/>
            <w:left w:w="0" w:type="dxa"/>
            <w:bottom w:w="0" w:type="dxa"/>
            <w:right w:w="0"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土方回填</w:t>
            </w:r>
          </w:p>
        </w:tc>
        <w:tc>
          <w:tcPr>
            <w:tcW w:w="1035"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230</w:t>
            </w:r>
          </w:p>
        </w:tc>
        <w:tc>
          <w:tcPr>
            <w:tcW w:w="9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拦标价：35元/m3。包括装车、回填、平整、夯实等涉及的全部工序及人工费、机械费、材料费、措施费、不可竞争费、税金、水电费等全部费用。</w:t>
            </w:r>
          </w:p>
        </w:tc>
      </w:tr>
      <w:tr>
        <w:tblPrEx>
          <w:tblCellMar>
            <w:top w:w="0" w:type="dxa"/>
            <w:left w:w="0" w:type="dxa"/>
            <w:bottom w:w="0" w:type="dxa"/>
            <w:right w:w="0"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凿除钢筋砼</w:t>
            </w:r>
          </w:p>
        </w:tc>
        <w:tc>
          <w:tcPr>
            <w:tcW w:w="1035"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150</w:t>
            </w:r>
          </w:p>
        </w:tc>
        <w:tc>
          <w:tcPr>
            <w:tcW w:w="9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拦标价：200元/m3。包括凿除、装车、外排等涉及的全部工序及人工费、机械费、材料费、措施费、不可竞争费、税金、水电费等全部费用。</w:t>
            </w:r>
          </w:p>
        </w:tc>
      </w:tr>
      <w:tr>
        <w:tblPrEx>
          <w:tblCellMar>
            <w:top w:w="0" w:type="dxa"/>
            <w:left w:w="0" w:type="dxa"/>
            <w:bottom w:w="0" w:type="dxa"/>
            <w:right w:w="0"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级配碎石、碎石垫层</w:t>
            </w:r>
          </w:p>
        </w:tc>
        <w:tc>
          <w:tcPr>
            <w:tcW w:w="1035"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9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拦标价：400元/m3。包括卸车、运输、倒运、铺设、夯实等涉及的全部工序及人工费、机械费、材料费、措施费、不可竞争费、税金、水电费等全部费用。</w:t>
            </w:r>
          </w:p>
        </w:tc>
      </w:tr>
      <w:tr>
        <w:tblPrEx>
          <w:tblCellMar>
            <w:top w:w="0" w:type="dxa"/>
            <w:left w:w="0" w:type="dxa"/>
            <w:bottom w:w="0" w:type="dxa"/>
            <w:right w:w="0"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5</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砼浇筑</w:t>
            </w:r>
          </w:p>
        </w:tc>
        <w:tc>
          <w:tcPr>
            <w:tcW w:w="1035"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680</w:t>
            </w:r>
          </w:p>
        </w:tc>
        <w:tc>
          <w:tcPr>
            <w:tcW w:w="9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拦标价：980元/m3。包括卸车、运输、倒运、脚手架、支模、对拉丝、浇筑、养生等等涉及的全部工序及人工费、机械费、材料费、措施费、不可竞争费、税金、水电费等全部费用。</w:t>
            </w:r>
          </w:p>
        </w:tc>
      </w:tr>
      <w:tr>
        <w:tblPrEx>
          <w:tblCellMar>
            <w:top w:w="0" w:type="dxa"/>
            <w:left w:w="0" w:type="dxa"/>
            <w:bottom w:w="0" w:type="dxa"/>
            <w:right w:w="0"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钢筋制安</w:t>
            </w:r>
          </w:p>
        </w:tc>
        <w:tc>
          <w:tcPr>
            <w:tcW w:w="1035"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39</w:t>
            </w:r>
          </w:p>
        </w:tc>
        <w:tc>
          <w:tcPr>
            <w:tcW w:w="9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拦标价：1500元/t。包括卸车、运输、倒运、制作、安装等涉及的全部工序及人工费、机械费、材料费（不包含钢筋主材费用）、措施费、不可竞争费、税金、水电费等全部费用。</w:t>
            </w:r>
          </w:p>
        </w:tc>
      </w:tr>
      <w:tr>
        <w:tblPrEx>
          <w:tblCellMar>
            <w:top w:w="0" w:type="dxa"/>
            <w:left w:w="0" w:type="dxa"/>
            <w:bottom w:w="0" w:type="dxa"/>
            <w:right w:w="0"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7</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埋件、预埋螺栓制安</w:t>
            </w:r>
          </w:p>
        </w:tc>
        <w:tc>
          <w:tcPr>
            <w:tcW w:w="1035"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9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拦标价：12000元/t。包括卸车、运输、倒运、制作、安装、植筋等涉及的全部工序及人工费、机械费、材料费、措施费、不可竞争费、税金、水电费等全部费用。</w:t>
            </w:r>
          </w:p>
        </w:tc>
      </w:tr>
      <w:tr>
        <w:tblPrEx>
          <w:tblCellMar>
            <w:top w:w="0" w:type="dxa"/>
            <w:left w:w="0" w:type="dxa"/>
            <w:bottom w:w="0" w:type="dxa"/>
            <w:right w:w="0"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8</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优惠率（不包含材料费）</w:t>
            </w:r>
          </w:p>
        </w:tc>
        <w:tc>
          <w:tcPr>
            <w:tcW w:w="1035"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w:t>
            </w:r>
          </w:p>
        </w:tc>
        <w:tc>
          <w:tcPr>
            <w:tcW w:w="9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暂估金额50000元</w:t>
            </w:r>
          </w:p>
        </w:tc>
        <w:tc>
          <w:tcPr>
            <w:tcW w:w="9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532887698"/>
      <w:bookmarkStart w:id="1" w:name="_Toc15291886"/>
      <w:bookmarkStart w:id="2" w:name="_Toc15231775"/>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603556D"/>
    <w:rsid w:val="083D3F56"/>
    <w:rsid w:val="08806402"/>
    <w:rsid w:val="08CA7F4E"/>
    <w:rsid w:val="0A047221"/>
    <w:rsid w:val="0A0901C8"/>
    <w:rsid w:val="0DFC1491"/>
    <w:rsid w:val="0E4F2C23"/>
    <w:rsid w:val="0F454D3F"/>
    <w:rsid w:val="104501EF"/>
    <w:rsid w:val="121B22D6"/>
    <w:rsid w:val="133E6E16"/>
    <w:rsid w:val="14197C48"/>
    <w:rsid w:val="1A33768E"/>
    <w:rsid w:val="1AD12B7E"/>
    <w:rsid w:val="1C7E1688"/>
    <w:rsid w:val="1C8160E7"/>
    <w:rsid w:val="1CAB7BE0"/>
    <w:rsid w:val="1DC136C9"/>
    <w:rsid w:val="214D2E1E"/>
    <w:rsid w:val="21D2437C"/>
    <w:rsid w:val="21F73AF2"/>
    <w:rsid w:val="235C546A"/>
    <w:rsid w:val="23883F50"/>
    <w:rsid w:val="24C93CD8"/>
    <w:rsid w:val="24E835CF"/>
    <w:rsid w:val="27B106C3"/>
    <w:rsid w:val="282A37D0"/>
    <w:rsid w:val="28754C22"/>
    <w:rsid w:val="29AB06DF"/>
    <w:rsid w:val="29EF4459"/>
    <w:rsid w:val="2A62363C"/>
    <w:rsid w:val="2AFF2879"/>
    <w:rsid w:val="2FFE36B1"/>
    <w:rsid w:val="310A5319"/>
    <w:rsid w:val="326329B3"/>
    <w:rsid w:val="34481C4C"/>
    <w:rsid w:val="364C51F0"/>
    <w:rsid w:val="37CA36AB"/>
    <w:rsid w:val="386D04A2"/>
    <w:rsid w:val="3A9E2574"/>
    <w:rsid w:val="3B9F0063"/>
    <w:rsid w:val="3C062CAD"/>
    <w:rsid w:val="3D5977E3"/>
    <w:rsid w:val="400A7CF7"/>
    <w:rsid w:val="42B5472A"/>
    <w:rsid w:val="467B56CD"/>
    <w:rsid w:val="47807B49"/>
    <w:rsid w:val="48C50CE0"/>
    <w:rsid w:val="49806F97"/>
    <w:rsid w:val="4A1D777A"/>
    <w:rsid w:val="4BEB70CE"/>
    <w:rsid w:val="4C2439BA"/>
    <w:rsid w:val="4C6D4D7D"/>
    <w:rsid w:val="4C6F1F1E"/>
    <w:rsid w:val="4EF83610"/>
    <w:rsid w:val="4FC1072C"/>
    <w:rsid w:val="51C85998"/>
    <w:rsid w:val="526A207D"/>
    <w:rsid w:val="53966193"/>
    <w:rsid w:val="54390E30"/>
    <w:rsid w:val="54DA0463"/>
    <w:rsid w:val="558D3BDC"/>
    <w:rsid w:val="56F435CB"/>
    <w:rsid w:val="57181B7C"/>
    <w:rsid w:val="5760446A"/>
    <w:rsid w:val="579A163B"/>
    <w:rsid w:val="58251DDC"/>
    <w:rsid w:val="5953468B"/>
    <w:rsid w:val="59A06F0E"/>
    <w:rsid w:val="5ACF5D45"/>
    <w:rsid w:val="5D634D0C"/>
    <w:rsid w:val="5E513B46"/>
    <w:rsid w:val="5F533CAB"/>
    <w:rsid w:val="66296C1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9</TotalTime>
  <ScaleCrop>false</ScaleCrop>
  <LinksUpToDate>false</LinksUpToDate>
  <CharactersWithSpaces>11263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2021-09-17T08:01:06Z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9C715AAECA884F55A9461866D6FA45E2</vt:lpwstr>
  </property>
</Properties>
</file>