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综合料场西毗屋地面通道工程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9</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24</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8011ZSSZTJGC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中水水质提升土建工程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09</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9</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综合料场西毗屋地面通道工程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综合料场西毗屋地面通道工程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综合料场西毗屋地面通道工程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10</w:t>
      </w:r>
      <w:r>
        <w:rPr>
          <w:rFonts w:hint="eastAsia" w:ascii="宋体" w:hAnsi="宋体" w:cs="宋体"/>
          <w:bCs/>
          <w:color w:val="FF0000"/>
          <w:kern w:val="36"/>
        </w:rPr>
        <w:t>月</w:t>
      </w:r>
      <w:r>
        <w:rPr>
          <w:rFonts w:hint="eastAsia" w:ascii="宋体" w:hAnsi="宋体" w:cs="宋体"/>
          <w:bCs/>
          <w:color w:val="FF0000"/>
          <w:kern w:val="36"/>
          <w:u w:val="single"/>
          <w:lang w:val="en-US" w:eastAsia="zh-CN"/>
        </w:rPr>
        <w:t>07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包含综合料场西毗屋3个地面通道改造施工。</w:t>
      </w:r>
      <w:r>
        <w:rPr>
          <w:rFonts w:hint="eastAsia" w:ascii="宋体" w:hAnsi="宋体"/>
          <w:lang w:eastAsia="zh-CN"/>
        </w:rPr>
        <w:t>工作量：</w:t>
      </w:r>
      <w:r>
        <w:rPr>
          <w:rFonts w:hint="eastAsia" w:ascii="宋体" w:hAnsi="宋体"/>
          <w:lang w:val="en-US" w:eastAsia="zh-CN"/>
        </w:rPr>
        <w:t>土方开挖约370m3，土方回填约160m3，凿除钢筋砼约30m3，砼浇筑约430m3，钢筋制安约70t，钢结构制安约67t，栓钉安装约310套，锚爪制安约6000个</w:t>
      </w:r>
      <w:r>
        <w:rPr>
          <w:rFonts w:hint="eastAsia" w:ascii="宋体" w:hAnsi="宋体"/>
          <w:lang w:eastAsia="zh-CN"/>
        </w:rPr>
        <w:t>等工作量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bCs/>
          <w:kern w:val="36"/>
        </w:rPr>
      </w:pPr>
      <w:r>
        <w:rPr>
          <w:rFonts w:hint="eastAsia"/>
          <w:bCs/>
          <w:kern w:val="36"/>
        </w:rPr>
        <w:t>开工日期：2021年</w:t>
      </w:r>
      <w:r>
        <w:rPr>
          <w:rFonts w:hint="eastAsia"/>
          <w:bCs/>
          <w:kern w:val="36"/>
          <w:lang w:val="en-US" w:eastAsia="zh-CN"/>
        </w:rPr>
        <w:t>10</w:t>
      </w:r>
      <w:r>
        <w:rPr>
          <w:rFonts w:hint="eastAsia"/>
          <w:bCs/>
          <w:kern w:val="36"/>
        </w:rPr>
        <w:t>月</w:t>
      </w:r>
      <w:r>
        <w:rPr>
          <w:rFonts w:hint="eastAsia"/>
          <w:bCs/>
          <w:kern w:val="36"/>
          <w:lang w:val="en-US" w:eastAsia="zh-CN"/>
        </w:rPr>
        <w:t>15</w:t>
      </w:r>
      <w:r>
        <w:rPr>
          <w:rFonts w:hint="eastAsia"/>
          <w:bCs/>
          <w:kern w:val="36"/>
        </w:rPr>
        <w:t xml:space="preserve">日（暂定）                                          </w:t>
      </w:r>
    </w:p>
    <w:p>
      <w:pPr>
        <w:spacing w:line="360" w:lineRule="exact"/>
        <w:rPr>
          <w:rFonts w:hint="eastAsia"/>
          <w:bCs/>
          <w:kern w:val="36"/>
        </w:rPr>
      </w:pPr>
      <w:r>
        <w:rPr>
          <w:rFonts w:hint="eastAsia"/>
          <w:bCs/>
          <w:kern w:val="36"/>
        </w:rPr>
        <w:t>竣工日期：202</w:t>
      </w:r>
      <w:r>
        <w:rPr>
          <w:rFonts w:hint="eastAsia"/>
          <w:bCs/>
          <w:kern w:val="36"/>
          <w:lang w:val="en-US" w:eastAsia="zh-CN"/>
        </w:rPr>
        <w:t>2</w:t>
      </w:r>
      <w:r>
        <w:rPr>
          <w:rFonts w:hint="eastAsia"/>
          <w:bCs/>
          <w:kern w:val="36"/>
        </w:rPr>
        <w:t>年</w:t>
      </w:r>
      <w:r>
        <w:rPr>
          <w:rFonts w:hint="eastAsia"/>
          <w:bCs/>
          <w:kern w:val="36"/>
          <w:lang w:val="en-US" w:eastAsia="zh-CN"/>
        </w:rPr>
        <w:t>01</w:t>
      </w:r>
      <w:r>
        <w:rPr>
          <w:rFonts w:hint="eastAsia"/>
          <w:bCs/>
          <w:kern w:val="36"/>
        </w:rPr>
        <w:t>月</w:t>
      </w:r>
      <w:r>
        <w:rPr>
          <w:rFonts w:hint="eastAsia"/>
          <w:bCs/>
          <w:kern w:val="36"/>
          <w:lang w:val="en-US" w:eastAsia="zh-CN"/>
        </w:rPr>
        <w:t>13</w:t>
      </w:r>
      <w:r>
        <w:rPr>
          <w:rFonts w:hint="eastAsia"/>
          <w:bCs/>
          <w:kern w:val="36"/>
        </w:rPr>
        <w:t xml:space="preserve">日                                              </w:t>
      </w:r>
    </w:p>
    <w:p>
      <w:pPr>
        <w:spacing w:line="360" w:lineRule="exact"/>
        <w:rPr>
          <w:rFonts w:hint="eastAsia"/>
          <w:bCs/>
          <w:kern w:val="36"/>
        </w:rPr>
      </w:pPr>
      <w:r>
        <w:rPr>
          <w:rFonts w:hint="eastAsia"/>
          <w:bCs/>
          <w:kern w:val="36"/>
        </w:rPr>
        <w:t>合同工期总日历天数</w:t>
      </w:r>
      <w:r>
        <w:rPr>
          <w:rFonts w:hint="eastAsia"/>
          <w:bCs/>
          <w:kern w:val="36"/>
          <w:lang w:val="en-US" w:eastAsia="zh-CN"/>
        </w:rPr>
        <w:t>90</w:t>
      </w:r>
      <w:r>
        <w:rPr>
          <w:rFonts w:hint="eastAsia"/>
          <w:bCs/>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钢筋由发包人提供，其他所有材料由承包人提供</w:t>
      </w:r>
      <w:r>
        <w:rPr>
          <w:rFonts w:hint="eastAsia" w:asciiTheme="minorHAnsi" w:hAnsiTheme="minorHAnsi" w:eastAsiaTheme="minorEastAsia" w:cstheme="minorBidi"/>
          <w:bCs/>
          <w:kern w:val="36"/>
          <w:sz w:val="21"/>
          <w:szCs w:val="21"/>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w:t>
      </w:r>
      <w:r>
        <w:rPr>
          <w:rFonts w:hint="eastAsia" w:asciiTheme="minorHAnsi" w:hAnsiTheme="minorHAnsi" w:eastAsiaTheme="minorEastAsia" w:cstheme="minorBidi"/>
          <w:bCs/>
          <w:color w:val="FF0000"/>
          <w:kern w:val="36"/>
          <w:sz w:val="21"/>
          <w:szCs w:val="21"/>
          <w:lang w:val="en-US" w:eastAsia="zh-CN" w:bidi="ar-SA"/>
        </w:rPr>
        <w:t>2021年第8期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芜湖市市场信息价为基准，芜湖市市场信息价没有的以合肥市市场信息价为基准，若施工期间材料单价涨跌幅超过</w:t>
      </w:r>
      <w:r>
        <w:rPr>
          <w:rFonts w:hint="eastAsia" w:asciiTheme="minorHAnsi" w:hAnsiTheme="minorHAnsi" w:eastAsiaTheme="minorEastAsia" w:cstheme="minorBidi"/>
          <w:bCs/>
          <w:color w:val="FF0000"/>
          <w:kern w:val="36"/>
          <w:sz w:val="21"/>
          <w:szCs w:val="21"/>
          <w:lang w:val="en-US" w:eastAsia="zh-CN" w:bidi="ar-SA"/>
        </w:rPr>
        <w:t>±5%时</w:t>
      </w:r>
      <w:r>
        <w:rPr>
          <w:rFonts w:hint="eastAsia" w:asciiTheme="minorHAnsi" w:hAnsiTheme="minorHAnsi" w:eastAsiaTheme="minorEastAsia" w:cstheme="minorBidi"/>
          <w:bCs/>
          <w:kern w:val="36"/>
          <w:sz w:val="21"/>
          <w:szCs w:val="21"/>
          <w:lang w:val="en-US" w:eastAsia="zh-CN" w:bidi="ar-SA"/>
        </w:rPr>
        <w:t>，其超过部分据实调整钢材价格，芜湖和合肥市场信息价查询不到的不予调整。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spacing w:beforeLines="50" w:afterLines="50" w:line="360" w:lineRule="exact"/>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12.发包人在指定位置提供施工电源及水源，之外部分承包人自行承担，现场施工水电费结算时按合同总价的７‰扣除或装表据实扣除。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w:t>
      </w:r>
      <w:bookmarkStart w:id="3" w:name="_GoBack"/>
      <w:bookmarkEnd w:id="3"/>
      <w:r>
        <w:rPr>
          <w:rFonts w:hint="eastAsia" w:ascii="宋体" w:hAnsi="宋体"/>
          <w:bCs/>
        </w:rPr>
        <w:t>。项目部的设置和施工人员的组成应有详细说明。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rPr>
          <w:rFonts w:hint="eastAsia" w:ascii="宋体" w:hAnsi="宋体" w:cs="宋体"/>
        </w:rPr>
      </w:pP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lang w:eastAsia="zh-CN"/>
        </w:rPr>
        <w:t>综合料场西毗屋地面通道工程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825" w:type="pct"/>
        <w:tblInd w:w="0" w:type="dxa"/>
        <w:tblLayout w:type="fixed"/>
        <w:tblCellMar>
          <w:top w:w="0" w:type="dxa"/>
          <w:left w:w="108" w:type="dxa"/>
          <w:bottom w:w="0" w:type="dxa"/>
          <w:right w:w="108" w:type="dxa"/>
        </w:tblCellMar>
      </w:tblPr>
      <w:tblGrid>
        <w:gridCol w:w="629"/>
        <w:gridCol w:w="1370"/>
        <w:gridCol w:w="753"/>
        <w:gridCol w:w="679"/>
        <w:gridCol w:w="1594"/>
        <w:gridCol w:w="6361"/>
      </w:tblGrid>
      <w:tr>
        <w:tblPrEx>
          <w:tblCellMar>
            <w:top w:w="0" w:type="dxa"/>
            <w:left w:w="108" w:type="dxa"/>
            <w:bottom w:w="0" w:type="dxa"/>
            <w:right w:w="108" w:type="dxa"/>
          </w:tblCellMar>
        </w:tblPrEx>
        <w:trPr>
          <w:trHeight w:val="536" w:hRule="atLeast"/>
        </w:trPr>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60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33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29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79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1</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土方开挖</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370</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2</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18"/>
                <w:szCs w:val="18"/>
                <w:u w:val="none"/>
                <w:lang w:val="en-US" w:eastAsia="zh-CN" w:bidi="ar"/>
              </w:rPr>
              <w:t>土方回填</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3</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凿除钢筋砼</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砼浇筑</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24"/>
                <w:szCs w:val="24"/>
                <w:u w:val="none"/>
                <w:vertAlign w:val="baseli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430</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包括卸车、运输、倒运、脚手架、支模、对拉丝、浇筑、养生等全部工序涉及的人工费、机械费、材料费、措施费、不可竞争费、税金、水电费等全部费用。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sz w:val="22"/>
                <w:szCs w:val="22"/>
                <w:lang w:val="en-US" w:eastAsia="zh-CN"/>
              </w:rPr>
            </w:pPr>
            <w:r>
              <w:rPr>
                <w:rFonts w:hint="eastAsia" w:ascii="宋体" w:hAnsi="宋体" w:cs="宋体"/>
                <w:i w:val="0"/>
                <w:color w:val="000000"/>
                <w:kern w:val="0"/>
                <w:sz w:val="20"/>
                <w:szCs w:val="20"/>
                <w:u w:val="none"/>
                <w:lang w:val="en-US" w:eastAsia="zh-CN" w:bidi="ar"/>
              </w:rPr>
              <w:t>5</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24"/>
                <w:szCs w:val="24"/>
                <w:u w:val="none"/>
                <w:vertAlign w:val="baseline"/>
                <w:lang w:val="en-US" w:eastAsia="zh-CN" w:bidi="ar"/>
              </w:rPr>
            </w:pPr>
            <w:r>
              <w:rPr>
                <w:rFonts w:hint="eastAsia" w:ascii="宋体" w:hAnsi="宋体" w:cs="宋体"/>
                <w:i w:val="0"/>
                <w:color w:val="000000"/>
                <w:kern w:val="0"/>
                <w:sz w:val="24"/>
                <w:szCs w:val="24"/>
                <w:u w:val="none"/>
                <w:vertAlign w:val="baseline"/>
                <w:lang w:val="en-US" w:eastAsia="zh-CN" w:bidi="ar"/>
              </w:rPr>
              <w:t>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t</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6</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钢结构制安</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4"/>
                <w:szCs w:val="24"/>
                <w:u w:val="none"/>
                <w:vertAlign w:val="baseline"/>
                <w:lang w:val="en-US" w:eastAsia="zh-CN" w:bidi="ar"/>
              </w:rPr>
              <w:t>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67</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t</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包括所有钢构卸车、运输、倒运、制作、安装、除锈、刷漆等涉及的全部工序及人工费、机械费、材料费、措施费、不可竞争费、税金、水电费等全部费用。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7</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栓钉安装</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24"/>
                <w:szCs w:val="24"/>
                <w:lang w:val="en-US" w:eastAsia="zh-CN"/>
              </w:rPr>
            </w:pPr>
            <w:r>
              <w:rPr>
                <w:rFonts w:hint="eastAsia" w:ascii="宋体" w:hAnsi="宋体" w:eastAsia="宋体" w:cs="宋体"/>
                <w:i w:val="0"/>
                <w:color w:val="000000"/>
                <w:kern w:val="0"/>
                <w:sz w:val="24"/>
                <w:szCs w:val="24"/>
                <w:u w:val="none"/>
                <w:lang w:val="en-US" w:eastAsia="zh-CN" w:bidi="ar"/>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310</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套</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8</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锚爪制安</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4"/>
                <w:szCs w:val="24"/>
                <w:u w:val="none"/>
                <w:vertAlign w:val="baseline"/>
                <w:lang w:val="en-US" w:eastAsia="zh-CN" w:bidi="ar"/>
              </w:rPr>
              <w:t>个</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6000</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个</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9</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施工缝保护墙砌筑</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24"/>
                <w:szCs w:val="24"/>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color w:val="000000"/>
                <w:sz w:val="22"/>
                <w:szCs w:val="22"/>
                <w:vertAlign w:val="superscript"/>
                <w:lang w:val="en-US"/>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包括卸车、运输、倒运、砌筑等涉及的全部工序及人工费、机械费、材料费、措施费、不可竞争费、税金、水电费等全部费用。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color w:val="000000"/>
                <w:kern w:val="0"/>
                <w:sz w:val="22"/>
                <w:szCs w:val="22"/>
              </w:rPr>
            </w:pPr>
            <w:r>
              <w:rPr>
                <w:rFonts w:hint="eastAsia" w:ascii="宋体" w:hAnsi="宋体" w:cs="宋体"/>
                <w:i w:val="0"/>
                <w:color w:val="000000"/>
                <w:kern w:val="0"/>
                <w:sz w:val="20"/>
                <w:szCs w:val="20"/>
                <w:u w:val="none"/>
                <w:lang w:val="en-US" w:eastAsia="zh-CN" w:bidi="ar"/>
              </w:rPr>
              <w:t>10</w:t>
            </w:r>
          </w:p>
        </w:tc>
        <w:tc>
          <w:tcPr>
            <w:tcW w:w="6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21"/>
                <w:szCs w:val="21"/>
              </w:rPr>
            </w:pPr>
            <w:r>
              <w:rPr>
                <w:rFonts w:hint="eastAsia" w:ascii="宋体" w:hAnsi="宋体" w:eastAsia="宋体" w:cs="宋体"/>
                <w:i w:val="0"/>
                <w:iCs w:val="0"/>
                <w:color w:val="000000"/>
                <w:kern w:val="0"/>
                <w:sz w:val="20"/>
                <w:szCs w:val="20"/>
                <w:u w:val="none"/>
                <w:lang w:val="en-US" w:eastAsia="zh-CN" w:bidi="ar"/>
              </w:rPr>
              <w:t>施工缝</w:t>
            </w:r>
          </w:p>
        </w:tc>
        <w:tc>
          <w:tcPr>
            <w:tcW w:w="3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4"/>
                <w:szCs w:val="24"/>
                <w:u w:val="none"/>
                <w:lang w:val="en-US" w:eastAsia="zh-CN" w:bidi="ar"/>
              </w:rPr>
              <w:t>m</w:t>
            </w:r>
          </w:p>
        </w:tc>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77</w:t>
            </w:r>
          </w:p>
        </w:tc>
        <w:tc>
          <w:tcPr>
            <w:tcW w:w="700"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22"/>
                <w:szCs w:val="22"/>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p>
        </w:tc>
        <w:tc>
          <w:tcPr>
            <w:tcW w:w="2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包括卸车、运输、倒运、镀锌钢板止水带安装、油膏沥青麻丝等涉及的全部工序及人工费、机械费、材料费、措施费、不可竞争费、税金、水电费等全部费用。</w:t>
            </w:r>
          </w:p>
        </w:tc>
      </w:tr>
      <w:tr>
        <w:tblPrEx>
          <w:tblCellMar>
            <w:top w:w="0" w:type="dxa"/>
            <w:left w:w="108" w:type="dxa"/>
            <w:bottom w:w="0" w:type="dxa"/>
            <w:right w:w="108" w:type="dxa"/>
          </w:tblCellMar>
        </w:tblPrEx>
        <w:trPr>
          <w:trHeight w:val="632"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972" w:hRule="atLeast"/>
        </w:trPr>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01" w:type="pct"/>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628"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暂估金额</w:t>
            </w:r>
            <w:r>
              <w:rPr>
                <w:rFonts w:hint="eastAsia" w:ascii="宋体" w:hAnsi="宋体" w:cs="宋体"/>
                <w:i w:val="0"/>
                <w:color w:val="auto"/>
                <w:kern w:val="0"/>
                <w:sz w:val="20"/>
                <w:szCs w:val="20"/>
                <w:u w:val="single"/>
                <w:lang w:val="en-US" w:eastAsia="zh-CN" w:bidi="ar"/>
              </w:rPr>
              <w:t>20</w:t>
            </w:r>
            <w:r>
              <w:rPr>
                <w:rFonts w:hint="eastAsia" w:ascii="宋体" w:hAnsi="宋体" w:eastAsia="宋体" w:cs="宋体"/>
                <w:i w:val="0"/>
                <w:color w:val="auto"/>
                <w:kern w:val="0"/>
                <w:sz w:val="20"/>
                <w:szCs w:val="20"/>
                <w:u w:val="single"/>
                <w:lang w:val="en-US" w:eastAsia="zh-CN" w:bidi="ar"/>
              </w:rPr>
              <w:t>000</w:t>
            </w:r>
            <w:r>
              <w:rPr>
                <w:rFonts w:hint="eastAsia" w:ascii="宋体" w:hAnsi="宋体" w:eastAsia="宋体" w:cs="宋体"/>
                <w:i w:val="0"/>
                <w:color w:val="auto"/>
                <w:kern w:val="0"/>
                <w:sz w:val="20"/>
                <w:szCs w:val="20"/>
                <w:u w:val="none"/>
                <w:lang w:val="en-US" w:eastAsia="zh-CN" w:bidi="ar"/>
              </w:rPr>
              <w:t>元</w:t>
            </w:r>
          </w:p>
        </w:tc>
        <w:tc>
          <w:tcPr>
            <w:tcW w:w="7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优惠 </w:t>
            </w:r>
            <w:r>
              <w:rPr>
                <w:rFonts w:hint="eastAsia" w:ascii="宋体" w:hAnsi="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279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ind w:left="-840" w:leftChars="-400" w:firstLine="840" w:firstLineChars="350"/>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spacing w:line="300" w:lineRule="auto"/>
        <w:rPr>
          <w:rFonts w:hint="eastAsia"/>
          <w:b/>
        </w:rPr>
      </w:pPr>
    </w:p>
    <w:p>
      <w:pPr>
        <w:pStyle w:val="2"/>
        <w:ind w:left="0" w:leftChars="0" w:firstLine="0" w:firstLineChars="0"/>
        <w:rPr>
          <w:rFonts w:hint="eastAsia"/>
          <w:b/>
        </w:rPr>
      </w:pPr>
    </w:p>
    <w:p>
      <w:pPr>
        <w:pStyle w:val="2"/>
        <w:ind w:left="0" w:leftChars="0" w:firstLine="0" w:firstLineChars="0"/>
        <w:rPr>
          <w:rFonts w:hint="eastAsia"/>
          <w:b/>
        </w:rPr>
      </w:pPr>
    </w:p>
    <w:p>
      <w:pPr>
        <w:pStyle w:val="2"/>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CDA2242"/>
    <w:rsid w:val="0DFC1491"/>
    <w:rsid w:val="1DC136C9"/>
    <w:rsid w:val="214D2E1E"/>
    <w:rsid w:val="21F73AF2"/>
    <w:rsid w:val="22574413"/>
    <w:rsid w:val="2362543B"/>
    <w:rsid w:val="23883F50"/>
    <w:rsid w:val="24C93CD8"/>
    <w:rsid w:val="24E835CF"/>
    <w:rsid w:val="282A37D0"/>
    <w:rsid w:val="326329B3"/>
    <w:rsid w:val="34481C4C"/>
    <w:rsid w:val="3E206435"/>
    <w:rsid w:val="47614EF9"/>
    <w:rsid w:val="492349FE"/>
    <w:rsid w:val="59A06F0E"/>
    <w:rsid w:val="5D882CE0"/>
    <w:rsid w:val="64A26E4D"/>
    <w:rsid w:val="66296C18"/>
    <w:rsid w:val="6903317D"/>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8</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2021-09-24T06:44:28Z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D1A0F34327A0413C96BBF0182386BB71</vt:lpwstr>
  </property>
</Properties>
</file>