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铁前事业部供料区域与高炉区域封闭安装工程项目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铁前部供料区域与高炉区域封闭安装工程项目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建筑</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铁前部供料区域与高炉区域封闭安装工程项目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val="en-US" w:eastAsia="zh-CN"/>
        </w:rPr>
        <w:t>供料区与高炉区彩钢板与不锈钢拉丝面板封闭，彩瓦拆除，钢柱、檩条、斜撑制安</w:t>
      </w:r>
      <w:r>
        <w:rPr>
          <w:rFonts w:hint="eastAsia" w:ascii="宋体" w:hAnsi="宋体"/>
          <w:color w:val="auto"/>
        </w:rPr>
        <w:t>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9</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18</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4</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钢材价格以2021年第8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bookmarkStart w:id="3" w:name="_GoBack"/>
      <w:bookmarkEnd w:id="3"/>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lang w:eastAsia="zh-CN"/>
        </w:rPr>
        <w:t>铁前部供料区域与高炉区域封闭安装工程</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444" w:tblpY="295"/>
        <w:tblOverlap w:val="never"/>
        <w:tblW w:w="13759" w:type="dxa"/>
        <w:tblInd w:w="0" w:type="dxa"/>
        <w:shd w:val="clear" w:color="auto" w:fill="auto"/>
        <w:tblLayout w:type="fixed"/>
        <w:tblCellMar>
          <w:top w:w="0" w:type="dxa"/>
          <w:left w:w="0" w:type="dxa"/>
          <w:bottom w:w="0" w:type="dxa"/>
          <w:right w:w="0" w:type="dxa"/>
        </w:tblCellMar>
      </w:tblPr>
      <w:tblGrid>
        <w:gridCol w:w="508"/>
        <w:gridCol w:w="1587"/>
        <w:gridCol w:w="600"/>
        <w:gridCol w:w="975"/>
        <w:gridCol w:w="1260"/>
        <w:gridCol w:w="8829"/>
      </w:tblGrid>
      <w:tr>
        <w:tblPrEx>
          <w:shd w:val="clear" w:color="auto" w:fill="auto"/>
          <w:tblCellMar>
            <w:top w:w="0" w:type="dxa"/>
            <w:left w:w="0" w:type="dxa"/>
            <w:bottom w:w="0" w:type="dxa"/>
            <w:right w:w="0" w:type="dxa"/>
          </w:tblCellMar>
        </w:tblPrEx>
        <w:trPr>
          <w:trHeight w:val="65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图号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彩钢板拆除</w:t>
            </w:r>
          </w:p>
        </w:tc>
        <w:tc>
          <w:tcPr>
            <w:tcW w:w="6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20180281.01J01、20180281.02J01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8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拦标价：9元/m2。包含彩钢板、采光瓦的拆除、运输（装车运至厂内指定位置）全部工序涉及的人工费、机械费、材料费、措施费、不可竞争费、税金、水电费等全部费用。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采光瓦安装</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8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拦标价：95元/m2。包括卸车、运输、倒运、安装等涉及的全部工序及人工费、机械费、材料费、措施费、不可竞争费、税金、水电费等全部费用。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采钢板安装</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8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拦标价：90元/m2。包括卸车、运输、倒运、安装等涉及的全部工序及人工费、机械费、材料费、措施费、不可竞争费、税金、水电费等全部费用。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钢结构制安</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13500元/t。包含钢柱、钢梁、系杆、檩条、撑杆、斜拉条、大门框架等所有钢结构制安，包括卸车、运输、倒运、制作、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拉丝不锈钢面板</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8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拦标价：270元/m2。包括卸车、运输、倒运、脚手架安装等涉及的全部工序及人工费、机械费、材料费、措施费、不可竞争费、税金、水电费等全部费用。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88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暂估金额20000元</w:t>
            </w:r>
          </w:p>
        </w:tc>
        <w:tc>
          <w:tcPr>
            <w:tcW w:w="8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197C48"/>
    <w:rsid w:val="1A33768E"/>
    <w:rsid w:val="1C7E1688"/>
    <w:rsid w:val="1C8160E7"/>
    <w:rsid w:val="1CAB7BE0"/>
    <w:rsid w:val="1CE2246B"/>
    <w:rsid w:val="1DC136C9"/>
    <w:rsid w:val="214D2E1E"/>
    <w:rsid w:val="21D2437C"/>
    <w:rsid w:val="21F73AF2"/>
    <w:rsid w:val="23883F50"/>
    <w:rsid w:val="24C93CD8"/>
    <w:rsid w:val="24E835CF"/>
    <w:rsid w:val="27B106C3"/>
    <w:rsid w:val="282A37D0"/>
    <w:rsid w:val="28754C22"/>
    <w:rsid w:val="29AB06DF"/>
    <w:rsid w:val="29EF4459"/>
    <w:rsid w:val="2A62363C"/>
    <w:rsid w:val="2AFF2879"/>
    <w:rsid w:val="2CA46661"/>
    <w:rsid w:val="2FFE36B1"/>
    <w:rsid w:val="310A5319"/>
    <w:rsid w:val="326329B3"/>
    <w:rsid w:val="34481C4C"/>
    <w:rsid w:val="364C51F0"/>
    <w:rsid w:val="37CA36AB"/>
    <w:rsid w:val="386D04A2"/>
    <w:rsid w:val="3A100A0A"/>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2021-09-29T08:19:52Z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