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公司应急救援中心土建工程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06YJZXTJTJGC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rPr>
        <w:t>公司应急救援中心土建工程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color w:val="FF0000"/>
          <w:sz w:val="24"/>
          <w:szCs w:val="24"/>
          <w:u w:val="none"/>
        </w:rPr>
      </w:pPr>
      <w:r>
        <w:rPr>
          <w:rFonts w:hint="eastAsia" w:ascii="宋体" w:hAnsi="宋体"/>
          <w:bCs/>
          <w:sz w:val="24"/>
          <w:szCs w:val="24"/>
        </w:rPr>
        <w:t>投标人须具有国家建设部门颁发的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工程施工总承包叁级及以上资质</w:t>
      </w:r>
      <w:r>
        <w:rPr>
          <w:rFonts w:hint="eastAsia" w:ascii="宋体" w:hAnsi="宋体"/>
          <w:bCs/>
          <w:color w:val="FF0000"/>
          <w:sz w:val="24"/>
          <w:szCs w:val="24"/>
          <w:u w:val="none"/>
          <w:lang w:eastAsia="zh-CN"/>
        </w:rPr>
        <w:t>，</w:t>
      </w:r>
      <w:r>
        <w:rPr>
          <w:rFonts w:hint="eastAsia" w:hAnsi="宋体"/>
          <w:color w:val="auto"/>
          <w:sz w:val="24"/>
          <w:szCs w:val="24"/>
          <w:u w:val="none"/>
        </w:rPr>
        <w:t>项目经理至少具有</w:t>
      </w:r>
      <w:r>
        <w:rPr>
          <w:rFonts w:hint="eastAsia" w:hAnsi="宋体"/>
          <w:color w:val="FF0000"/>
          <w:sz w:val="24"/>
          <w:szCs w:val="24"/>
          <w:u w:val="none"/>
          <w:lang w:val="en-US" w:eastAsia="zh-CN"/>
        </w:rPr>
        <w:t>建筑工程</w:t>
      </w:r>
      <w:r>
        <w:rPr>
          <w:rFonts w:hint="eastAsia" w:hAnsi="宋体"/>
          <w:color w:val="auto"/>
          <w:sz w:val="24"/>
          <w:szCs w:val="24"/>
          <w:u w:val="none"/>
          <w:lang w:val="en-US" w:eastAsia="zh-CN"/>
        </w:rPr>
        <w:t>专业</w:t>
      </w:r>
      <w:r>
        <w:rPr>
          <w:rFonts w:hint="eastAsia" w:hAnsi="宋体"/>
          <w:color w:val="FF0000"/>
          <w:sz w:val="24"/>
          <w:szCs w:val="24"/>
          <w:u w:val="none"/>
        </w:rPr>
        <w:t>二级</w:t>
      </w:r>
      <w:r>
        <w:rPr>
          <w:rFonts w:hint="eastAsia" w:hAnsi="宋体"/>
          <w:color w:val="auto"/>
          <w:sz w:val="24"/>
          <w:szCs w:val="24"/>
          <w:u w:val="none"/>
        </w:rPr>
        <w:t>建造师注册人员</w:t>
      </w:r>
      <w:r>
        <w:rPr>
          <w:rFonts w:hint="eastAsia" w:hAnsi="宋体"/>
          <w:color w:val="FF0000"/>
          <w:sz w:val="24"/>
          <w:szCs w:val="24"/>
          <w:u w:val="none"/>
        </w:rPr>
        <w:t>。</w:t>
      </w:r>
    </w:p>
    <w:p>
      <w:pPr>
        <w:pStyle w:val="2"/>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19</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w:t>
      </w:r>
      <w:r>
        <w:rPr>
          <w:rFonts w:hint="eastAsia" w:ascii="宋体" w:hAnsi="宋体"/>
          <w:bCs/>
          <w:color w:val="FF0000"/>
          <w:sz w:val="24"/>
          <w:szCs w:val="24"/>
          <w:lang w:val="en-US" w:eastAsia="zh-CN"/>
        </w:rPr>
        <w:t>0</w:t>
      </w:r>
      <w:r>
        <w:rPr>
          <w:rFonts w:hint="eastAsia" w:ascii="宋体" w:hAnsi="宋体"/>
          <w:bCs/>
          <w:sz w:val="24"/>
          <w:szCs w:val="24"/>
        </w:rPr>
        <w:t>月</w:t>
      </w:r>
      <w:r>
        <w:rPr>
          <w:rFonts w:hint="eastAsia" w:ascii="宋体" w:hAnsi="宋体"/>
          <w:bCs/>
          <w:color w:val="FF0000"/>
          <w:sz w:val="24"/>
          <w:szCs w:val="24"/>
          <w:lang w:val="en-US" w:eastAsia="zh-CN"/>
        </w:rPr>
        <w:t>26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rPr>
        <w:t>公司应急救援中心土建工程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15131563263</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rPr>
        <w:t>公司应急救援中心土建工程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rPr>
        <w:t>公司应急救援中心土建工程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壹万肆仟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r>
        <w:rPr>
          <w:rFonts w:hint="eastAsia" w:ascii="宋体" w:hAnsi="宋体" w:cs="宋体"/>
          <w:bCs/>
          <w:color w:val="FF0000"/>
          <w:kern w:val="36"/>
        </w:rPr>
        <w:t>月</w:t>
      </w:r>
      <w:r>
        <w:rPr>
          <w:rFonts w:hint="eastAsia" w:ascii="宋体" w:hAnsi="宋体" w:cs="宋体"/>
          <w:bCs/>
          <w:color w:val="FF0000"/>
          <w:kern w:val="36"/>
          <w:u w:val="single"/>
          <w:lang w:val="en-US" w:eastAsia="zh-CN"/>
        </w:rPr>
        <w:t>26</w:t>
      </w:r>
      <w:r>
        <w:rPr>
          <w:rFonts w:hint="eastAsia" w:ascii="宋体" w:hAnsi="宋体" w:cs="宋体"/>
          <w:bCs/>
          <w:color w:val="FF0000"/>
          <w:kern w:val="36"/>
        </w:rPr>
        <w:t>日</w:t>
      </w:r>
      <w:r>
        <w:rPr>
          <w:rFonts w:hint="eastAsia" w:ascii="宋体" w:hAnsi="宋体" w:cs="宋体"/>
          <w:bCs/>
          <w:color w:val="FF0000"/>
          <w:kern w:val="36"/>
          <w:u w:val="single"/>
          <w:lang w:val="en-US" w:eastAsia="zh-CN"/>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szCs w:val="21"/>
        </w:rPr>
      </w:pPr>
      <w:r>
        <w:rPr>
          <w:rFonts w:hint="eastAsia"/>
        </w:rPr>
        <w:t>施工具体内</w:t>
      </w:r>
      <w:r>
        <w:rPr>
          <w:rFonts w:hint="eastAsia"/>
          <w:szCs w:val="21"/>
        </w:rPr>
        <w:t>容详见发包人确认下发的图纸。</w:t>
      </w:r>
    </w:p>
    <w:p>
      <w:pPr>
        <w:pStyle w:val="2"/>
        <w:numPr>
          <w:ilvl w:val="0"/>
          <w:numId w:val="2"/>
        </w:numPr>
        <w:ind w:left="420" w:leftChars="0" w:hanging="420" w:firstLineChars="0"/>
        <w:rPr>
          <w:rFonts w:hint="default" w:asciiTheme="minorHAnsi" w:hAnsiTheme="minorHAnsi" w:eastAsiaTheme="minorEastAsia" w:cstheme="minorBidi"/>
          <w:kern w:val="2"/>
          <w:sz w:val="21"/>
          <w:szCs w:val="21"/>
          <w:lang w:val="en-US" w:eastAsia="zh-CN" w:bidi="ar-SA"/>
        </w:rPr>
      </w:pPr>
      <w:r>
        <w:rPr>
          <w:rFonts w:hint="eastAsia"/>
          <w:szCs w:val="21"/>
        </w:rPr>
        <w:t>工程概况和估算工作量：</w:t>
      </w:r>
      <w:r>
        <w:rPr>
          <w:rFonts w:hint="eastAsia"/>
          <w:szCs w:val="21"/>
          <w:lang w:val="en-US" w:eastAsia="zh-CN"/>
        </w:rPr>
        <w:t>包含</w:t>
      </w:r>
      <w:bookmarkStart w:id="3" w:name="_GoBack"/>
      <w:bookmarkEnd w:id="3"/>
      <w:r>
        <w:rPr>
          <w:rFonts w:hint="eastAsia" w:asciiTheme="minorHAnsi" w:hAnsiTheme="minorHAnsi" w:eastAsiaTheme="minorEastAsia" w:cstheme="minorBidi"/>
          <w:kern w:val="2"/>
          <w:sz w:val="21"/>
          <w:szCs w:val="21"/>
          <w:lang w:val="en-US" w:eastAsia="zh-CN" w:bidi="ar-SA"/>
        </w:rPr>
        <w:t>框架基础制作，梁、板、柱现浇，砖墙砌筑及刷涂料，墙砖、地砖铺设，吊顶，钢梯、栏杆、平台制安，门窗安装及电气照明等全部工程量</w:t>
      </w:r>
      <w:r>
        <w:rPr>
          <w:rFonts w:hint="eastAsia" w:cstheme="minorBidi"/>
          <w:kern w:val="2"/>
          <w:sz w:val="21"/>
          <w:szCs w:val="21"/>
          <w:lang w:val="en-US" w:eastAsia="zh-CN" w:bidi="ar-SA"/>
        </w:rPr>
        <w:t>。</w:t>
      </w:r>
    </w:p>
    <w:p>
      <w:pPr>
        <w:spacing w:line="360" w:lineRule="exact"/>
        <w:rPr>
          <w:rFonts w:ascii="宋体" w:hAnsi="宋体"/>
        </w:rPr>
      </w:pPr>
      <w:r>
        <w:rPr>
          <w:rFonts w:hint="eastAsia" w:ascii="宋体" w:hAnsi="宋体"/>
          <w:lang w:val="en-US" w:eastAsia="zh-CN"/>
        </w:rPr>
        <w:t>3</w:t>
      </w:r>
      <w:r>
        <w:rPr>
          <w:rFonts w:hint="eastAsia" w:ascii="宋体" w:hAnsi="宋体"/>
        </w:rPr>
        <w:t>.  投标有效期:90天。</w:t>
      </w:r>
    </w:p>
    <w:p>
      <w:pPr>
        <w:numPr>
          <w:ilvl w:val="0"/>
          <w:numId w:val="0"/>
        </w:numPr>
        <w:spacing w:line="360" w:lineRule="auto"/>
        <w:rPr>
          <w:rFonts w:hint="eastAsia" w:ascii="宋体" w:hAnsi="宋体"/>
          <w:b/>
        </w:rPr>
      </w:pPr>
      <w:r>
        <w:rPr>
          <w:rFonts w:hint="eastAsia" w:ascii="宋体" w:hAnsi="宋体"/>
          <w:b/>
        </w:rPr>
        <w:t>四、工期：</w:t>
      </w:r>
    </w:p>
    <w:p>
      <w:pPr>
        <w:spacing w:line="360" w:lineRule="exact"/>
        <w:rPr>
          <w:rFonts w:hint="eastAsia" w:ascii="宋体" w:hAnsi="宋体"/>
        </w:rPr>
      </w:pPr>
      <w:r>
        <w:rPr>
          <w:rFonts w:hint="eastAsia" w:ascii="宋体" w:hAnsi="宋体"/>
        </w:rPr>
        <w:t>开工日期： 2021-</w:t>
      </w:r>
      <w:r>
        <w:rPr>
          <w:rFonts w:hint="eastAsia" w:ascii="宋体" w:hAnsi="宋体"/>
          <w:lang w:val="en-US" w:eastAsia="zh-CN"/>
        </w:rPr>
        <w:t>11</w:t>
      </w:r>
      <w:r>
        <w:rPr>
          <w:rFonts w:hint="eastAsia" w:ascii="宋体" w:hAnsi="宋体"/>
        </w:rPr>
        <w:t>-</w:t>
      </w:r>
      <w:r>
        <w:rPr>
          <w:rFonts w:hint="eastAsia" w:ascii="宋体" w:hAnsi="宋体"/>
          <w:lang w:val="en-US" w:eastAsia="zh-CN"/>
        </w:rPr>
        <w:t>01</w:t>
      </w:r>
      <w:r>
        <w:rPr>
          <w:rFonts w:hint="eastAsia" w:ascii="宋体" w:hAnsi="宋体"/>
        </w:rPr>
        <w:t xml:space="preserve">            （暂定）                                          </w:t>
      </w:r>
    </w:p>
    <w:p>
      <w:pPr>
        <w:spacing w:line="360" w:lineRule="exact"/>
        <w:rPr>
          <w:rFonts w:hint="eastAsia" w:ascii="宋体" w:hAnsi="宋体"/>
        </w:rPr>
      </w:pPr>
      <w:r>
        <w:rPr>
          <w:rFonts w:hint="eastAsia" w:ascii="宋体" w:hAnsi="宋体"/>
        </w:rPr>
        <w:t>竣工日期： 2021-</w:t>
      </w:r>
      <w:r>
        <w:rPr>
          <w:rFonts w:hint="eastAsia" w:ascii="宋体" w:hAnsi="宋体"/>
          <w:lang w:val="en-US" w:eastAsia="zh-CN"/>
        </w:rPr>
        <w:t>12</w:t>
      </w:r>
      <w:r>
        <w:rPr>
          <w:rFonts w:hint="eastAsia" w:ascii="宋体" w:hAnsi="宋体"/>
        </w:rPr>
        <w:t>-</w:t>
      </w:r>
      <w:r>
        <w:rPr>
          <w:rFonts w:hint="eastAsia" w:ascii="宋体" w:hAnsi="宋体"/>
          <w:lang w:val="en-US" w:eastAsia="zh-CN"/>
        </w:rPr>
        <w:t>31</w:t>
      </w:r>
      <w:r>
        <w:rPr>
          <w:rFonts w:hint="eastAsia" w:ascii="宋体" w:hAnsi="宋体"/>
        </w:rPr>
        <w:t xml:space="preserve">                                                         </w:t>
      </w:r>
    </w:p>
    <w:p>
      <w:pPr>
        <w:spacing w:line="360" w:lineRule="exact"/>
        <w:rPr>
          <w:rFonts w:hint="eastAsia" w:ascii="宋体" w:hAnsi="宋体"/>
        </w:rPr>
      </w:pPr>
      <w:r>
        <w:rPr>
          <w:rFonts w:hint="eastAsia" w:ascii="宋体" w:hAnsi="宋体"/>
        </w:rPr>
        <w:t xml:space="preserve">合同工期总日历天数 </w:t>
      </w:r>
      <w:r>
        <w:rPr>
          <w:rFonts w:hint="eastAsia" w:ascii="宋体" w:hAnsi="宋体"/>
          <w:lang w:val="en-US" w:eastAsia="zh-CN"/>
        </w:rPr>
        <w:t>60</w:t>
      </w:r>
      <w:r>
        <w:rPr>
          <w:rFonts w:hint="eastAsia" w:ascii="宋体" w:hAnsi="宋体"/>
        </w:rPr>
        <w:t xml:space="preserve"> 天</w:t>
      </w:r>
      <w:r>
        <w:rPr>
          <w:rFonts w:hint="eastAsia" w:ascii="宋体" w:hAnsi="宋体"/>
          <w:lang w:val="en-US" w:eastAsia="zh-CN"/>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本工程结算执行《建设工程结算管理暂行办法》。</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该工程所有材料（除钢筋外）由承包人提供。承包人需优先领用发包人非标定尺和不成捆钢筋，若发包人不能及时提供所需材料，承包方上报自购证明报告，经发包人同意后可由承包人提供。</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单价包干部分材料价差除钢材和混凝土外不予调整。钢材和混凝土价格以2021年第9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宋体" w:hAnsi="宋体" w:cs="宋体" w:eastAsiaTheme="minorEastAsia"/>
          <w:kern w:val="36"/>
          <w:sz w:val="21"/>
          <w:szCs w:val="22"/>
          <w:lang w:val="en-US" w:eastAsia="zh-CN" w:bidi="ar-SA"/>
        </w:rPr>
        <w:t>发包人在指定位置提供施工电源及水源，之外部分承包人自行承担，现场施工水电费结算时按合同总价的7‰扣除或装表据实扣除。</w:t>
      </w:r>
    </w:p>
    <w:p>
      <w:pPr>
        <w:numPr>
          <w:ilvl w:val="0"/>
          <w:numId w:val="3"/>
        </w:numPr>
        <w:snapToGrid w:val="0"/>
        <w:spacing w:line="360" w:lineRule="auto"/>
        <w:ind w:left="420" w:leftChars="0" w:hanging="420"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企业信誉  （20分）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lang w:val="en-US"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ascii="宋体" w:hAnsi="宋体"/>
          <w:b/>
          <w:bCs/>
          <w:sz w:val="36"/>
          <w:szCs w:val="36"/>
          <w:u w:val="single"/>
        </w:rPr>
        <w:t xml:space="preserve"> 应急救援中心土建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601" w:tblpY="817"/>
        <w:tblOverlap w:val="never"/>
        <w:tblW w:w="5260" w:type="pct"/>
        <w:tblInd w:w="0" w:type="dxa"/>
        <w:tblLayout w:type="fixed"/>
        <w:tblCellMar>
          <w:top w:w="0" w:type="dxa"/>
          <w:left w:w="108" w:type="dxa"/>
          <w:bottom w:w="0" w:type="dxa"/>
          <w:right w:w="108" w:type="dxa"/>
        </w:tblCellMar>
      </w:tblPr>
      <w:tblGrid>
        <w:gridCol w:w="688"/>
        <w:gridCol w:w="1943"/>
        <w:gridCol w:w="834"/>
        <w:gridCol w:w="1002"/>
        <w:gridCol w:w="1293"/>
        <w:gridCol w:w="1622"/>
        <w:gridCol w:w="8605"/>
      </w:tblGrid>
      <w:tr>
        <w:tblPrEx>
          <w:tblCellMar>
            <w:top w:w="0" w:type="dxa"/>
            <w:left w:w="108" w:type="dxa"/>
            <w:bottom w:w="0" w:type="dxa"/>
            <w:right w:w="108" w:type="dxa"/>
          </w:tblCellMar>
        </w:tblPrEx>
        <w:trPr>
          <w:trHeight w:val="301" w:hRule="atLeast"/>
        </w:trPr>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9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8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10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工程量</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1"/>
                <w:szCs w:val="21"/>
                <w:u w:val="none"/>
                <w:lang w:val="en-US" w:eastAsia="zh-CN" w:bidi="ar"/>
              </w:rPr>
              <w:t>拦标价</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报价</w:t>
            </w:r>
          </w:p>
        </w:tc>
        <w:tc>
          <w:tcPr>
            <w:tcW w:w="8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34" w:hRule="atLeast"/>
        </w:trPr>
        <w:tc>
          <w:tcPr>
            <w:tcW w:w="1598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320" w:hRule="atLeast"/>
        </w:trPr>
        <w:tc>
          <w:tcPr>
            <w:tcW w:w="688"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地坪破除</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50</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200元/m3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包括凿除、装车、外排（外运5km）等全部工序及涉及的人工费、机械费、材料费、措施项目费、不可竞争费、税金、水电费等全部费用。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241" w:hRule="atLeast"/>
        </w:trPr>
        <w:tc>
          <w:tcPr>
            <w:tcW w:w="688"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开挖土方</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934</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37元/m3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包括开挖、装车、外排（外运5km）、人工清底等全部工序及涉及的人工费、机械费、材料费、措施项目费、不可竞争费、税金、水电费等全部费用。</w:t>
            </w:r>
          </w:p>
        </w:tc>
      </w:tr>
      <w:tr>
        <w:tblPrEx>
          <w:tblCellMar>
            <w:top w:w="0" w:type="dxa"/>
            <w:left w:w="108" w:type="dxa"/>
            <w:bottom w:w="0" w:type="dxa"/>
            <w:right w:w="108" w:type="dxa"/>
          </w:tblCellMar>
        </w:tblPrEx>
        <w:trPr>
          <w:trHeight w:val="132" w:hRule="atLeast"/>
        </w:trPr>
        <w:tc>
          <w:tcPr>
            <w:tcW w:w="688"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685</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34元/m3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包括装车、回运、回填、平整、夯实等全部工序及涉及的人工费、机械费、材料费、措施项目费、不可竞争费、税金、水电费等全部费用。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377"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u w:val="single"/>
              </w:rPr>
            </w:pPr>
            <w:r>
              <w:rPr>
                <w:rFonts w:hint="eastAsia" w:ascii="宋体" w:hAnsi="宋体" w:eastAsia="宋体" w:cs="宋体"/>
                <w:i w:val="0"/>
                <w:iCs w:val="0"/>
                <w:color w:val="000000"/>
                <w:kern w:val="0"/>
                <w:sz w:val="18"/>
                <w:szCs w:val="18"/>
                <w:u w:val="none"/>
                <w:lang w:val="en-US" w:eastAsia="zh-CN" w:bidi="ar"/>
              </w:rPr>
              <w:t>沙石垫层</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57</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400元/m3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192"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碎石垫层</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62</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380元/m3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277"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混凝土浇筑</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370</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1250元/m3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294"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片石垫层</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42</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360元/m3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砖墙拆除</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20</w:t>
            </w:r>
          </w:p>
        </w:tc>
        <w:tc>
          <w:tcPr>
            <w:tcW w:w="12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100元/m3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包括拆除、装车、外排（外运5km）等全部工序及涉及的人工费、机械费、材料费、措施项目费、不可竞争费、税金、水电费等全部费用。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砖砌筑</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180</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730元/m3</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包括卸车、运输、倒运、脚手架、砌筑等全部工序及涉及的人工费、机械费、材料费、措施费、不可竞争费、税金、水电费等全部费用。</w:t>
            </w:r>
          </w:p>
        </w:tc>
      </w:tr>
      <w:tr>
        <w:tblPrEx>
          <w:tblCellMar>
            <w:top w:w="0" w:type="dxa"/>
            <w:left w:w="108" w:type="dxa"/>
            <w:bottom w:w="0" w:type="dxa"/>
            <w:right w:w="108" w:type="dxa"/>
          </w:tblCellMar>
        </w:tblPrEx>
        <w:trPr>
          <w:trHeight w:val="18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内墙体表面杂物清理、刷漆</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770</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35元/m2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包括卸车、运输、倒运、杂物清理、粉刷涂料（两遍）等全部工序及涉及的人工费、机械费、材料费、措施费、不可竞争费、税金、水电费等全部费用。</w:t>
            </w:r>
          </w:p>
        </w:tc>
      </w:tr>
      <w:tr>
        <w:tblPrEx>
          <w:tblCellMar>
            <w:top w:w="0" w:type="dxa"/>
            <w:left w:w="108" w:type="dxa"/>
            <w:bottom w:w="0" w:type="dxa"/>
            <w:right w:w="108" w:type="dxa"/>
          </w:tblCellMar>
        </w:tblPrEx>
        <w:trPr>
          <w:trHeight w:val="18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外墙体刷涂料</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374</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包括卸车、运输、倒运、杂物清理、粉刷涂料（两遍）等全部工序及涉及的人工费、机械费、材料费、措施费、不可竞争费、税金、水电费等全部费用。</w:t>
            </w:r>
          </w:p>
        </w:tc>
      </w:tr>
      <w:tr>
        <w:tblPrEx>
          <w:tblCellMar>
            <w:top w:w="0" w:type="dxa"/>
            <w:left w:w="108" w:type="dxa"/>
            <w:bottom w:w="0" w:type="dxa"/>
            <w:right w:w="108" w:type="dxa"/>
          </w:tblCellMar>
        </w:tblPrEx>
        <w:trPr>
          <w:trHeight w:val="342"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抹水泥砂浆（不含屋面）</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2222</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包括预埋件、螺栓制安，包括卸车、运输、倒运、制作、安装等全部工序及涉及的人工费、机械费、材料费、措施费、不可竞争费、税金、水电费等全部费用。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钢筋制安</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t</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31</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1650元/t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277"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门窗安装</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260</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580元/m2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532"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地砖铺设</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包括卸车、运输、倒运、表面剔除、铺设地板砖等涉及的全部工序及人工费、机械费、材料费（不包含地板砖费用）、措施费、不可竞争费、税金、水电费等全部费用。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228"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墙砖铺贴</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包括卸车、运输、倒运、镶贴、勾缝等涉及的全部工序及人工费、机械费、材料费（不包含地板砖费用）、措施费、不可竞争费、税金、水电费等全部费用。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26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蘑菇石外墙面</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包括卸车、运输、倒运、镶贴、勾缝等涉及的全部工序及人工费、机械费、材料费（不包含地板砖费用）、措施费、不可竞争费、税金、水电费等全部费用。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546"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4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屋面防水</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231</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包括处理基面、卸车、倒运、运输、防水施工等涉及的全部工序及人工费、机械费、材料费、措施费、不可竞争费、税金、水电费等全部费用。</w:t>
            </w:r>
          </w:p>
        </w:tc>
      </w:tr>
      <w:tr>
        <w:tblPrEx>
          <w:tblCellMar>
            <w:top w:w="0" w:type="dxa"/>
            <w:left w:w="108" w:type="dxa"/>
            <w:bottom w:w="0" w:type="dxa"/>
            <w:right w:w="108" w:type="dxa"/>
          </w:tblCellMar>
        </w:tblPrEx>
        <w:trPr>
          <w:trHeight w:val="175"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环氧地坪</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8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顶棚刷漆</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包括卸车、运输、倒运、表面剔除、刮腻子及粉刷乳胶漆等涉及的全部工序及人工费、机械费、材料费、措施费、不可竞争费、税金、水电费等全部费用。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15000元/t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包含钢柱、平台、钢梯、栏杆、埋件、螺栓等所有钢结构，包括卸车、运输、倒运、制作、安装等全部工序及涉及的人工费、机械费、材料费、措施费、不可竞争费、税金、水电费等全部费用。</w:t>
            </w:r>
          </w:p>
        </w:tc>
      </w:tr>
      <w:tr>
        <w:tblPrEx>
          <w:tblCellMar>
            <w:top w:w="0" w:type="dxa"/>
            <w:left w:w="108" w:type="dxa"/>
            <w:bottom w:w="0" w:type="dxa"/>
            <w:right w:w="108" w:type="dxa"/>
          </w:tblCellMar>
        </w:tblPrEx>
        <w:trPr>
          <w:trHeight w:val="94"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钢结构保护性拆除</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1000元/t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包含车棚保护性拆除、运输、倒运等涉及的全部工序及人工费、机械费、材料费、措施费、不可竞争费、税金、水电费等全部费用。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248"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利旧钢结构安装</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9500元/t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包含利旧车棚钢构运输、倒运、安装、补刷漆等涉及的全部工序及人工费、机械费、材料费、措施费、不可竞争费、税金、水电费等全部费用。</w:t>
            </w:r>
          </w:p>
        </w:tc>
      </w:tr>
      <w:tr>
        <w:tblPrEx>
          <w:tblCellMar>
            <w:top w:w="0" w:type="dxa"/>
            <w:left w:w="108" w:type="dxa"/>
            <w:bottom w:w="0" w:type="dxa"/>
            <w:right w:w="108" w:type="dxa"/>
          </w:tblCellMar>
        </w:tblPrEx>
        <w:trPr>
          <w:trHeight w:val="185"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复合板隔板</w:t>
            </w:r>
          </w:p>
        </w:tc>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8.5</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100元/m2</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61" w:hRule="atLeast"/>
        </w:trPr>
        <w:tc>
          <w:tcPr>
            <w:tcW w:w="1598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383" w:hRule="atLeast"/>
        </w:trPr>
        <w:tc>
          <w:tcPr>
            <w:tcW w:w="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9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8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暂估金额60000元</w:t>
            </w:r>
          </w:p>
        </w:tc>
        <w:tc>
          <w:tcPr>
            <w:tcW w:w="12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w:t>
            </w:r>
            <w:r>
              <w:rPr>
                <w:rFonts w:hint="eastAsia" w:ascii="宋体" w:hAnsi="宋体" w:eastAsia="宋体" w:cs="宋体"/>
                <w:i w:val="0"/>
                <w:iCs w:val="0"/>
                <w:color w:val="000000"/>
                <w:kern w:val="0"/>
                <w:sz w:val="18"/>
                <w:szCs w:val="18"/>
                <w:u w:val="single"/>
                <w:lang w:val="en-US" w:eastAsia="zh-CN" w:bidi="ar"/>
              </w:rPr>
              <w:t>　　　</w:t>
            </w:r>
            <w:r>
              <w:rPr>
                <w:rFonts w:hint="eastAsia" w:ascii="宋体" w:hAnsi="宋体" w:eastAsia="宋体" w:cs="宋体"/>
                <w:i w:val="0"/>
                <w:iCs w:val="0"/>
                <w:color w:val="000000"/>
                <w:kern w:val="0"/>
                <w:sz w:val="18"/>
                <w:szCs w:val="18"/>
                <w:u w:val="none"/>
                <w:lang w:val="en-US" w:eastAsia="zh-CN" w:bidi="ar"/>
              </w:rPr>
              <w:t>％</w:t>
            </w:r>
          </w:p>
        </w:tc>
        <w:tc>
          <w:tcPr>
            <w:tcW w:w="8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执行2018版安徽省建设工程计价定额及配套费用定额，材料费不参与总价优惠。措施项目费以确认形式据实计取，二次搬运费不计取。</w:t>
            </w:r>
          </w:p>
        </w:tc>
      </w:tr>
    </w:tbl>
    <w:p>
      <w:pPr>
        <w:pStyle w:val="2"/>
      </w:pPr>
    </w:p>
    <w:p>
      <w:pPr>
        <w:pStyle w:val="2"/>
        <w:ind w:left="0" w:leftChars="0" w:firstLine="0" w:firstLineChars="0"/>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sz w:val="24"/>
          <w:szCs w:val="24"/>
        </w:rPr>
      </w:pPr>
    </w:p>
    <w:p>
      <w:pPr>
        <w:tabs>
          <w:tab w:val="left" w:pos="720"/>
          <w:tab w:val="left" w:pos="7200"/>
        </w:tabs>
        <w:snapToGrid w:val="0"/>
        <w:spacing w:line="240" w:lineRule="atLeast"/>
        <w:rPr>
          <w:b/>
        </w:rPr>
        <w:sectPr>
          <w:pgSz w:w="16840" w:h="11900" w:orient="landscape"/>
          <w:pgMar w:top="1361" w:right="1582" w:bottom="981" w:left="278" w:header="720" w:footer="720" w:gutter="0"/>
          <w:cols w:space="0" w:num="1"/>
          <w:rtlGutter w:val="0"/>
          <w:docGrid w:linePitch="0" w:charSpace="0"/>
        </w:sectPr>
      </w:pPr>
    </w:p>
    <w:p>
      <w:pPr>
        <w:tabs>
          <w:tab w:val="left" w:pos="720"/>
          <w:tab w:val="left" w:pos="7200"/>
        </w:tabs>
        <w:snapToGrid w:val="0"/>
        <w:spacing w:line="240" w:lineRule="atLeast"/>
        <w:rPr>
          <w:rFonts w:hint="eastAsia" w:ascii="仿宋_GB2312" w:eastAsia="仿宋_GB2312"/>
          <w:b/>
          <w:sz w:val="28"/>
          <w:szCs w:val="28"/>
        </w:rPr>
      </w:pPr>
      <w:r>
        <w:rPr>
          <w:rFonts w:hint="eastAsia"/>
        </w:rPr>
        <w:pict>
          <v:shape id="对象 5" o:spid="_x0000_s1026" o:spt="75" type="#_x0000_t75" style="position:absolute;left:0pt;margin-left:0.55pt;margin-top:12.1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06A9E"/>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78B09BE"/>
    <w:rsid w:val="0D1578E4"/>
    <w:rsid w:val="0F667FC9"/>
    <w:rsid w:val="0FA152CB"/>
    <w:rsid w:val="106A504D"/>
    <w:rsid w:val="151B5F6E"/>
    <w:rsid w:val="157A25EE"/>
    <w:rsid w:val="18BE2BF4"/>
    <w:rsid w:val="1B336B17"/>
    <w:rsid w:val="2333671E"/>
    <w:rsid w:val="25464B5B"/>
    <w:rsid w:val="27666968"/>
    <w:rsid w:val="349623F7"/>
    <w:rsid w:val="38E63241"/>
    <w:rsid w:val="3CC37E26"/>
    <w:rsid w:val="476B5201"/>
    <w:rsid w:val="48743B19"/>
    <w:rsid w:val="4B7B3A05"/>
    <w:rsid w:val="4C945157"/>
    <w:rsid w:val="4CC05C43"/>
    <w:rsid w:val="4EA00116"/>
    <w:rsid w:val="537E7329"/>
    <w:rsid w:val="57BB641D"/>
    <w:rsid w:val="5D220CC4"/>
    <w:rsid w:val="5E846B03"/>
    <w:rsid w:val="5ECE5B63"/>
    <w:rsid w:val="624E2575"/>
    <w:rsid w:val="704E677D"/>
    <w:rsid w:val="70515D78"/>
    <w:rsid w:val="71912D4A"/>
    <w:rsid w:val="72B751C9"/>
    <w:rsid w:val="73E51E4C"/>
    <w:rsid w:val="76BC40B6"/>
    <w:rsid w:val="7718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0"/>
      <w:szCs w:val="20"/>
      <w:u w:val="none"/>
    </w:rPr>
  </w:style>
  <w:style w:type="character" w:customStyle="1" w:styleId="35">
    <w:name w:val="font121"/>
    <w:basedOn w:val="14"/>
    <w:qFormat/>
    <w:uiPriority w:val="0"/>
    <w:rPr>
      <w:rFonts w:hint="eastAsia" w:ascii="宋体" w:hAnsi="宋体" w:eastAsia="宋体" w:cs="宋体"/>
      <w:color w:val="000000"/>
      <w:sz w:val="24"/>
      <w:szCs w:val="24"/>
      <w:u w:val="single"/>
    </w:rPr>
  </w:style>
  <w:style w:type="character" w:customStyle="1" w:styleId="36">
    <w:name w:val="font112"/>
    <w:basedOn w:val="14"/>
    <w:qFormat/>
    <w:uiPriority w:val="0"/>
    <w:rPr>
      <w:rFonts w:hint="default" w:ascii="Times New Roman" w:hAnsi="Times New Roman" w:cs="Times New Roman"/>
      <w:color w:val="000000"/>
      <w:sz w:val="21"/>
      <w:szCs w:val="21"/>
      <w:u w:val="none"/>
    </w:rPr>
  </w:style>
  <w:style w:type="character" w:customStyle="1" w:styleId="37">
    <w:name w:val="font111"/>
    <w:basedOn w:val="14"/>
    <w:qFormat/>
    <w:uiPriority w:val="0"/>
    <w:rPr>
      <w:rFonts w:hint="eastAsia" w:ascii="宋体" w:hAnsi="宋体" w:eastAsia="宋体" w:cs="宋体"/>
      <w:color w:val="FF0000"/>
      <w:sz w:val="21"/>
      <w:szCs w:val="21"/>
      <w:u w:val="none"/>
    </w:rPr>
  </w:style>
  <w:style w:type="character" w:customStyle="1" w:styleId="38">
    <w:name w:val="font122"/>
    <w:basedOn w:val="14"/>
    <w:qFormat/>
    <w:uiPriority w:val="0"/>
    <w:rPr>
      <w:rFonts w:hint="eastAsia" w:ascii="宋体" w:hAnsi="宋体" w:eastAsia="宋体" w:cs="宋体"/>
      <w:color w:val="000000"/>
      <w:sz w:val="21"/>
      <w:szCs w:val="21"/>
      <w:u w:val="none"/>
    </w:rPr>
  </w:style>
  <w:style w:type="character" w:customStyle="1" w:styleId="39">
    <w:name w:val="font141"/>
    <w:basedOn w:val="1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6</TotalTime>
  <ScaleCrop>false</ScaleCrop>
  <LinksUpToDate>false</LinksUpToDate>
  <CharactersWithSpaces>13020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2021-10-18T08:46:24Z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27190E2041044369AC04D5458BB503BF</vt:lpwstr>
  </property>
</Properties>
</file>