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b w:val="0"/>
          <w:bCs w:val="0"/>
          <w:sz w:val="36"/>
          <w:szCs w:val="36"/>
          <w:u w:val="none"/>
          <w:lang w:val="en-US" w:eastAsia="zh-CN"/>
        </w:rPr>
        <w:t>高炉热风炉烟气脱硫桩基工程项目</w:t>
      </w:r>
      <w:bookmarkEnd w:id="3"/>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ascii="宋体" w:hAnsi="宋体" w:eastAsia="宋体" w:cs="宋体"/>
          <w:color w:val="auto"/>
          <w:kern w:val="0"/>
          <w:sz w:val="28"/>
          <w:szCs w:val="28"/>
        </w:rPr>
        <w:t>1</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ascii="宋体" w:hAnsi="宋体" w:eastAsia="宋体" w:cs="宋体"/>
          <w:bCs/>
          <w:color w:val="auto"/>
          <w:kern w:val="0"/>
          <w:sz w:val="28"/>
          <w:szCs w:val="28"/>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高炉热风炉烟气脱硫桩基工程</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sz w:val="24"/>
          <w:szCs w:val="24"/>
          <w:u w:val="none"/>
        </w:rPr>
        <w:t>国家建设部门颁发的</w:t>
      </w:r>
      <w:r>
        <w:rPr>
          <w:rFonts w:hint="eastAsia" w:ascii="宋体" w:hAnsi="宋体"/>
          <w:bCs/>
          <w:color w:val="FF0000"/>
          <w:sz w:val="24"/>
          <w:szCs w:val="24"/>
          <w:u w:val="none"/>
        </w:rPr>
        <w:t>地基基础工程专业承包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single"/>
          <w:lang w:val="en-US" w:eastAsia="zh-CN"/>
        </w:rPr>
        <w:t>建筑工程</w:t>
      </w:r>
      <w:r>
        <w:rPr>
          <w:rFonts w:hint="eastAsia" w:hAnsi="宋体"/>
          <w:color w:val="auto"/>
          <w:sz w:val="24"/>
          <w:szCs w:val="24"/>
          <w:highlight w:val="none"/>
        </w:rPr>
        <w:t>专业</w:t>
      </w:r>
      <w:r>
        <w:rPr>
          <w:rFonts w:hAnsi="宋体"/>
          <w:color w:val="auto"/>
          <w:sz w:val="24"/>
          <w:szCs w:val="24"/>
          <w:highlight w:val="none"/>
          <w:u w:val="single"/>
        </w:rPr>
        <w:t xml:space="preserve"> </w:t>
      </w:r>
      <w:r>
        <w:rPr>
          <w:rFonts w:hint="eastAsia" w:hAnsi="宋体"/>
          <w:color w:val="auto"/>
          <w:sz w:val="24"/>
          <w:szCs w:val="24"/>
          <w:highlight w:val="none"/>
          <w:u w:val="single"/>
          <w:lang w:val="en-US" w:eastAsia="zh-CN"/>
        </w:rPr>
        <w:t>二</w:t>
      </w:r>
      <w:r>
        <w:rPr>
          <w:rFonts w:hAnsi="宋体"/>
          <w:color w:val="auto"/>
          <w:sz w:val="24"/>
          <w:szCs w:val="24"/>
          <w:highlight w:val="none"/>
          <w:u w:val="single"/>
        </w:rPr>
        <w:t xml:space="preserve"> </w:t>
      </w:r>
      <w:r>
        <w:rPr>
          <w:rFonts w:hint="eastAsia" w:hAnsi="宋体"/>
          <w:color w:val="auto"/>
          <w:sz w:val="24"/>
          <w:szCs w:val="24"/>
          <w:highlight w:val="none"/>
        </w:rPr>
        <w:t>级注册建造师执业资格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ascii="宋体" w:hAnsi="宋体" w:eastAsia="宋体" w:cs="宋体"/>
          <w:bCs/>
          <w:color w:val="auto"/>
          <w:kern w:val="0"/>
          <w:sz w:val="24"/>
          <w:szCs w:val="24"/>
        </w:rPr>
        <w:t>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10</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22</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ind w:firstLine="420" w:firstLineChars="200"/>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val="en-US" w:eastAsia="zh-CN"/>
        </w:rPr>
        <w:t>高炉热风炉烟气脱硫桩基工程</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eastAsia="宋体" w:cs="宋体"/>
          <w:bCs/>
          <w:color w:val="auto"/>
          <w:kern w:val="0"/>
          <w:sz w:val="24"/>
          <w:szCs w:val="24"/>
          <w:lang w:val="en-US" w:eastAsia="zh-CN"/>
        </w:rPr>
        <w:t>高炉热风炉烟气脱硫桩基</w:t>
      </w:r>
      <w:r>
        <w:rPr>
          <w:rFonts w:hint="eastAsia" w:ascii="宋体" w:hAnsi="宋体" w:cs="宋体"/>
          <w:color w:val="auto"/>
          <w:kern w:val="36"/>
          <w:lang w:val="en-US" w:eastAsia="zh-CN"/>
        </w:rPr>
        <w:t>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包含φ1000钻孔灌注桩等施工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s="宋体"/>
          <w:color w:val="auto"/>
          <w:kern w:val="36"/>
        </w:rPr>
      </w:pPr>
      <w:r>
        <w:rPr>
          <w:rFonts w:hint="eastAsia" w:ascii="宋体" w:hAnsi="宋体" w:cs="宋体"/>
          <w:color w:val="auto"/>
          <w:kern w:val="36"/>
        </w:rPr>
        <w:t>开工日期：2021年</w:t>
      </w:r>
      <w:r>
        <w:rPr>
          <w:rFonts w:hint="eastAsia" w:ascii="宋体" w:hAnsi="宋体" w:cs="宋体"/>
          <w:color w:val="auto"/>
          <w:kern w:val="36"/>
          <w:lang w:val="en-US" w:eastAsia="zh-CN"/>
        </w:rPr>
        <w:t>10</w:t>
      </w:r>
      <w:r>
        <w:rPr>
          <w:rFonts w:hint="eastAsia" w:ascii="宋体" w:hAnsi="宋体" w:cs="宋体"/>
          <w:color w:val="auto"/>
          <w:kern w:val="36"/>
        </w:rPr>
        <w:t>月</w:t>
      </w:r>
      <w:r>
        <w:rPr>
          <w:rFonts w:hint="eastAsia" w:ascii="宋体" w:hAnsi="宋体" w:cs="宋体"/>
          <w:color w:val="auto"/>
          <w:kern w:val="36"/>
          <w:lang w:val="en-US" w:eastAsia="zh-CN"/>
        </w:rPr>
        <w:t>29</w:t>
      </w:r>
      <w:r>
        <w:rPr>
          <w:rFonts w:hint="eastAsia" w:ascii="宋体" w:hAnsi="宋体" w:cs="宋体"/>
          <w:color w:val="auto"/>
          <w:kern w:val="36"/>
        </w:rPr>
        <w:t xml:space="preserve">日（暂定）                                          </w:t>
      </w:r>
    </w:p>
    <w:p>
      <w:pPr>
        <w:spacing w:line="360" w:lineRule="auto"/>
        <w:rPr>
          <w:rFonts w:hint="eastAsia" w:ascii="宋体" w:hAnsi="宋体" w:cs="宋体"/>
          <w:color w:val="auto"/>
          <w:kern w:val="36"/>
        </w:rPr>
      </w:pPr>
      <w:r>
        <w:rPr>
          <w:rFonts w:hint="eastAsia" w:ascii="宋体" w:hAnsi="宋体" w:cs="宋体"/>
          <w:color w:val="auto"/>
          <w:kern w:val="36"/>
        </w:rPr>
        <w:t>竣工日期：2021年</w:t>
      </w:r>
      <w:r>
        <w:rPr>
          <w:rFonts w:hint="eastAsia" w:ascii="宋体" w:hAnsi="宋体" w:cs="宋体"/>
          <w:color w:val="auto"/>
          <w:kern w:val="36"/>
          <w:lang w:val="en-US" w:eastAsia="zh-CN"/>
        </w:rPr>
        <w:t>11</w:t>
      </w:r>
      <w:r>
        <w:rPr>
          <w:rFonts w:hint="eastAsia" w:ascii="宋体" w:hAnsi="宋体" w:cs="宋体"/>
          <w:color w:val="auto"/>
          <w:kern w:val="36"/>
        </w:rPr>
        <w:t>月</w:t>
      </w:r>
      <w:r>
        <w:rPr>
          <w:rFonts w:hint="eastAsia" w:ascii="宋体" w:hAnsi="宋体" w:cs="宋体"/>
          <w:color w:val="auto"/>
          <w:kern w:val="36"/>
          <w:lang w:val="en-US" w:eastAsia="zh-CN"/>
        </w:rPr>
        <w:t>16</w:t>
      </w:r>
      <w:r>
        <w:rPr>
          <w:rFonts w:hint="eastAsia" w:ascii="宋体" w:hAnsi="宋体" w:cs="宋体"/>
          <w:color w:val="auto"/>
          <w:kern w:val="36"/>
        </w:rPr>
        <w:t xml:space="preserve">日                                              </w:t>
      </w:r>
    </w:p>
    <w:p>
      <w:pPr>
        <w:spacing w:line="360" w:lineRule="auto"/>
        <w:rPr>
          <w:rFonts w:ascii="宋体" w:hAnsi="宋体"/>
          <w:color w:val="auto"/>
        </w:rPr>
      </w:pPr>
      <w:r>
        <w:rPr>
          <w:rFonts w:hint="eastAsia" w:ascii="宋体" w:hAnsi="宋体" w:cs="宋体"/>
          <w:color w:val="auto"/>
          <w:kern w:val="36"/>
        </w:rPr>
        <w:t>合同工期总日历天数</w:t>
      </w:r>
      <w:r>
        <w:rPr>
          <w:rFonts w:hint="eastAsia" w:ascii="宋体" w:hAnsi="宋体" w:cs="宋体"/>
          <w:color w:val="auto"/>
          <w:kern w:val="36"/>
          <w:lang w:val="en-US" w:eastAsia="zh-CN"/>
        </w:rPr>
        <w:t>18</w:t>
      </w:r>
      <w:r>
        <w:rPr>
          <w:rFonts w:hint="eastAsia" w:ascii="宋体" w:hAnsi="宋体" w:cs="宋体"/>
          <w:color w:val="auto"/>
          <w:kern w:val="36"/>
        </w:rPr>
        <w:t>天</w:t>
      </w:r>
      <w:r>
        <w:rPr>
          <w:rFonts w:hint="eastAsia" w:ascii="宋体" w:hAnsi="宋体" w:cs="宋体"/>
          <w:color w:val="auto"/>
          <w:kern w:val="36"/>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该工程</w:t>
      </w:r>
      <w:r>
        <w:rPr>
          <w:rFonts w:hint="eastAsia" w:ascii="宋体" w:hAnsi="宋体" w:cs="宋体" w:eastAsiaTheme="minorEastAsia"/>
          <w:color w:val="FF0000"/>
          <w:kern w:val="36"/>
          <w:sz w:val="21"/>
          <w:szCs w:val="22"/>
          <w:lang w:val="en-US" w:eastAsia="zh-CN" w:bidi="ar-SA"/>
        </w:rPr>
        <w:t>钢筋由发包人提供，其他所有材料由承包人提供</w:t>
      </w:r>
      <w:r>
        <w:rPr>
          <w:rFonts w:hint="eastAsia" w:ascii="宋体" w:hAnsi="宋体" w:cs="宋体" w:eastAsiaTheme="minorEastAsia"/>
          <w:color w:val="auto"/>
          <w:kern w:val="36"/>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cs="宋体" w:eastAsiaTheme="minorEastAsia"/>
          <w:color w:val="auto"/>
          <w:kern w:val="36"/>
          <w:sz w:val="21"/>
          <w:szCs w:val="22"/>
          <w:lang w:val="en-US" w:eastAsia="zh-CN" w:bidi="ar-SA"/>
        </w:rPr>
      </w:pPr>
      <w:r>
        <w:rPr>
          <w:rFonts w:hint="eastAsia" w:ascii="宋体" w:hAnsi="宋体" w:cs="宋体" w:eastAsiaTheme="minorEastAsia"/>
          <w:color w:val="auto"/>
          <w:kern w:val="36"/>
          <w:sz w:val="21"/>
          <w:szCs w:val="22"/>
          <w:lang w:val="en-US" w:eastAsia="zh-CN" w:bidi="ar-SA"/>
        </w:rPr>
        <w:t>工程内容按合同约定执行，开具增值税发票执行9%税率。</w:t>
      </w:r>
    </w:p>
    <w:p>
      <w:pPr>
        <w:numPr>
          <w:ilvl w:val="0"/>
          <w:numId w:val="2"/>
        </w:numPr>
        <w:spacing w:line="360" w:lineRule="auto"/>
        <w:ind w:left="420" w:leftChars="0" w:hanging="420" w:firstLineChars="0"/>
        <w:rPr>
          <w:rFonts w:hint="eastAsia" w:ascii="宋体" w:hAnsi="宋体" w:eastAsiaTheme="minorEastAsia" w:cstheme="minorBidi"/>
          <w:bCs/>
          <w:color w:val="auto"/>
          <w:kern w:val="2"/>
          <w:sz w:val="21"/>
          <w:szCs w:val="22"/>
          <w:lang w:val="en-US" w:eastAsia="zh-CN" w:bidi="ar-SA"/>
        </w:rPr>
      </w:pPr>
      <w:r>
        <w:rPr>
          <w:rFonts w:hint="eastAsia" w:ascii="宋体" w:hAnsi="宋体" w:cs="宋体" w:eastAsiaTheme="minorEastAsia"/>
          <w:color w:val="auto"/>
          <w:kern w:val="36"/>
          <w:sz w:val="21"/>
          <w:szCs w:val="22"/>
          <w:lang w:val="en-US" w:eastAsia="zh-CN" w:bidi="ar-SA"/>
        </w:rPr>
        <w:t>发包人在指定位置提供施工电源及水源，之外部分承包人自行承担，现场施工水电费结算时按合同总价的７‰扣除或装表据实扣除</w:t>
      </w:r>
      <w:r>
        <w:rPr>
          <w:rFonts w:hint="eastAsia" w:asciiTheme="minorHAnsi" w:hAnsiTheme="minorHAnsi" w:eastAsiaTheme="minorEastAsia" w:cstheme="minorBidi"/>
          <w:color w:val="auto"/>
          <w:kern w:val="36"/>
          <w:sz w:val="21"/>
          <w:szCs w:val="22"/>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附件1</w:t>
      </w:r>
    </w:p>
    <w:tbl>
      <w:tblPr>
        <w:tblW w:w="155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8"/>
        <w:gridCol w:w="2250"/>
        <w:gridCol w:w="1316"/>
        <w:gridCol w:w="540"/>
        <w:gridCol w:w="1249"/>
        <w:gridCol w:w="9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5512"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高炉热风炉烟气脱硫桩基工程项目报价单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3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9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φ1000钻孔灌注桩</w:t>
            </w:r>
          </w:p>
        </w:tc>
        <w:tc>
          <w:tcPr>
            <w:tcW w:w="131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21D002施结-0101-01~03</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4"/>
                <w:szCs w:val="24"/>
                <w:u w:val="none"/>
                <w:bdr w:val="none" w:color="auto" w:sz="0" w:space="0"/>
                <w:lang w:val="en-US" w:eastAsia="zh-CN" w:bidi="ar"/>
              </w:rPr>
              <w:t>m</w:t>
            </w:r>
            <w:r>
              <w:rPr>
                <w:rFonts w:hint="eastAsia" w:ascii="宋体" w:hAnsi="宋体" w:eastAsia="宋体" w:cs="宋体"/>
                <w:i w:val="0"/>
                <w:iCs w:val="0"/>
                <w:color w:val="000000"/>
                <w:kern w:val="0"/>
                <w:sz w:val="24"/>
                <w:szCs w:val="24"/>
                <w:u w:val="none"/>
                <w:bdr w:val="none" w:color="auto" w:sz="0" w:space="0"/>
                <w:vertAlign w:val="superscript"/>
                <w:lang w:val="en-US" w:eastAsia="zh-CN" w:bidi="ar"/>
              </w:rPr>
              <w:t>3</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614</w:t>
            </w:r>
          </w:p>
        </w:tc>
        <w:tc>
          <w:tcPr>
            <w:tcW w:w="9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730元/m3。包括机具准备、钢护筒埋设拆除、移机就位、钻孔、砼灌注、钢筋笼制作安放、泥浆装卸运输（合规处理）、地坪破除等涉及的全部工序及人工费、机械费、材料费（不含钢筋、砼材料费）、措施费、不可竞争费、税金、水电费等全部费用。（工程量按图纸设计桩长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大型机械进出场费</w:t>
            </w:r>
          </w:p>
        </w:tc>
        <w:tc>
          <w:tcPr>
            <w:tcW w:w="13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台次</w:t>
            </w:r>
          </w:p>
        </w:tc>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9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拦标价：15000元/台次。包括装、拆、卸、场外运输、税金等全部费用。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31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暂估金额10000元</w:t>
            </w:r>
          </w:p>
        </w:tc>
        <w:tc>
          <w:tcPr>
            <w:tcW w:w="9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532887698"/>
      <w:bookmarkStart w:id="2" w:name="_Toc15291886"/>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12A127B"/>
    <w:rsid w:val="121B22D6"/>
    <w:rsid w:val="133E6E16"/>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A46661"/>
    <w:rsid w:val="2DED4022"/>
    <w:rsid w:val="2FFE36B1"/>
    <w:rsid w:val="310A5319"/>
    <w:rsid w:val="326329B3"/>
    <w:rsid w:val="34481C4C"/>
    <w:rsid w:val="364C51F0"/>
    <w:rsid w:val="37CA36AB"/>
    <w:rsid w:val="386D04A2"/>
    <w:rsid w:val="39913532"/>
    <w:rsid w:val="3A100A0A"/>
    <w:rsid w:val="3A9E2574"/>
    <w:rsid w:val="3B9F0063"/>
    <w:rsid w:val="3C062CAD"/>
    <w:rsid w:val="3D5977E3"/>
    <w:rsid w:val="3F5371EB"/>
    <w:rsid w:val="400A7CF7"/>
    <w:rsid w:val="42B5472A"/>
    <w:rsid w:val="45861DB0"/>
    <w:rsid w:val="467B56CD"/>
    <w:rsid w:val="47807B49"/>
    <w:rsid w:val="49806F97"/>
    <w:rsid w:val="4A1D777A"/>
    <w:rsid w:val="4BEB70CE"/>
    <w:rsid w:val="4C2439BA"/>
    <w:rsid w:val="4C6D4D7D"/>
    <w:rsid w:val="4C6F1F1E"/>
    <w:rsid w:val="4EF83610"/>
    <w:rsid w:val="4FC1072C"/>
    <w:rsid w:val="51C85998"/>
    <w:rsid w:val="526A207D"/>
    <w:rsid w:val="53966193"/>
    <w:rsid w:val="54DA0463"/>
    <w:rsid w:val="558D3BDC"/>
    <w:rsid w:val="56F435CB"/>
    <w:rsid w:val="57181B7C"/>
    <w:rsid w:val="579A163B"/>
    <w:rsid w:val="58251DDC"/>
    <w:rsid w:val="5953468B"/>
    <w:rsid w:val="59A06F0E"/>
    <w:rsid w:val="5ACF5D45"/>
    <w:rsid w:val="5BBF1D76"/>
    <w:rsid w:val="5D634D0C"/>
    <w:rsid w:val="5E513B46"/>
    <w:rsid w:val="5F533CAB"/>
    <w:rsid w:val="66296C18"/>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8BC1CE0"/>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2021-10-21T11:32:54Z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9C715AAECA884F55A9461866D6FA45E2</vt:lpwstr>
  </property>
</Properties>
</file>