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ascii="宋体" w:hAnsi="宋体"/>
          <w:b/>
          <w:bCs/>
          <w:sz w:val="30"/>
          <w:szCs w:val="30"/>
          <w:lang w:eastAsia="zh-CN"/>
        </w:rPr>
        <w:t>动控部螺杆空压站后处理提质改造安装工程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10008DKLXJZAZGC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动控部螺杆空压站后处理提质改造安装工程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color w:val="FF0000"/>
          <w:sz w:val="24"/>
          <w:szCs w:val="24"/>
          <w:u w:val="none"/>
          <w:lang w:val="en-US" w:eastAsia="zh-CN"/>
        </w:rPr>
        <w:t>，</w:t>
      </w:r>
      <w:r>
        <w:rPr>
          <w:rFonts w:hint="eastAsia" w:ascii="宋体" w:hAnsi="宋体"/>
          <w:bCs/>
          <w:color w:val="FF0000"/>
          <w:sz w:val="24"/>
          <w:szCs w:val="24"/>
          <w:u w:val="none"/>
        </w:rPr>
        <w:t>同时具有</w:t>
      </w:r>
      <w:r>
        <w:rPr>
          <w:rFonts w:hint="eastAsia" w:ascii="宋体" w:hAnsi="宋体"/>
          <w:bCs/>
          <w:color w:val="FF0000"/>
          <w:sz w:val="24"/>
          <w:szCs w:val="24"/>
          <w:u w:val="none"/>
          <w:lang w:eastAsia="zh-CN"/>
        </w:rPr>
        <w:t>压力管道</w:t>
      </w:r>
      <w:r>
        <w:rPr>
          <w:rFonts w:hint="eastAsia" w:ascii="宋体" w:hAnsi="宋体"/>
          <w:bCs/>
          <w:color w:val="FF0000"/>
          <w:sz w:val="24"/>
          <w:szCs w:val="24"/>
          <w:u w:val="none"/>
          <w:lang w:val="en-US" w:eastAsia="zh-CN"/>
        </w:rPr>
        <w:t>GC2级及以上资质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26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02</w:t>
      </w:r>
      <w:bookmarkStart w:id="3" w:name="_GoBack"/>
      <w:bookmarkEnd w:id="3"/>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动控部螺杆空压站后处理提质改造安装工程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动控部螺杆空压站后处理提质改造安装工程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动控部螺杆空压站后处理提质改造安装工程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肆万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及投标方现场踏勘</w:t>
      </w:r>
      <w:r>
        <w:rPr>
          <w:rFonts w:hint="eastAsia" w:ascii="宋体" w:hAnsi="宋体"/>
        </w:rPr>
        <w:t>。</w:t>
      </w:r>
    </w:p>
    <w:p>
      <w:pPr>
        <w:numPr>
          <w:ilvl w:val="0"/>
          <w:numId w:val="2"/>
        </w:numPr>
        <w:spacing w:before="156" w:beforeLines="50" w:after="156" w:afterLines="50" w:line="300" w:lineRule="auto"/>
        <w:ind w:left="420" w:leftChars="0" w:hanging="420" w:firstLineChars="0"/>
        <w:rPr>
          <w:rFonts w:hint="eastAsia" w:ascii="宋体" w:hAnsi="宋体"/>
          <w:szCs w:val="21"/>
        </w:rPr>
      </w:pPr>
      <w:r>
        <w:rPr>
          <w:rFonts w:hint="eastAsia" w:ascii="宋体" w:hAnsi="宋体"/>
        </w:rPr>
        <w:t xml:space="preserve"> 工程概况和估算工作量</w:t>
      </w:r>
      <w:r>
        <w:rPr>
          <w:rFonts w:hint="eastAsia" w:ascii="宋体" w:hAnsi="宋体"/>
          <w:szCs w:val="21"/>
        </w:rPr>
        <w:t>：</w:t>
      </w:r>
    </w:p>
    <w:p>
      <w:pPr>
        <w:numPr>
          <w:numId w:val="0"/>
        </w:numPr>
        <w:spacing w:before="156" w:beforeLines="50" w:after="156" w:afterLines="50" w:line="300" w:lineRule="auto"/>
        <w:ind w:leftChars="0"/>
        <w:rPr>
          <w:rFonts w:hint="eastAsia" w:ascii="宋体" w:hAnsi="宋体"/>
        </w:rPr>
      </w:pPr>
      <w:r>
        <w:rPr>
          <w:rFonts w:hint="eastAsia" w:ascii="宋体" w:hAnsi="宋体"/>
          <w:lang w:val="en-US" w:eastAsia="zh-CN"/>
        </w:rPr>
        <w:t>2.1</w:t>
      </w:r>
      <w:r>
        <w:rPr>
          <w:rFonts w:hint="eastAsia" w:ascii="宋体" w:hAnsi="宋体"/>
          <w:lang w:eastAsia="zh-CN"/>
        </w:rPr>
        <w:t>动控部螺杆空压站后处理提质改造安装工程</w:t>
      </w:r>
      <w:r>
        <w:rPr>
          <w:rFonts w:hint="eastAsia" w:ascii="宋体" w:hAnsi="宋体"/>
        </w:rPr>
        <w:t>，</w:t>
      </w:r>
      <w:r>
        <w:rPr>
          <w:rFonts w:hint="eastAsia" w:ascii="宋体" w:hAnsi="宋体"/>
          <w:lang w:val="en-US" w:eastAsia="zh-CN"/>
        </w:rPr>
        <w:t>包含</w:t>
      </w:r>
      <w:r>
        <w:rPr>
          <w:rFonts w:hint="eastAsia" w:ascii="宋体" w:hAnsi="宋体"/>
        </w:rPr>
        <w:t>对原有螺杆空压机、储气罐、后处理、冷却塔及附属设施拆除，2套螺杆空压机及干燥机移位安装，3套离心空压机、4套后处理、附属设施、配套管路及钢结构安装，并对循环水系统进行改造等施工。</w:t>
      </w:r>
    </w:p>
    <w:p>
      <w:pPr>
        <w:numPr>
          <w:numId w:val="0"/>
        </w:numPr>
        <w:spacing w:before="156" w:beforeLines="50" w:after="156" w:afterLines="50" w:line="300" w:lineRule="auto"/>
        <w:ind w:leftChars="0"/>
        <w:rPr>
          <w:rFonts w:hint="eastAsia" w:ascii="宋体" w:hAnsi="宋体"/>
        </w:rPr>
      </w:pPr>
      <w:r>
        <w:rPr>
          <w:rFonts w:hint="eastAsia" w:ascii="宋体" w:hAnsi="宋体"/>
          <w:lang w:val="en-US" w:eastAsia="zh-CN"/>
        </w:rPr>
        <w:t>2.2</w:t>
      </w:r>
      <w:r>
        <w:rPr>
          <w:rFonts w:hint="eastAsia" w:ascii="宋体" w:hAnsi="宋体"/>
        </w:rPr>
        <w:t>工作量：</w:t>
      </w:r>
      <w:r>
        <w:rPr>
          <w:rFonts w:hint="eastAsia" w:ascii="宋体" w:hAnsi="宋体"/>
          <w:lang w:val="en-US" w:eastAsia="zh-CN"/>
        </w:rPr>
        <w:t>设备安装约270t，设备保护性拆除约125t，冷却塔拆除1台，钢结构及管道拆除约25t，管道安装约103t，阀门安装99套，钢结构制安约53t</w:t>
      </w:r>
      <w:r>
        <w:rPr>
          <w:rFonts w:hint="eastAsia" w:ascii="宋体" w:hAnsi="宋体"/>
        </w:rPr>
        <w:t>等工作量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11</w:t>
      </w:r>
      <w:r>
        <w:rPr>
          <w:rFonts w:hint="eastAsia" w:ascii="宋体" w:hAnsi="宋体" w:cs="宋体"/>
          <w:kern w:val="36"/>
        </w:rPr>
        <w:t>月</w:t>
      </w:r>
      <w:r>
        <w:rPr>
          <w:rFonts w:hint="eastAsia" w:ascii="宋体" w:hAnsi="宋体" w:cs="宋体"/>
          <w:kern w:val="36"/>
          <w:lang w:val="en-US" w:eastAsia="zh-CN"/>
        </w:rPr>
        <w:t>25</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竣工日期：2021年</w:t>
      </w:r>
      <w:r>
        <w:rPr>
          <w:rFonts w:hint="eastAsia" w:ascii="宋体" w:hAnsi="宋体" w:cs="宋体"/>
          <w:kern w:val="36"/>
          <w:lang w:val="en-US" w:eastAsia="zh-CN"/>
        </w:rPr>
        <w:t>03</w:t>
      </w:r>
      <w:r>
        <w:rPr>
          <w:rFonts w:hint="eastAsia" w:ascii="宋体" w:hAnsi="宋体" w:cs="宋体"/>
          <w:kern w:val="36"/>
        </w:rPr>
        <w:t>月</w:t>
      </w:r>
      <w:r>
        <w:rPr>
          <w:rFonts w:hint="eastAsia" w:ascii="宋体" w:hAnsi="宋体" w:cs="宋体"/>
          <w:kern w:val="36"/>
          <w:lang w:val="en-US" w:eastAsia="zh-CN"/>
        </w:rPr>
        <w:t>25</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合同工期总日历天数</w:t>
      </w:r>
      <w:r>
        <w:rPr>
          <w:rFonts w:hint="eastAsia" w:ascii="宋体" w:hAnsi="宋体" w:cs="宋体"/>
          <w:kern w:val="36"/>
          <w:lang w:val="en-US" w:eastAsia="zh-CN"/>
        </w:rPr>
        <w:t>120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阀门由发包人提供，其他所有材料由承包人</w:t>
      </w:r>
      <w:r>
        <w:rPr>
          <w:rFonts w:hint="eastAsia" w:asciiTheme="minorHAnsi" w:hAnsiTheme="minorHAnsi" w:eastAsiaTheme="minorEastAsia" w:cstheme="minorBidi"/>
          <w:bCs/>
          <w:kern w:val="36"/>
          <w:sz w:val="21"/>
          <w:szCs w:val="21"/>
          <w:lang w:val="en-US" w:eastAsia="zh-CN" w:bidi="ar-SA"/>
        </w:rPr>
        <w:t>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w:t>
      </w:r>
      <w:r>
        <w:rPr>
          <w:rFonts w:hint="eastAsia" w:asciiTheme="minorHAnsi" w:hAnsiTheme="minorHAnsi" w:eastAsiaTheme="minorEastAsia" w:cstheme="minorBidi"/>
          <w:bCs/>
          <w:color w:val="FF0000"/>
          <w:kern w:val="36"/>
          <w:sz w:val="21"/>
          <w:szCs w:val="21"/>
          <w:lang w:val="en-US" w:eastAsia="zh-CN" w:bidi="ar-SA"/>
        </w:rPr>
        <w:t>2021年第9期</w:t>
      </w:r>
      <w:r>
        <w:rPr>
          <w:rFonts w:hint="eastAsia" w:asciiTheme="minorHAnsi" w:hAnsiTheme="minorHAnsi" w:eastAsiaTheme="minorEastAsia" w:cstheme="minorBidi"/>
          <w:bCs/>
          <w:kern w:val="36"/>
          <w:sz w:val="21"/>
          <w:szCs w:val="21"/>
          <w:lang w:val="en-US" w:eastAsia="zh-CN" w:bidi="ar-SA"/>
        </w:rPr>
        <w:t>芜湖市市场信息价为基准，芜湖市市场信息价没有的以合肥市市场信息价为基准，若施工期间材料单价涨跌幅</w:t>
      </w:r>
      <w:r>
        <w:rPr>
          <w:rFonts w:hint="eastAsia" w:asciiTheme="minorHAnsi" w:hAnsiTheme="minorHAnsi" w:eastAsiaTheme="minorEastAsia" w:cstheme="minorBidi"/>
          <w:bCs/>
          <w:color w:val="FF0000"/>
          <w:kern w:val="36"/>
          <w:sz w:val="21"/>
          <w:szCs w:val="21"/>
          <w:lang w:val="en-US" w:eastAsia="zh-CN" w:bidi="ar-SA"/>
        </w:rPr>
        <w:t>超过±5</w:t>
      </w:r>
      <w:r>
        <w:rPr>
          <w:rFonts w:hint="eastAsia" w:asciiTheme="minorHAnsi" w:hAnsiTheme="minorHAnsi" w:eastAsiaTheme="minorEastAsia" w:cstheme="minorBidi"/>
          <w:bCs/>
          <w:kern w:val="36"/>
          <w:sz w:val="21"/>
          <w:szCs w:val="21"/>
          <w:lang w:val="en-US" w:eastAsia="zh-CN" w:bidi="ar-SA"/>
        </w:rPr>
        <w:t>%时，其超过部分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numPr>
          <w:ilvl w:val="0"/>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本项目不设拦标价。</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b/>
          <w:bCs/>
          <w:sz w:val="36"/>
          <w:szCs w:val="36"/>
          <w:lang w:eastAsia="zh-CN"/>
        </w:rPr>
        <w:t>动控部螺杆空压站后处理提质改造安装工程</w:t>
      </w:r>
      <w:r>
        <w:rPr>
          <w:rFonts w:hint="eastAsia" w:ascii="宋体" w:hAnsi="宋体"/>
          <w:b/>
          <w:bCs/>
          <w:sz w:val="36"/>
          <w:szCs w:val="36"/>
        </w:rPr>
        <w:t>报价单</w:t>
      </w:r>
    </w:p>
    <w:tbl>
      <w:tblPr>
        <w:tblStyle w:val="13"/>
        <w:tblW w:w="15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89"/>
        <w:gridCol w:w="692"/>
        <w:gridCol w:w="1119"/>
        <w:gridCol w:w="1350"/>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64" w:type="dxa"/>
            <w:noWrap w:val="0"/>
            <w:vAlign w:val="center"/>
          </w:tcPr>
          <w:p>
            <w:pPr>
              <w:spacing w:line="300" w:lineRule="auto"/>
              <w:jc w:val="center"/>
              <w:rPr>
                <w:rFonts w:hint="eastAsia" w:ascii="宋体" w:hAnsi="宋体" w:cs="宋体"/>
                <w:sz w:val="18"/>
                <w:szCs w:val="18"/>
              </w:rPr>
            </w:pPr>
            <w:r>
              <w:rPr>
                <w:rFonts w:hint="eastAsia" w:ascii="宋体" w:hAnsi="宋体" w:cs="宋体"/>
                <w:sz w:val="18"/>
                <w:szCs w:val="18"/>
              </w:rPr>
              <w:t>序号</w:t>
            </w:r>
          </w:p>
        </w:tc>
        <w:tc>
          <w:tcPr>
            <w:tcW w:w="1489" w:type="dxa"/>
            <w:noWrap w:val="0"/>
            <w:vAlign w:val="center"/>
          </w:tcPr>
          <w:p>
            <w:pPr>
              <w:spacing w:line="300" w:lineRule="auto"/>
              <w:jc w:val="center"/>
              <w:rPr>
                <w:rFonts w:hint="eastAsia" w:ascii="宋体" w:hAnsi="宋体" w:cs="宋体"/>
                <w:sz w:val="18"/>
                <w:szCs w:val="18"/>
              </w:rPr>
            </w:pPr>
            <w:r>
              <w:rPr>
                <w:rFonts w:hint="eastAsia" w:ascii="宋体" w:hAnsi="宋体" w:cs="宋体"/>
                <w:color w:val="000000"/>
                <w:kern w:val="0"/>
                <w:sz w:val="18"/>
                <w:szCs w:val="18"/>
              </w:rPr>
              <w:t>分项名称</w:t>
            </w:r>
          </w:p>
        </w:tc>
        <w:tc>
          <w:tcPr>
            <w:tcW w:w="692" w:type="dxa"/>
            <w:noWrap w:val="0"/>
            <w:vAlign w:val="center"/>
          </w:tcPr>
          <w:p>
            <w:pPr>
              <w:spacing w:line="30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单位</w:t>
            </w:r>
          </w:p>
        </w:tc>
        <w:tc>
          <w:tcPr>
            <w:tcW w:w="1119" w:type="dxa"/>
            <w:noWrap w:val="0"/>
            <w:vAlign w:val="center"/>
          </w:tcPr>
          <w:p>
            <w:pPr>
              <w:spacing w:line="30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暂估</w:t>
            </w:r>
          </w:p>
          <w:p>
            <w:pPr>
              <w:spacing w:line="300" w:lineRule="auto"/>
              <w:jc w:val="center"/>
              <w:rPr>
                <w:rFonts w:hint="eastAsia" w:ascii="宋体" w:hAnsi="宋体" w:cs="宋体"/>
                <w:sz w:val="18"/>
                <w:szCs w:val="18"/>
              </w:rPr>
            </w:pPr>
            <w:r>
              <w:rPr>
                <w:rFonts w:hint="eastAsia" w:ascii="宋体" w:hAnsi="宋体" w:cs="宋体"/>
                <w:sz w:val="18"/>
                <w:szCs w:val="18"/>
              </w:rPr>
              <w:t>工程量</w:t>
            </w:r>
          </w:p>
        </w:tc>
        <w:tc>
          <w:tcPr>
            <w:tcW w:w="1350" w:type="dxa"/>
            <w:noWrap w:val="0"/>
            <w:vAlign w:val="center"/>
          </w:tcPr>
          <w:p>
            <w:pPr>
              <w:spacing w:line="300" w:lineRule="auto"/>
              <w:jc w:val="center"/>
              <w:rPr>
                <w:rFonts w:hint="eastAsia" w:ascii="宋体" w:hAnsi="宋体" w:eastAsia="宋体" w:cs="宋体"/>
                <w:sz w:val="18"/>
                <w:szCs w:val="18"/>
                <w:lang w:eastAsia="zh-CN"/>
              </w:rPr>
            </w:pPr>
            <w:r>
              <w:rPr>
                <w:rFonts w:hint="eastAsia" w:ascii="宋体" w:hAnsi="宋体" w:cs="宋体"/>
                <w:sz w:val="18"/>
                <w:szCs w:val="18"/>
                <w:lang w:val="en-US" w:eastAsia="zh-CN"/>
              </w:rPr>
              <w:t>报价</w:t>
            </w:r>
          </w:p>
        </w:tc>
        <w:tc>
          <w:tcPr>
            <w:tcW w:w="9962" w:type="dxa"/>
            <w:noWrap w:val="0"/>
            <w:vAlign w:val="center"/>
          </w:tcPr>
          <w:p>
            <w:pPr>
              <w:spacing w:line="300" w:lineRule="auto"/>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76" w:type="dxa"/>
            <w:gridSpan w:val="6"/>
            <w:noWrap w:val="0"/>
            <w:vAlign w:val="center"/>
          </w:tcPr>
          <w:p>
            <w:pPr>
              <w:jc w:val="left"/>
              <w:rPr>
                <w:rFonts w:ascii="宋体" w:hAnsi="宋体" w:cs="宋体"/>
                <w:sz w:val="18"/>
                <w:szCs w:val="18"/>
              </w:rPr>
            </w:pPr>
            <w:r>
              <w:rPr>
                <w:rFonts w:hint="eastAsia" w:ascii="宋体" w:hAnsi="宋体" w:cs="宋体"/>
                <w:sz w:val="18"/>
                <w:szCs w:val="18"/>
              </w:rPr>
              <w:t>一、单价</w:t>
            </w:r>
            <w:r>
              <w:rPr>
                <w:rFonts w:hint="eastAsia" w:ascii="宋体" w:hAnsi="宋体" w:cs="宋体"/>
                <w:sz w:val="18"/>
                <w:szCs w:val="18"/>
                <w:lang w:val="en-US" w:eastAsia="zh-CN"/>
              </w:rPr>
              <w:t>包干</w:t>
            </w:r>
            <w:r>
              <w:rPr>
                <w:rFonts w:hint="eastAsia" w:ascii="宋体" w:hAnsi="宋体" w:cs="宋体"/>
                <w:sz w:val="18"/>
                <w:szCs w:val="18"/>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64"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设备安装</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vertAlign w:val="superscript"/>
                <w:lang w:val="en-US"/>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270</w:t>
            </w:r>
          </w:p>
        </w:tc>
        <w:tc>
          <w:tcPr>
            <w:tcW w:w="1350" w:type="dxa"/>
            <w:noWrap w:val="0"/>
            <w:vAlign w:val="center"/>
          </w:tcPr>
          <w:p>
            <w:pPr>
              <w:widowControl/>
              <w:wordWrap w:val="0"/>
              <w:jc w:val="right"/>
              <w:rPr>
                <w:rFonts w:hint="default" w:ascii="宋体" w:hAnsi="宋体" w:eastAsia="宋体" w:cs="宋体"/>
                <w:sz w:val="18"/>
                <w:szCs w:val="18"/>
                <w:u w:val="single"/>
                <w:lang w:val="en-US" w:eastAsia="zh-CN"/>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包括空压机、干燥机、过滤器、储气罐、消音器、水泵等设备的卸车、运输、倒运、检验、安装、调试、标识等涉及的全部工序及人工费、机械费、材料费、措施费、不可竞争费、税金、水电费等全部费用。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64"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设备保护性拆除</w:t>
            </w:r>
          </w:p>
        </w:tc>
        <w:tc>
          <w:tcPr>
            <w:tcW w:w="692" w:type="dxa"/>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350" w:type="dxa"/>
            <w:noWrap w:val="0"/>
            <w:vAlign w:val="center"/>
          </w:tcPr>
          <w:p>
            <w:pPr>
              <w:widowControl/>
              <w:jc w:val="right"/>
              <w:rPr>
                <w:rFonts w:ascii="宋体" w:hAnsi="宋体" w:cs="宋体"/>
                <w:sz w:val="18"/>
                <w:szCs w:val="18"/>
                <w:u w:val="single"/>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包括空压机、冷却器、储气罐、干燥机、水泵、起重机等设备的保护性拆除、运送、倒运等全部工序及涉及的人工费、机械费、材料费、措施费、不可竞争费、税金、水电费等全部费用。由施工现场送至厂内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冷却塔拆除</w:t>
            </w:r>
          </w:p>
        </w:tc>
        <w:tc>
          <w:tcPr>
            <w:tcW w:w="692" w:type="dxa"/>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50" w:type="dxa"/>
            <w:noWrap w:val="0"/>
            <w:vAlign w:val="center"/>
          </w:tcPr>
          <w:p>
            <w:pPr>
              <w:widowControl/>
              <w:jc w:val="right"/>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元/台</w:t>
            </w:r>
          </w:p>
        </w:tc>
        <w:tc>
          <w:tcPr>
            <w:tcW w:w="9962" w:type="dxa"/>
            <w:noWrap w:val="0"/>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包括冷却塔非保护性拆除、运送、倒运等全部工序及涉及的人工费、机械费、材料费、措施费、不可竞争费、税金、水电费等全部费用。由施工现场送至厂内指定地点。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64"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489"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钢结构及管道拆除</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vertAlign w:val="superscript"/>
                <w:lang w:val="en-US" w:eastAsia="zh-CN"/>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350" w:type="dxa"/>
            <w:noWrap w:val="0"/>
            <w:vAlign w:val="center"/>
          </w:tcPr>
          <w:p>
            <w:pPr>
              <w:widowControl/>
              <w:jc w:val="right"/>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i w:val="0"/>
                <w:iCs w:val="0"/>
                <w:color w:val="000000"/>
                <w:kern w:val="0"/>
                <w:sz w:val="18"/>
                <w:szCs w:val="18"/>
                <w:u w:val="none"/>
                <w:lang w:val="en-US" w:eastAsia="zh-CN" w:bidi="ar"/>
              </w:rPr>
              <w:t>包括钢结构、管道、</w:t>
            </w:r>
            <w:r>
              <w:rPr>
                <w:rFonts w:hint="eastAsia" w:ascii="宋体" w:hAnsi="宋体" w:eastAsia="宋体" w:cs="宋体"/>
                <w:i w:val="0"/>
                <w:iCs w:val="0"/>
                <w:color w:val="auto"/>
                <w:kern w:val="0"/>
                <w:sz w:val="18"/>
                <w:szCs w:val="18"/>
                <w:u w:val="none"/>
                <w:lang w:val="en-US" w:eastAsia="zh-CN" w:bidi="ar"/>
              </w:rPr>
              <w:t>管件、阀门</w:t>
            </w:r>
            <w:r>
              <w:rPr>
                <w:rFonts w:hint="eastAsia" w:ascii="宋体" w:hAnsi="宋体" w:eastAsia="宋体" w:cs="宋体"/>
                <w:i w:val="0"/>
                <w:iCs w:val="0"/>
                <w:color w:val="000000"/>
                <w:kern w:val="0"/>
                <w:sz w:val="18"/>
                <w:szCs w:val="18"/>
                <w:u w:val="none"/>
                <w:lang w:val="en-US" w:eastAsia="zh-CN" w:bidi="ar"/>
              </w:rPr>
              <w:t>拆除、分解（分解尺寸不大于600mm*600mm）、运送、倒运等全部工序及涉及的人工费、机械费、材料费、措施费、不可竞争费、税金、水电费等全部费用。由施工现场送至厂内指定地点（以磅单为结算依据），包含保温材料的拆除，不再单独计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489"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DN100及以下管道安装</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50" w:type="dxa"/>
            <w:noWrap w:val="0"/>
            <w:vAlign w:val="center"/>
          </w:tcPr>
          <w:p>
            <w:pPr>
              <w:widowControl/>
              <w:jc w:val="right"/>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489"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val="en-US" w:eastAsia="zh-CN" w:bidi="ar"/>
              </w:rPr>
            </w:pPr>
            <w:r>
              <w:rPr>
                <w:rStyle w:val="35"/>
                <w:sz w:val="18"/>
                <w:szCs w:val="18"/>
                <w:lang w:val="en-US" w:eastAsia="zh-CN" w:bidi="ar"/>
              </w:rPr>
              <w:t>DN100及以下阀门安装</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vertAlign w:val="superscript"/>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350" w:type="dxa"/>
            <w:noWrap w:val="0"/>
            <w:vAlign w:val="center"/>
          </w:tcPr>
          <w:p>
            <w:pPr>
              <w:widowControl/>
              <w:jc w:val="right"/>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元/套</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489" w:type="dxa"/>
            <w:noWrap w:val="0"/>
            <w:vAlign w:val="center"/>
          </w:tcPr>
          <w:p>
            <w:pPr>
              <w:keepNext w:val="0"/>
              <w:keepLines w:val="0"/>
              <w:widowControl/>
              <w:suppressLineNumbers w:val="0"/>
              <w:jc w:val="left"/>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DN100-DN200（含）管道安装</w:t>
            </w:r>
          </w:p>
        </w:tc>
        <w:tc>
          <w:tcPr>
            <w:tcW w:w="692" w:type="dxa"/>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50" w:type="dxa"/>
            <w:noWrap w:val="0"/>
            <w:vAlign w:val="center"/>
          </w:tcPr>
          <w:p>
            <w:pPr>
              <w:widowControl/>
              <w:jc w:val="right"/>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6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48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DN100-DN200（含）管道安装和保温</w:t>
            </w:r>
          </w:p>
        </w:tc>
        <w:tc>
          <w:tcPr>
            <w:tcW w:w="69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50" w:type="dxa"/>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管道、管件及保温材料的卸车、运输、倒运、管道管件安装、试压、吹扫、除锈刷漆（含油漆）、标识，岩棉安装、玻璃丝布两遍、油毡一遍、外包彩皮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35"/>
                <w:sz w:val="18"/>
                <w:szCs w:val="18"/>
                <w:lang w:val="en-US" w:eastAsia="zh-CN" w:bidi="ar"/>
              </w:rPr>
              <w:t>DN100-DN200（含）阀门安装</w:t>
            </w:r>
          </w:p>
        </w:tc>
        <w:tc>
          <w:tcPr>
            <w:tcW w:w="69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350" w:type="dxa"/>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元/套</w:t>
            </w:r>
          </w:p>
        </w:tc>
        <w:tc>
          <w:tcPr>
            <w:tcW w:w="99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64" w:type="dxa"/>
            <w:noWrap w:val="0"/>
            <w:vAlign w:val="center"/>
          </w:tcPr>
          <w:p>
            <w:pPr>
              <w:keepNext w:val="0"/>
              <w:keepLines w:val="0"/>
              <w:widowControl/>
              <w:suppressLineNumbers w:val="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48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DN200-DN500（含）管道安装</w:t>
            </w:r>
          </w:p>
        </w:tc>
        <w:tc>
          <w:tcPr>
            <w:tcW w:w="69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3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val="en-US" w:eastAsia="zh-CN"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4"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DN200-DN500（含）管道安装和保温</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管道、管件及保温材料的卸车、运输、倒运、管道管件安装、试压、吹扫、除锈刷漆（含油漆）、标识，岩棉安装、玻璃丝布两遍、油毡一遍、外包彩皮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4"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Style w:val="35"/>
                <w:sz w:val="18"/>
                <w:szCs w:val="18"/>
                <w:lang w:val="en-US" w:eastAsia="zh-CN" w:bidi="ar"/>
              </w:rPr>
              <w:t>DN200-DN500（含）阀门安装</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3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元/套</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4"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Style w:val="35"/>
                <w:color w:val="auto"/>
                <w:sz w:val="18"/>
                <w:szCs w:val="18"/>
                <w:lang w:val="en-US" w:eastAsia="zh-CN" w:bidi="ar"/>
              </w:rPr>
              <w:t>DN500以上不锈钢</w:t>
            </w:r>
            <w:r>
              <w:rPr>
                <w:rStyle w:val="36"/>
                <w:color w:val="auto"/>
                <w:sz w:val="18"/>
                <w:szCs w:val="18"/>
                <w:lang w:val="en-US" w:eastAsia="zh-CN" w:bidi="ar"/>
              </w:rPr>
              <w:t>管道</w:t>
            </w:r>
            <w:r>
              <w:rPr>
                <w:rStyle w:val="35"/>
                <w:color w:val="auto"/>
                <w:sz w:val="18"/>
                <w:szCs w:val="18"/>
                <w:lang w:val="en-US" w:eastAsia="zh-CN" w:bidi="ar"/>
              </w:rPr>
              <w:t>安装</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包括管道及管件的卸车、运输、倒运、安装、试压、吹扫、刷漆（含油漆）、标识等涉及的全部工序及人工费、机械费、材料费、措施费、不可竞争费、税金、水电费等全部费用。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4"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Style w:val="35"/>
                <w:color w:val="auto"/>
                <w:sz w:val="18"/>
                <w:szCs w:val="18"/>
                <w:lang w:val="en-US" w:eastAsia="zh-CN" w:bidi="ar"/>
              </w:rPr>
              <w:t>DN500以上</w:t>
            </w:r>
            <w:r>
              <w:rPr>
                <w:rStyle w:val="36"/>
                <w:color w:val="auto"/>
                <w:sz w:val="18"/>
                <w:szCs w:val="18"/>
                <w:lang w:val="en-US" w:eastAsia="zh-CN" w:bidi="ar"/>
              </w:rPr>
              <w:t>管道</w:t>
            </w:r>
            <w:r>
              <w:rPr>
                <w:rStyle w:val="35"/>
                <w:color w:val="auto"/>
                <w:sz w:val="18"/>
                <w:szCs w:val="18"/>
                <w:lang w:val="en-US" w:eastAsia="zh-CN" w:bidi="ar"/>
              </w:rPr>
              <w:t>安装</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350" w:type="dxa"/>
            <w:noWrap w:val="0"/>
            <w:vAlign w:val="center"/>
          </w:tcPr>
          <w:p>
            <w:pPr>
              <w:keepNext w:val="0"/>
              <w:keepLines w:val="0"/>
              <w:widowControl/>
              <w:suppressLineNumbers w:val="0"/>
              <w:jc w:val="right"/>
              <w:textAlignment w:val="center"/>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64"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Style w:val="35"/>
                <w:sz w:val="18"/>
                <w:szCs w:val="18"/>
                <w:lang w:val="en-US" w:eastAsia="zh-CN" w:bidi="ar"/>
              </w:rPr>
              <w:t>DN500以上阀门安装</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50" w:type="dxa"/>
            <w:noWrap w:val="0"/>
            <w:vAlign w:val="center"/>
          </w:tcPr>
          <w:p>
            <w:pPr>
              <w:widowControl/>
              <w:jc w:val="right"/>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元/套</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4"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692"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t</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53</w:t>
            </w:r>
          </w:p>
        </w:tc>
        <w:tc>
          <w:tcPr>
            <w:tcW w:w="1350" w:type="dxa"/>
            <w:noWrap w:val="0"/>
            <w:vAlign w:val="center"/>
          </w:tcPr>
          <w:p>
            <w:pPr>
              <w:widowControl/>
              <w:jc w:val="right"/>
              <w:rPr>
                <w:rFonts w:hint="eastAsia" w:ascii="宋体" w:hAnsi="宋体" w:cs="宋体"/>
                <w:color w:val="000000"/>
                <w:kern w:val="0"/>
                <w:sz w:val="18"/>
                <w:szCs w:val="18"/>
                <w:u w:val="single"/>
                <w:lang w:bidi="ar"/>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元/t</w:t>
            </w:r>
          </w:p>
        </w:tc>
        <w:tc>
          <w:tcPr>
            <w:tcW w:w="996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管托、支吊架、平台、梯子、栏杆、钢盖板等所有钢构制安，包括卸车、运输、倒运、制作、安装、除锈、刷漆（含油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64" w:type="dxa"/>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4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DN400管道带压开孔</w:t>
            </w:r>
          </w:p>
        </w:tc>
        <w:tc>
          <w:tcPr>
            <w:tcW w:w="69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w:t>
            </w:r>
          </w:p>
        </w:tc>
        <w:tc>
          <w:tcPr>
            <w:tcW w:w="1119" w:type="dxa"/>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350" w:type="dxa"/>
            <w:noWrap w:val="0"/>
            <w:vAlign w:val="center"/>
          </w:tcPr>
          <w:p>
            <w:pPr>
              <w:widowControl/>
              <w:jc w:val="right"/>
              <w:rPr>
                <w:rFonts w:hint="eastAsia" w:ascii="宋体" w:hAnsi="宋体" w:cs="宋体"/>
                <w:sz w:val="18"/>
                <w:szCs w:val="18"/>
                <w:u w:val="single"/>
                <w:lang w:val="en-US" w:eastAsia="zh-CN"/>
              </w:rPr>
            </w:pP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元/处</w:t>
            </w:r>
          </w:p>
        </w:tc>
        <w:tc>
          <w:tcPr>
            <w:tcW w:w="99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包括带压开孔等涉及的全部工序及人工费、机械费、材料费、措施费、不可竞争费、税金、水电费等全部费用。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376" w:type="dxa"/>
            <w:gridSpan w:val="6"/>
            <w:noWrap w:val="0"/>
            <w:vAlign w:val="center"/>
          </w:tcPr>
          <w:p>
            <w:pPr>
              <w:jc w:val="left"/>
              <w:rPr>
                <w:rFonts w:hint="eastAsia" w:ascii="宋体" w:hAnsi="宋体" w:cs="宋体"/>
                <w:sz w:val="18"/>
                <w:szCs w:val="18"/>
              </w:rPr>
            </w:pPr>
            <w:r>
              <w:rPr>
                <w:rFonts w:hint="eastAsia" w:ascii="宋体" w:hAnsi="宋体" w:cs="宋体"/>
                <w:sz w:val="18"/>
                <w:szCs w:val="18"/>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1489" w:type="dxa"/>
            <w:noWrap w:val="0"/>
            <w:vAlign w:val="center"/>
          </w:tcPr>
          <w:p>
            <w:pPr>
              <w:jc w:val="left"/>
              <w:rPr>
                <w:rFonts w:hint="eastAsia" w:ascii="宋体" w:hAnsi="宋体" w:cs="宋体"/>
                <w:sz w:val="18"/>
                <w:szCs w:val="18"/>
              </w:rPr>
            </w:pPr>
            <w:r>
              <w:rPr>
                <w:rFonts w:hint="eastAsia"/>
                <w:sz w:val="18"/>
                <w:szCs w:val="18"/>
              </w:rPr>
              <w:t>优惠率（不包含材料费）</w:t>
            </w:r>
          </w:p>
        </w:tc>
        <w:tc>
          <w:tcPr>
            <w:tcW w:w="1811" w:type="dxa"/>
            <w:gridSpan w:val="2"/>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sz w:val="18"/>
                <w:szCs w:val="18"/>
              </w:rPr>
              <w:t>暂</w:t>
            </w:r>
            <w:r>
              <w:rPr>
                <w:rFonts w:hint="eastAsia" w:ascii="宋体" w:hAnsi="宋体" w:cs="宋体"/>
                <w:sz w:val="18"/>
                <w:szCs w:val="18"/>
                <w:lang w:val="en-US" w:eastAsia="zh-CN"/>
              </w:rPr>
              <w:t>估</w:t>
            </w:r>
            <w:r>
              <w:rPr>
                <w:rFonts w:hint="eastAsia" w:ascii="宋体" w:hAnsi="宋体" w:cs="宋体"/>
                <w:sz w:val="18"/>
                <w:szCs w:val="18"/>
              </w:rPr>
              <w:t>金额</w:t>
            </w:r>
            <w:r>
              <w:rPr>
                <w:rFonts w:hint="eastAsia" w:ascii="宋体" w:hAnsi="宋体" w:cs="宋体"/>
                <w:sz w:val="18"/>
                <w:szCs w:val="18"/>
                <w:u w:val="single"/>
                <w:lang w:val="en-US" w:eastAsia="zh-CN"/>
              </w:rPr>
              <w:t>200000</w:t>
            </w:r>
            <w:r>
              <w:rPr>
                <w:rFonts w:hint="eastAsia" w:ascii="宋体" w:hAnsi="宋体" w:cs="宋体"/>
                <w:sz w:val="18"/>
                <w:szCs w:val="18"/>
              </w:rPr>
              <w:t>元</w:t>
            </w:r>
          </w:p>
        </w:tc>
        <w:tc>
          <w:tcPr>
            <w:tcW w:w="1350" w:type="dxa"/>
            <w:noWrap w:val="0"/>
            <w:vAlign w:val="center"/>
          </w:tcPr>
          <w:p>
            <w:pPr>
              <w:spacing w:before="156" w:beforeLines="50" w:after="156" w:afterLines="50"/>
              <w:jc w:val="left"/>
              <w:rPr>
                <w:rFonts w:hint="eastAsia" w:ascii="宋体" w:hAnsi="宋体" w:cs="宋体"/>
                <w:sz w:val="18"/>
                <w:szCs w:val="18"/>
                <w:u w:val="single"/>
              </w:rPr>
            </w:pPr>
            <w:r>
              <w:rPr>
                <w:rFonts w:hint="eastAsia" w:ascii="宋体" w:hAnsi="宋体" w:cs="宋体"/>
                <w:sz w:val="18"/>
                <w:szCs w:val="18"/>
              </w:rPr>
              <w:t>优惠</w:t>
            </w:r>
            <w:r>
              <w:rPr>
                <w:rFonts w:hint="eastAsia" w:ascii="宋体" w:hAnsi="宋体" w:cs="宋体"/>
                <w:sz w:val="18"/>
                <w:szCs w:val="18"/>
                <w:u w:val="single"/>
              </w:rPr>
              <w:t xml:space="preserve">     </w:t>
            </w:r>
            <w:r>
              <w:rPr>
                <w:rFonts w:hint="eastAsia" w:ascii="宋体" w:hAnsi="宋体" w:cs="宋体"/>
                <w:sz w:val="18"/>
                <w:szCs w:val="18"/>
              </w:rPr>
              <w:t>%</w:t>
            </w:r>
          </w:p>
        </w:tc>
        <w:tc>
          <w:tcPr>
            <w:tcW w:w="9962" w:type="dxa"/>
            <w:noWrap w:val="0"/>
            <w:vAlign w:val="top"/>
          </w:tcPr>
          <w:p>
            <w:pPr>
              <w:jc w:val="left"/>
              <w:rPr>
                <w:rFonts w:hint="eastAsia" w:ascii="宋体" w:hAnsi="宋体" w:cs="宋体"/>
                <w:sz w:val="18"/>
                <w:szCs w:val="18"/>
              </w:rPr>
            </w:pPr>
            <w:r>
              <w:rPr>
                <w:rFonts w:hint="eastAsia" w:ascii="宋体" w:hAnsi="宋体" w:cs="宋体"/>
                <w:sz w:val="18"/>
                <w:szCs w:val="18"/>
              </w:rPr>
              <w:t>执行2018版安徽省建设工程计价定额及配套费用定额，材料费不参与总价优惠。措施</w:t>
            </w:r>
            <w:r>
              <w:rPr>
                <w:rFonts w:hint="eastAsia" w:ascii="宋体" w:hAnsi="宋体" w:cs="宋体"/>
                <w:sz w:val="18"/>
                <w:szCs w:val="18"/>
                <w:lang w:val="en-US" w:eastAsia="zh-CN"/>
              </w:rPr>
              <w:t>项目</w:t>
            </w:r>
            <w:r>
              <w:rPr>
                <w:rFonts w:hint="eastAsia" w:ascii="宋体" w:hAnsi="宋体" w:cs="宋体"/>
                <w:sz w:val="18"/>
                <w:szCs w:val="18"/>
              </w:rPr>
              <w:t>费以</w:t>
            </w:r>
            <w:r>
              <w:rPr>
                <w:rFonts w:hint="eastAsia" w:ascii="宋体" w:hAnsi="宋体" w:cs="宋体"/>
                <w:sz w:val="18"/>
                <w:szCs w:val="18"/>
                <w:lang w:val="en-US" w:eastAsia="zh-CN"/>
              </w:rPr>
              <w:t>现场确认</w:t>
            </w:r>
            <w:r>
              <w:rPr>
                <w:rFonts w:hint="eastAsia" w:ascii="宋体" w:hAnsi="宋体" w:cs="宋体"/>
                <w:sz w:val="18"/>
                <w:szCs w:val="18"/>
              </w:rPr>
              <w:t>形式据实计取，二次搬运费不计取。</w:t>
            </w:r>
          </w:p>
        </w:tc>
      </w:tr>
    </w:tbl>
    <w:p>
      <w:pPr>
        <w:spacing w:line="300" w:lineRule="auto"/>
        <w:ind w:firstLine="480" w:firstLineChars="200"/>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sz w:val="18"/>
          <w:szCs w:val="18"/>
        </w:rPr>
        <w:t>。</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4D2E1E"/>
    <w:rsid w:val="21F73AF2"/>
    <w:rsid w:val="23883F50"/>
    <w:rsid w:val="24C93CD8"/>
    <w:rsid w:val="24E835CF"/>
    <w:rsid w:val="282A37D0"/>
    <w:rsid w:val="2ACC54A6"/>
    <w:rsid w:val="326329B3"/>
    <w:rsid w:val="33F77810"/>
    <w:rsid w:val="34481C4C"/>
    <w:rsid w:val="3FCB1C27"/>
    <w:rsid w:val="480D2EFA"/>
    <w:rsid w:val="4CBD129F"/>
    <w:rsid w:val="4FE71EA0"/>
    <w:rsid w:val="51280DE8"/>
    <w:rsid w:val="59A06F0E"/>
    <w:rsid w:val="5C3B118A"/>
    <w:rsid w:val="6533734E"/>
    <w:rsid w:val="66296C18"/>
    <w:rsid w:val="6B320EB8"/>
    <w:rsid w:val="6B580183"/>
    <w:rsid w:val="724E1F86"/>
    <w:rsid w:val="77676C2F"/>
    <w:rsid w:val="7A7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01"/>
    <w:basedOn w:val="14"/>
    <w:qFormat/>
    <w:uiPriority w:val="0"/>
    <w:rPr>
      <w:rFonts w:hint="eastAsia" w:ascii="宋体" w:hAnsi="宋体" w:eastAsia="宋体" w:cs="宋体"/>
      <w:color w:val="000000"/>
      <w:sz w:val="20"/>
      <w:szCs w:val="20"/>
      <w:u w:val="none"/>
    </w:rPr>
  </w:style>
  <w:style w:type="character" w:customStyle="1" w:styleId="36">
    <w:name w:val="font3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2021-10-25T07:29:32Z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8A205F93C21C4C5CB679A371B12D3AF4</vt:lpwstr>
  </property>
</Properties>
</file>