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炼铁一烧区域厂房墙面粉刷工程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10011LTYSSQGC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炼铁一烧区域厂房墙面粉刷工程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炼铁一烧区域厂房墙面粉刷工程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炼铁一烧区域厂房墙面粉刷工程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炼铁一烧区域厂房墙面粉刷工程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包含</w:t>
      </w:r>
      <w:r>
        <w:rPr>
          <w:rFonts w:hint="eastAsia" w:ascii="宋体" w:hAnsi="宋体"/>
          <w:lang w:val="en-US" w:eastAsia="zh-CN"/>
        </w:rPr>
        <w:t>一烧主控楼、两风机房、筛分楼等区域厂房墙面粉刷施工</w:t>
      </w:r>
      <w:r>
        <w:rPr>
          <w:rFonts w:hint="eastAsia" w:ascii="宋体" w:hAnsi="宋体"/>
          <w:lang w:eastAsia="zh-CN"/>
        </w:rPr>
        <w:t>。工作量：</w:t>
      </w:r>
      <w:r>
        <w:rPr>
          <w:rFonts w:hint="eastAsia" w:ascii="宋体" w:hAnsi="宋体"/>
          <w:lang w:val="en-US" w:eastAsia="zh-CN"/>
        </w:rPr>
        <w:t>墙面粉刷总面积约33200m2</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10</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1</w:t>
      </w:r>
      <w:r>
        <w:rPr>
          <w:rFonts w:hint="eastAsia" w:ascii="宋体" w:hAnsi="宋体" w:cs="宋体"/>
          <w:kern w:val="36"/>
        </w:rPr>
        <w:t>月</w:t>
      </w:r>
      <w:r>
        <w:rPr>
          <w:rFonts w:hint="eastAsia" w:ascii="宋体" w:hAnsi="宋体" w:cs="宋体"/>
          <w:kern w:val="36"/>
          <w:lang w:val="en-US" w:eastAsia="zh-CN"/>
        </w:rPr>
        <w:t>9</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lang w:val="en-US" w:eastAsia="zh-CN"/>
        </w:rPr>
        <w:t>1、</w:t>
      </w:r>
      <w:r>
        <w:rPr>
          <w:rFonts w:hint="eastAsia"/>
          <w:bCs/>
          <w:kern w:val="36"/>
          <w:szCs w:val="21"/>
        </w:rPr>
        <w:t>本工程</w:t>
      </w:r>
      <w:r>
        <w:rPr>
          <w:rFonts w:hint="eastAsia"/>
          <w:bCs/>
          <w:kern w:val="36"/>
          <w:szCs w:val="21"/>
          <w:lang w:val="en-US" w:eastAsia="zh-CN"/>
        </w:rPr>
        <w:t>按</w:t>
      </w:r>
      <w:r>
        <w:rPr>
          <w:rFonts w:hint="eastAsia"/>
          <w:bCs/>
          <w:kern w:val="36"/>
          <w:szCs w:val="21"/>
        </w:rPr>
        <w:t>单价</w:t>
      </w:r>
      <w:r>
        <w:rPr>
          <w:rFonts w:hint="eastAsia"/>
          <w:bCs/>
          <w:kern w:val="36"/>
          <w:szCs w:val="21"/>
          <w:lang w:val="en-US" w:eastAsia="zh-CN"/>
        </w:rPr>
        <w:t>包干</w:t>
      </w:r>
      <w:r>
        <w:rPr>
          <w:rFonts w:hint="eastAsia"/>
          <w:bCs/>
          <w:kern w:val="36"/>
          <w:szCs w:val="21"/>
        </w:rPr>
        <w:t>的方式进行报价。</w:t>
      </w:r>
      <w:r>
        <w:rPr>
          <w:rFonts w:hint="eastAsia"/>
          <w:bCs/>
          <w:kern w:val="36"/>
          <w:szCs w:val="21"/>
          <w:lang w:eastAsia="zh-CN"/>
        </w:rPr>
        <w:t>具体工作量办理现场确认单据实结算。</w:t>
      </w:r>
    </w:p>
    <w:p>
      <w:pPr>
        <w:spacing w:beforeLines="50" w:afterLines="50" w:line="360" w:lineRule="exact"/>
        <w:rPr>
          <w:rFonts w:hint="eastAsia"/>
          <w:bCs/>
          <w:kern w:val="36"/>
          <w:szCs w:val="21"/>
        </w:rPr>
      </w:pPr>
      <w:r>
        <w:rPr>
          <w:rFonts w:hint="eastAsia"/>
          <w:bCs/>
          <w:kern w:val="36"/>
          <w:szCs w:val="21"/>
          <w:lang w:val="en-US" w:eastAsia="zh-CN"/>
        </w:rPr>
        <w:t>2、</w:t>
      </w:r>
      <w:r>
        <w:rPr>
          <w:rFonts w:hint="eastAsia"/>
          <w:bCs/>
          <w:kern w:val="36"/>
          <w:szCs w:val="21"/>
        </w:rPr>
        <w:t>该工程</w:t>
      </w:r>
      <w:r>
        <w:rPr>
          <w:rFonts w:hint="eastAsia"/>
          <w:bCs/>
          <w:color w:val="FF0000"/>
          <w:kern w:val="36"/>
          <w:szCs w:val="21"/>
        </w:rPr>
        <w:t>所有材料由承包</w:t>
      </w:r>
      <w:r>
        <w:rPr>
          <w:rFonts w:hint="eastAsia"/>
          <w:bCs/>
          <w:color w:val="FF0000"/>
          <w:kern w:val="36"/>
          <w:szCs w:val="21"/>
          <w:lang w:val="en-US" w:eastAsia="zh-CN"/>
        </w:rPr>
        <w:t>人</w:t>
      </w:r>
      <w:r>
        <w:rPr>
          <w:rFonts w:hint="eastAsia"/>
          <w:bCs/>
          <w:color w:val="FF0000"/>
          <w:kern w:val="36"/>
          <w:szCs w:val="21"/>
        </w:rPr>
        <w:t>提供</w:t>
      </w:r>
      <w:r>
        <w:rPr>
          <w:rFonts w:hint="eastAsia"/>
          <w:bCs/>
          <w:kern w:val="36"/>
          <w:szCs w:val="21"/>
        </w:rPr>
        <w:t>。</w:t>
      </w:r>
    </w:p>
    <w:p>
      <w:pPr>
        <w:spacing w:beforeLines="50" w:afterLines="50" w:line="360" w:lineRule="exact"/>
        <w:rPr>
          <w:rFonts w:hint="eastAsia"/>
          <w:bCs/>
          <w:kern w:val="36"/>
          <w:szCs w:val="21"/>
        </w:rPr>
      </w:pPr>
      <w:r>
        <w:rPr>
          <w:rFonts w:hint="eastAsia"/>
          <w:bCs/>
          <w:kern w:val="36"/>
          <w:szCs w:val="21"/>
          <w:lang w:val="en-US" w:eastAsia="zh-CN"/>
        </w:rPr>
        <w:t>3、</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spacing w:beforeLines="50" w:afterLines="50" w:line="360" w:lineRule="exact"/>
        <w:rPr>
          <w:rFonts w:hint="eastAsia"/>
          <w:bCs/>
          <w:kern w:val="36"/>
          <w:szCs w:val="21"/>
        </w:rPr>
      </w:pPr>
      <w:r>
        <w:rPr>
          <w:rFonts w:hint="eastAsia"/>
          <w:bCs/>
          <w:kern w:val="36"/>
          <w:szCs w:val="21"/>
          <w:lang w:val="en-US" w:eastAsia="zh-CN"/>
        </w:rPr>
        <w:t>4、</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spacing w:beforeLines="50" w:afterLines="50" w:line="360" w:lineRule="exact"/>
        <w:rPr>
          <w:rFonts w:hint="eastAsia"/>
          <w:bCs/>
          <w:kern w:val="36"/>
          <w:szCs w:val="21"/>
        </w:rPr>
      </w:pPr>
      <w:r>
        <w:rPr>
          <w:rFonts w:hint="eastAsia"/>
          <w:bCs/>
          <w:kern w:val="36"/>
          <w:szCs w:val="21"/>
          <w:lang w:val="en-US" w:eastAsia="zh-CN"/>
        </w:rPr>
        <w:t>5、</w:t>
      </w:r>
      <w:r>
        <w:rPr>
          <w:rFonts w:hint="eastAsia"/>
          <w:bCs/>
          <w:kern w:val="36"/>
          <w:szCs w:val="21"/>
        </w:rPr>
        <w:t>工程内容按合同约定执行，开具增值税发票执行9%税率。</w:t>
      </w:r>
    </w:p>
    <w:p>
      <w:pPr>
        <w:spacing w:beforeLines="50" w:afterLines="50" w:line="360" w:lineRule="exact"/>
        <w:rPr>
          <w:rFonts w:hint="eastAsia"/>
          <w:bCs/>
          <w:kern w:val="36"/>
          <w:szCs w:val="21"/>
        </w:rPr>
      </w:pPr>
      <w:r>
        <w:rPr>
          <w:rFonts w:hint="eastAsia"/>
          <w:bCs/>
          <w:kern w:val="36"/>
          <w:szCs w:val="21"/>
          <w:lang w:val="en-US" w:eastAsia="zh-CN"/>
        </w:rPr>
        <w:t>6、</w:t>
      </w: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lang w:val="en-US" w:eastAsia="zh-CN"/>
        </w:rPr>
      </w:pPr>
      <w:r>
        <w:rPr>
          <w:rFonts w:hint="eastAsia"/>
          <w:bCs/>
          <w:kern w:val="36"/>
          <w:szCs w:val="21"/>
          <w:lang w:val="en-US" w:eastAsia="zh-CN"/>
        </w:rPr>
        <w:t>7、本工程质保期</w:t>
      </w:r>
      <w:r>
        <w:rPr>
          <w:rFonts w:hint="eastAsia"/>
          <w:bCs/>
          <w:color w:val="FF0000"/>
          <w:kern w:val="36"/>
          <w:szCs w:val="21"/>
          <w:lang w:val="en-US" w:eastAsia="zh-CN"/>
        </w:rPr>
        <w:t>3年</w:t>
      </w:r>
      <w:r>
        <w:rPr>
          <w:rFonts w:hint="eastAsia"/>
          <w:bCs/>
          <w:kern w:val="36"/>
          <w:szCs w:val="21"/>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lang w:eastAsia="zh-CN"/>
        </w:rPr>
        <w:t>、</w:t>
      </w:r>
      <w:r>
        <w:rPr>
          <w:rFonts w:hint="eastAsia"/>
          <w:bCs/>
          <w:kern w:val="36"/>
          <w:szCs w:val="21"/>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r>
        <w:rPr>
          <w:rFonts w:hint="default" w:ascii="宋体" w:hAnsi="宋体" w:cs="宋体"/>
          <w:color w:val="000000"/>
        </w:rPr>
        <w:t>。</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炼铁一烧区域厂房墙面粉刷工程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625" w:type="pct"/>
        <w:tblInd w:w="0" w:type="dxa"/>
        <w:tblLayout w:type="fixed"/>
        <w:tblCellMar>
          <w:top w:w="0" w:type="dxa"/>
          <w:left w:w="108" w:type="dxa"/>
          <w:bottom w:w="0" w:type="dxa"/>
          <w:right w:w="108" w:type="dxa"/>
        </w:tblCellMar>
      </w:tblPr>
      <w:tblGrid>
        <w:gridCol w:w="520"/>
        <w:gridCol w:w="1084"/>
        <w:gridCol w:w="417"/>
        <w:gridCol w:w="1322"/>
        <w:gridCol w:w="1073"/>
        <w:gridCol w:w="1719"/>
        <w:gridCol w:w="4862"/>
      </w:tblGrid>
      <w:tr>
        <w:tblPrEx>
          <w:tblCellMar>
            <w:top w:w="0" w:type="dxa"/>
            <w:left w:w="108" w:type="dxa"/>
            <w:bottom w:w="0" w:type="dxa"/>
            <w:right w:w="108" w:type="dxa"/>
          </w:tblCellMar>
        </w:tblPrEx>
        <w:trPr>
          <w:trHeight w:val="641" w:hRule="atLeast"/>
        </w:trPr>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9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60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拦标价</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395" w:hRule="atLeast"/>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墙面抹灰</w:t>
            </w:r>
          </w:p>
        </w:tc>
        <w:tc>
          <w:tcPr>
            <w:tcW w:w="1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60</w:t>
            </w:r>
            <w:r>
              <w:rPr>
                <w:rFonts w:hint="eastAsia" w:ascii="宋体" w:hAnsi="宋体" w:cs="宋体"/>
                <w:color w:val="000000"/>
                <w:kern w:val="0"/>
                <w:sz w:val="24"/>
                <w:szCs w:val="24"/>
                <w:lang w:bidi="ar"/>
              </w:rPr>
              <w:t>元/m</w:t>
            </w:r>
            <w:r>
              <w:rPr>
                <w:rFonts w:hint="eastAsia" w:ascii="宋体" w:hAnsi="宋体" w:cs="宋体"/>
                <w:color w:val="000000"/>
                <w:kern w:val="0"/>
                <w:sz w:val="24"/>
                <w:szCs w:val="24"/>
                <w:vertAlign w:val="superscript"/>
                <w:lang w:bidi="ar"/>
              </w:rPr>
              <w:t>2</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2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包括卸车、运输、倒运、脚手架、铲除、杂物清理、抹灰等涉及的全部工序及人工费、机械费、材料费、措施费、不可竞争费、税金、水电费等全部费用。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591" w:hRule="atLeast"/>
        </w:trPr>
        <w:tc>
          <w:tcPr>
            <w:tcW w:w="2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1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33200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58</w:t>
            </w:r>
            <w:r>
              <w:rPr>
                <w:rFonts w:hint="eastAsia" w:ascii="宋体" w:hAnsi="宋体" w:cs="宋体"/>
                <w:color w:val="000000"/>
                <w:kern w:val="0"/>
                <w:sz w:val="24"/>
                <w:szCs w:val="24"/>
                <w:u w:val="none"/>
                <w:lang w:bidi="ar"/>
              </w:rPr>
              <w:t>元/m</w:t>
            </w:r>
            <w:r>
              <w:rPr>
                <w:rFonts w:hint="eastAsia" w:ascii="宋体" w:hAnsi="宋体" w:cs="宋体"/>
                <w:color w:val="000000"/>
                <w:kern w:val="0"/>
                <w:sz w:val="24"/>
                <w:szCs w:val="24"/>
                <w:u w:val="none"/>
                <w:vertAlign w:val="superscript"/>
                <w:lang w:bidi="ar"/>
              </w:rPr>
              <w:t>2</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2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24"/>
                <w:szCs w:val="24"/>
              </w:rPr>
            </w:pPr>
            <w:r>
              <w:rPr>
                <w:rFonts w:hint="eastAsia" w:ascii="宋体" w:hAnsi="宋体" w:eastAsia="宋体" w:cs="宋体"/>
                <w:i w:val="0"/>
                <w:iCs w:val="0"/>
                <w:color w:val="000000"/>
                <w:kern w:val="0"/>
                <w:sz w:val="20"/>
                <w:szCs w:val="20"/>
                <w:u w:val="none"/>
                <w:lang w:val="en-US" w:eastAsia="zh-CN" w:bidi="ar"/>
              </w:rPr>
              <w:t>包括卸车、运输、倒运、脚手架、铲除、杂物清理、刮腻子及粉刷涂料等涉及的全部工序及人工费、机械费、材料费、措施费、不可竞争费、税金、水电费等全部费用。</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bookmarkStart w:id="3" w:name="_GoBack"/>
      <w:bookmarkEnd w:id="3"/>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C26323"/>
    <w:rsid w:val="1B847400"/>
    <w:rsid w:val="1DC136C9"/>
    <w:rsid w:val="214D2E1E"/>
    <w:rsid w:val="21F73AF2"/>
    <w:rsid w:val="22574413"/>
    <w:rsid w:val="2268061B"/>
    <w:rsid w:val="23883F50"/>
    <w:rsid w:val="24C93CD8"/>
    <w:rsid w:val="24E835CF"/>
    <w:rsid w:val="282A37D0"/>
    <w:rsid w:val="2ADF628A"/>
    <w:rsid w:val="326329B3"/>
    <w:rsid w:val="34481C4C"/>
    <w:rsid w:val="3C6049DA"/>
    <w:rsid w:val="47614EF9"/>
    <w:rsid w:val="492349FE"/>
    <w:rsid w:val="59A06F0E"/>
    <w:rsid w:val="5D882CE0"/>
    <w:rsid w:val="64A26E4D"/>
    <w:rsid w:val="66296C18"/>
    <w:rsid w:val="6903317D"/>
    <w:rsid w:val="6C7D1BC0"/>
    <w:rsid w:val="724E1F86"/>
    <w:rsid w:val="77676C2F"/>
    <w:rsid w:val="77AC6F3E"/>
    <w:rsid w:val="78CE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2021-10-26T08:36:54Z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