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径向锻炉区焦炉煤气隐患整改土建工程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径向锻炉区焦炉煤气隐患整改土建工程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径向锻炉区焦炉煤气隐患整改土建工程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径向锻炉区焦炉煤气隐患整改土建工程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包含</w:t>
      </w:r>
      <w:r>
        <w:rPr>
          <w:rFonts w:hint="eastAsia" w:ascii="宋体" w:hAnsi="宋体"/>
          <w:color w:val="auto"/>
          <w:lang w:val="en-US" w:eastAsia="zh-CN"/>
        </w:rPr>
        <w:t>支架基础、地坪破除恢复、新增人行道等</w:t>
      </w:r>
      <w:r>
        <w:rPr>
          <w:rFonts w:hint="eastAsia" w:ascii="宋体" w:hAnsi="宋体"/>
          <w:color w:val="auto"/>
        </w:rPr>
        <w:t>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08</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08</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钢筋由发包人提供</w:t>
      </w:r>
      <w:r>
        <w:rPr>
          <w:rFonts w:hint="eastAsia" w:ascii="宋体" w:hAnsi="宋体" w:cs="宋体" w:eastAsiaTheme="minorEastAsia"/>
          <w:color w:val="auto"/>
          <w:kern w:val="36"/>
          <w:sz w:val="21"/>
          <w:szCs w:val="22"/>
          <w:lang w:val="en-US" w:eastAsia="zh-CN" w:bidi="ar-SA"/>
        </w:rPr>
        <w:t>，</w:t>
      </w:r>
      <w:r>
        <w:rPr>
          <w:rFonts w:hint="eastAsia" w:ascii="宋体" w:hAnsi="宋体" w:cs="宋体" w:eastAsiaTheme="minorEastAsia"/>
          <w:color w:val="FF0000"/>
          <w:kern w:val="36"/>
          <w:sz w:val="21"/>
          <w:szCs w:val="22"/>
          <w:lang w:val="en-US" w:eastAsia="zh-CN" w:bidi="ar-SA"/>
        </w:rPr>
        <w:t>其他所有材料由承包人提供</w:t>
      </w:r>
      <w:r>
        <w:rPr>
          <w:rFonts w:hint="eastAsia" w:ascii="宋体" w:hAnsi="宋体" w:cs="宋体" w:eastAsiaTheme="minorEastAsia"/>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单价包干部分材料价差除钢材和混凝土外不予调整，</w:t>
      </w:r>
      <w:r>
        <w:rPr>
          <w:rFonts w:hint="eastAsia" w:ascii="宋体" w:hAnsi="宋体" w:cs="宋体" w:eastAsiaTheme="minorEastAsia"/>
          <w:color w:val="FF0000"/>
          <w:kern w:val="36"/>
          <w:sz w:val="21"/>
          <w:szCs w:val="22"/>
          <w:lang w:val="en-US" w:eastAsia="zh-CN" w:bidi="ar-SA"/>
        </w:rPr>
        <w:t>钢材和混凝土</w:t>
      </w:r>
      <w:r>
        <w:rPr>
          <w:rFonts w:hint="eastAsia" w:ascii="宋体" w:hAnsi="宋体" w:cs="宋体" w:eastAsiaTheme="minorEastAsia"/>
          <w:color w:val="auto"/>
          <w:kern w:val="36"/>
          <w:sz w:val="21"/>
          <w:szCs w:val="22"/>
          <w:lang w:val="en-US" w:eastAsia="zh-CN" w:bidi="ar-SA"/>
        </w:rPr>
        <w:t>价格以</w:t>
      </w:r>
      <w:r>
        <w:rPr>
          <w:rFonts w:hint="eastAsia" w:ascii="宋体" w:hAnsi="宋体" w:cs="宋体" w:eastAsiaTheme="minorEastAsia"/>
          <w:color w:val="FF0000"/>
          <w:kern w:val="36"/>
          <w:sz w:val="21"/>
          <w:szCs w:val="22"/>
          <w:lang w:val="en-US" w:eastAsia="zh-CN" w:bidi="ar-SA"/>
        </w:rPr>
        <w:t>2021年第9期</w:t>
      </w:r>
      <w:r>
        <w:rPr>
          <w:rFonts w:hint="eastAsia" w:ascii="宋体" w:hAnsi="宋体" w:cs="宋体" w:eastAsiaTheme="minorEastAsia"/>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宋体" w:hAnsi="宋体" w:cs="宋体" w:eastAsiaTheme="minorEastAsia"/>
          <w:color w:val="FF0000"/>
          <w:kern w:val="36"/>
          <w:sz w:val="21"/>
          <w:szCs w:val="22"/>
          <w:lang w:val="en-US" w:eastAsia="zh-CN" w:bidi="ar-SA"/>
        </w:rPr>
        <w:t>超过±5%</w:t>
      </w:r>
      <w:r>
        <w:rPr>
          <w:rFonts w:hint="eastAsia" w:ascii="宋体" w:hAnsi="宋体" w:cs="宋体" w:eastAsiaTheme="minorEastAsia"/>
          <w:color w:val="auto"/>
          <w:kern w:val="36"/>
          <w:sz w:val="21"/>
          <w:szCs w:val="22"/>
          <w:lang w:val="en-US" w:eastAsia="zh-CN" w:bidi="ar-SA"/>
        </w:rPr>
        <w:t>时，其超过部分</w:t>
      </w:r>
      <w:r>
        <w:rPr>
          <w:rFonts w:hint="eastAsia" w:ascii="宋体" w:hAnsi="宋体" w:cs="宋体" w:eastAsiaTheme="minorEastAsia"/>
          <w:color w:val="FF0000"/>
          <w:kern w:val="36"/>
          <w:sz w:val="21"/>
          <w:szCs w:val="22"/>
          <w:lang w:val="en-US" w:eastAsia="zh-CN" w:bidi="ar-SA"/>
        </w:rPr>
        <w:t>据实调整</w:t>
      </w:r>
      <w:r>
        <w:rPr>
          <w:rFonts w:hint="eastAsia" w:ascii="宋体" w:hAnsi="宋体" w:cs="宋体" w:eastAsiaTheme="minorEastAsia"/>
          <w:color w:val="auto"/>
          <w:kern w:val="36"/>
          <w:sz w:val="21"/>
          <w:szCs w:val="22"/>
          <w:lang w:val="en-US" w:eastAsia="zh-CN" w:bidi="ar-SA"/>
        </w:rPr>
        <w:t>钢材和混凝土价格，芜湖和合肥市场信息价查询不到的不予调整。</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napToGrid w:val="0"/>
        <w:spacing w:line="360" w:lineRule="auto"/>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cs="宋体" w:eastAsiaTheme="minorEastAsia"/>
          <w:color w:val="auto"/>
          <w:kern w:val="36"/>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2．双方约定的工程款（进度款）支付的方式：本工程无预付款，工程完工后付至已完工程量的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widowControl/>
        <w:shd w:val="clear" w:color="auto" w:fill="FFFFFF"/>
        <w:spacing w:line="600" w:lineRule="atLeast"/>
        <w:jc w:val="left"/>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b/>
          <w:bCs/>
          <w:color w:val="auto"/>
          <w:sz w:val="28"/>
          <w:szCs w:val="28"/>
          <w:u w:val="none"/>
          <w:lang w:val="en-US" w:eastAsia="zh-CN"/>
        </w:rPr>
        <w:t>径向锻炉区焦炉煤气隐患整改土建工程项目报价单</w:t>
      </w:r>
      <w:r>
        <w:rPr>
          <w:rFonts w:hint="eastAsia" w:ascii="宋体" w:hAnsi="宋体"/>
          <w:b/>
          <w:bCs/>
          <w:color w:val="auto"/>
          <w:sz w:val="21"/>
          <w:szCs w:val="21"/>
          <w:u w:val="none"/>
          <w:lang w:val="en-US" w:eastAsia="zh-CN"/>
        </w:rPr>
        <w:t xml:space="preserve">  </w:t>
      </w:r>
    </w:p>
    <w:tbl>
      <w:tblPr>
        <w:tblpPr w:leftFromText="180" w:rightFromText="180" w:vertAnchor="text" w:horzAnchor="page" w:tblpX="274" w:tblpY="604"/>
        <w:tblOverlap w:val="never"/>
        <w:tblW w:w="110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3"/>
        <w:gridCol w:w="2020"/>
        <w:gridCol w:w="1559"/>
        <w:gridCol w:w="645"/>
        <w:gridCol w:w="911"/>
        <w:gridCol w:w="5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7"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土方开挖</w:t>
            </w:r>
          </w:p>
        </w:tc>
        <w:tc>
          <w:tcPr>
            <w:tcW w:w="15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21100029.01J01-01~03</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vertAlign w:val="superscript"/>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拦标价：60元/m3。包括开挖、装车、外排、人工清底等涉及的全部工序及人工费、机械费、材料费、措施费、不可竞争费、税金、水电费等全部费用。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土方回填</w:t>
            </w:r>
          </w:p>
        </w:tc>
        <w:tc>
          <w:tcPr>
            <w:tcW w:w="15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vertAlign w:val="superscript"/>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拦标价：60元/m3。包括装车、运输、回填、平整、夯实等涉及的全部工序及人工费、机械费、材料费、措施费、不可竞争费、税金、水电费等全部费用。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凿除砼</w:t>
            </w:r>
          </w:p>
        </w:tc>
        <w:tc>
          <w:tcPr>
            <w:tcW w:w="15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vertAlign w:val="superscript"/>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拦标价：300元/m3。包括凿除、装车、外排等涉及的全部工序及人工费、机械费、材料费、措施费、不可竞争费、税金、水电费等全部费用。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级配砂石垫层</w:t>
            </w:r>
          </w:p>
        </w:tc>
        <w:tc>
          <w:tcPr>
            <w:tcW w:w="15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vertAlign w:val="superscript"/>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拦标价：500元/m3。包括卸车、运输、倒运、拌和、铺设、夯实等涉及的全部工序及人工费、机械费、材料费、措施费、不可竞争费、税金、水电费等全部费用。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w:t>
            </w:r>
          </w:p>
        </w:tc>
        <w:tc>
          <w:tcPr>
            <w:tcW w:w="15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vertAlign w:val="superscript"/>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拦标价：1000元/m3。包括卸车、运输、倒运、脚手架、支模、对拉丝、浇筑、养生等涉及的全部工序及人工费、机械费、材料费、措施费、不可竞争费、税金、水电费等全部费用。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5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9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拦标价：2000元/t。包括卸车、运输、倒运、制作、安装等涉及的全部工序及人工费、机械费、材料费（不包含钢筋主材费用）、措施费、不可竞争费、税金、水电费等全部费用。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7" w:hRule="atLeast"/>
        </w:trPr>
        <w:tc>
          <w:tcPr>
            <w:tcW w:w="7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5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5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pStyle w:val="2"/>
        <w:rPr>
          <w:rFonts w:hint="eastAsia" w:ascii="微软雅黑" w:eastAsia="微软雅黑"/>
          <w:bCs/>
          <w:color w:val="auto"/>
          <w:sz w:val="24"/>
          <w:szCs w:val="24"/>
          <w:lang w:val="en-US" w:eastAsia="zh-CN"/>
        </w:rPr>
      </w:pPr>
    </w:p>
    <w:p>
      <w:pPr>
        <w:pStyle w:val="2"/>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eastAsia" w:ascii="微软雅黑" w:eastAsia="微软雅黑"/>
          <w:bCs/>
          <w:color w:val="auto"/>
          <w:sz w:val="24"/>
          <w:szCs w:val="24"/>
          <w:lang w:val="en-US" w:eastAsia="zh-CN"/>
        </w:rPr>
      </w:pPr>
      <w:bookmarkStart w:id="3" w:name="_GoBack"/>
      <w:bookmarkEnd w:id="3"/>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9A43DC"/>
    <w:rsid w:val="03175A1E"/>
    <w:rsid w:val="03CC35F1"/>
    <w:rsid w:val="03E436D3"/>
    <w:rsid w:val="04117222"/>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BB06707"/>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78E16B0"/>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471B51"/>
    <w:rsid w:val="5F533CAB"/>
    <w:rsid w:val="611673F1"/>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2021-10-27T07:58:26Z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