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ascii="宋体" w:hAnsi="宋体"/>
          <w:sz w:val="32"/>
          <w:szCs w:val="28"/>
          <w:lang w:eastAsia="zh-CN"/>
        </w:rPr>
      </w:pPr>
      <w:r>
        <w:rPr>
          <w:rFonts w:hint="eastAsia" w:ascii="宋体" w:hAnsi="宋体"/>
          <w:sz w:val="32"/>
          <w:szCs w:val="28"/>
          <w:lang w:eastAsia="zh-CN"/>
        </w:rPr>
        <w:t>修建部顶管二期及打包机车间土建工程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11</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01</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w:t>
      </w:r>
      <w:r>
        <w:rPr>
          <w:rFonts w:hint="eastAsia" w:ascii="宋体" w:hAnsi="宋体" w:eastAsia="宋体" w:cs="宋体"/>
          <w:bCs/>
          <w:color w:val="2A2A2A"/>
          <w:kern w:val="0"/>
          <w:sz w:val="28"/>
          <w:szCs w:val="28"/>
          <w:lang w:val="en-US" w:eastAsia="zh-CN"/>
        </w:rPr>
        <w:t>1101DGJDBJTJGC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eastAsia="宋体"/>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color w:val="FF0000"/>
          <w:sz w:val="24"/>
          <w:szCs w:val="22"/>
          <w:lang w:eastAsia="zh-CN"/>
        </w:rPr>
        <w:t>修建部顶管二期及打包机车间土建工程</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numPr>
          <w:ilvl w:val="0"/>
          <w:numId w:val="0"/>
        </w:numPr>
        <w:snapToGrid w:val="0"/>
        <w:spacing w:line="360" w:lineRule="auto"/>
        <w:ind w:left="560" w:hanging="562" w:hangingChars="200"/>
        <w:rPr>
          <w:rFonts w:hint="eastAsia" w:hAnsi="宋体"/>
          <w:sz w:val="24"/>
          <w:szCs w:val="24"/>
          <w:highlight w:val="none"/>
          <w:u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投标人须具有</w:t>
      </w:r>
      <w:r>
        <w:rPr>
          <w:rFonts w:hint="eastAsia" w:ascii="宋体" w:hAnsi="宋体"/>
          <w:bCs/>
          <w:sz w:val="24"/>
          <w:szCs w:val="24"/>
          <w:u w:val="none"/>
        </w:rPr>
        <w:t>国家建</w:t>
      </w:r>
      <w:r>
        <w:rPr>
          <w:rFonts w:hint="eastAsia" w:ascii="宋体" w:hAnsi="宋体"/>
          <w:bCs/>
          <w:sz w:val="24"/>
          <w:szCs w:val="24"/>
          <w:highlight w:val="none"/>
          <w:u w:val="none"/>
        </w:rPr>
        <w:t>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w:t>
      </w:r>
      <w:r>
        <w:rPr>
          <w:rFonts w:hint="eastAsia" w:ascii="宋体" w:hAnsi="宋体"/>
          <w:bCs/>
          <w:color w:val="FF0000"/>
          <w:sz w:val="24"/>
          <w:szCs w:val="24"/>
          <w:u w:val="none"/>
          <w:lang w:val="en-US" w:eastAsia="zh-CN"/>
        </w:rPr>
        <w:t>施工总</w:t>
      </w:r>
      <w:r>
        <w:rPr>
          <w:rFonts w:hint="eastAsia" w:ascii="宋体" w:hAnsi="宋体"/>
          <w:bCs/>
          <w:color w:val="FF0000"/>
          <w:sz w:val="24"/>
          <w:szCs w:val="24"/>
          <w:u w:val="none"/>
        </w:rPr>
        <w:t>承包叁级及以上资质</w:t>
      </w:r>
      <w:r>
        <w:rPr>
          <w:rFonts w:hint="eastAsia" w:ascii="宋体" w:hAnsi="宋体"/>
          <w:bCs/>
          <w:sz w:val="24"/>
          <w:szCs w:val="24"/>
          <w:highlight w:val="none"/>
          <w:u w:val="none"/>
        </w:rPr>
        <w:t>。</w:t>
      </w:r>
      <w:r>
        <w:rPr>
          <w:rFonts w:hint="eastAsia" w:ascii="宋体" w:hAnsi="宋体"/>
          <w:bCs/>
          <w:sz w:val="24"/>
          <w:szCs w:val="24"/>
          <w:u w:val="none"/>
        </w:rPr>
        <w:t>投标人拟派</w:t>
      </w:r>
      <w:r>
        <w:rPr>
          <w:rFonts w:hint="eastAsia" w:hAnsi="宋体"/>
          <w:sz w:val="24"/>
          <w:szCs w:val="24"/>
          <w:u w:val="none"/>
        </w:rPr>
        <w:t>项目经理须具有</w:t>
      </w:r>
      <w:r>
        <w:rPr>
          <w:rFonts w:hint="eastAsia" w:hAnsi="宋体"/>
          <w:color w:val="FF0000"/>
          <w:sz w:val="24"/>
          <w:szCs w:val="24"/>
          <w:u w:val="none"/>
          <w:lang w:val="en-US" w:eastAsia="zh-CN"/>
        </w:rPr>
        <w:t>建筑工程</w:t>
      </w:r>
      <w:r>
        <w:rPr>
          <w:rFonts w:hint="eastAsia" w:hAnsi="宋体"/>
          <w:sz w:val="24"/>
          <w:szCs w:val="24"/>
          <w:u w:val="none"/>
        </w:rPr>
        <w:t>专业</w:t>
      </w:r>
      <w:r>
        <w:rPr>
          <w:rFonts w:hint="eastAsia" w:hAnsi="宋体"/>
          <w:color w:val="FF0000"/>
          <w:sz w:val="24"/>
          <w:szCs w:val="24"/>
          <w:u w:val="none"/>
          <w:lang w:val="en-US" w:eastAsia="zh-CN"/>
        </w:rPr>
        <w:t>二</w:t>
      </w:r>
      <w:r>
        <w:rPr>
          <w:rFonts w:hint="eastAsia" w:hAnsi="宋体"/>
          <w:color w:val="FF0000"/>
          <w:sz w:val="24"/>
          <w:szCs w:val="24"/>
          <w:u w:val="none"/>
        </w:rPr>
        <w:t>级</w:t>
      </w:r>
      <w:r>
        <w:rPr>
          <w:rFonts w:hint="eastAsia" w:hAnsi="宋体"/>
          <w:sz w:val="24"/>
          <w:szCs w:val="24"/>
          <w:u w:val="none"/>
        </w:rPr>
        <w:t>注册建造师执业资格。</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hint="eastAsia" w:ascii="宋体" w:hAnsi="宋体"/>
          <w:bCs/>
          <w:color w:val="FF0000"/>
          <w:sz w:val="24"/>
          <w:szCs w:val="24"/>
          <w:lang w:val="en-US" w:eastAsia="zh-CN"/>
        </w:rPr>
        <w:t>11</w:t>
      </w:r>
      <w:r>
        <w:rPr>
          <w:rFonts w:hint="eastAsia" w:ascii="宋体" w:hAnsi="宋体"/>
          <w:bCs/>
          <w:sz w:val="24"/>
          <w:szCs w:val="24"/>
        </w:rPr>
        <w:t>月</w:t>
      </w:r>
      <w:r>
        <w:rPr>
          <w:rFonts w:hint="eastAsia" w:ascii="宋体" w:hAnsi="宋体"/>
          <w:bCs/>
          <w:color w:val="FF0000"/>
          <w:sz w:val="24"/>
          <w:szCs w:val="24"/>
          <w:lang w:val="en-US" w:eastAsia="zh-CN"/>
        </w:rPr>
        <w:t>02</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hint="eastAsia" w:ascii="宋体" w:hAnsi="宋体"/>
          <w:bCs/>
          <w:color w:val="FF0000"/>
          <w:sz w:val="24"/>
          <w:szCs w:val="24"/>
          <w:lang w:val="en-US" w:eastAsia="zh-CN"/>
        </w:rPr>
        <w:t>11</w:t>
      </w:r>
      <w:r>
        <w:rPr>
          <w:rFonts w:hint="eastAsia" w:ascii="宋体" w:hAnsi="宋体"/>
          <w:bCs/>
          <w:sz w:val="24"/>
          <w:szCs w:val="24"/>
        </w:rPr>
        <w:t>月</w:t>
      </w:r>
      <w:r>
        <w:rPr>
          <w:rFonts w:hint="eastAsia" w:ascii="宋体" w:hAnsi="宋体"/>
          <w:bCs/>
          <w:color w:val="FF0000"/>
          <w:sz w:val="24"/>
          <w:szCs w:val="24"/>
          <w:lang w:val="en-US" w:eastAsia="zh-CN"/>
        </w:rPr>
        <w:t>09</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11</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23</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11</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23</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color w:val="FF0000"/>
          <w:sz w:val="24"/>
          <w:szCs w:val="22"/>
          <w:lang w:eastAsia="zh-CN"/>
        </w:rPr>
        <w:t>修建部顶管二期及打包机车间土建工程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朱文涛</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15131563263</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11</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20</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olor w:val="FF0000"/>
          <w:sz w:val="24"/>
          <w:szCs w:val="22"/>
          <w:lang w:eastAsia="zh-CN"/>
        </w:rPr>
        <w:t>修建部顶管二期及打包机车间土建工程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olor w:val="FF0000"/>
          <w:sz w:val="24"/>
          <w:szCs w:val="22"/>
          <w:lang w:eastAsia="zh-CN"/>
        </w:rPr>
        <w:t>修建部顶管二期及打包机车间土建工程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伍万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11</w:t>
      </w:r>
      <w:r>
        <w:rPr>
          <w:rFonts w:hint="eastAsia" w:ascii="宋体" w:hAnsi="宋体" w:cs="宋体"/>
          <w:bCs/>
          <w:color w:val="FF0000"/>
          <w:kern w:val="36"/>
        </w:rPr>
        <w:t>月</w:t>
      </w:r>
      <w:r>
        <w:rPr>
          <w:rFonts w:hint="eastAsia" w:ascii="宋体" w:hAnsi="宋体" w:cs="宋体"/>
          <w:bCs/>
          <w:color w:val="FF0000"/>
          <w:kern w:val="36"/>
          <w:u w:val="single"/>
          <w:lang w:val="en-US" w:eastAsia="zh-CN"/>
        </w:rPr>
        <w:t>21</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ascii="宋体" w:hAnsi="宋体"/>
          <w:color w:val="auto"/>
          <w:sz w:val="24"/>
        </w:rPr>
      </w:pPr>
      <w:r>
        <w:rPr>
          <w:rFonts w:hint="eastAsia" w:ascii="宋体" w:hAnsi="宋体"/>
          <w:lang w:val="en-US" w:eastAsia="zh-CN"/>
        </w:rPr>
        <w:t xml:space="preserve">1.  </w:t>
      </w:r>
      <w:r>
        <w:rPr>
          <w:rFonts w:hint="eastAsia" w:ascii="宋体" w:hAnsi="宋体"/>
        </w:rPr>
        <w:t>具体内容详见发包人确认下发的图纸</w:t>
      </w:r>
      <w:r>
        <w:rPr>
          <w:rFonts w:hint="eastAsia" w:ascii="宋体" w:hAnsi="宋体"/>
          <w:lang w:val="en-US" w:eastAsia="zh-CN"/>
        </w:rPr>
        <w:t>和投标方现场踏勘</w:t>
      </w:r>
      <w:r>
        <w:rPr>
          <w:rFonts w:hint="eastAsia" w:ascii="宋体" w:hAnsi="宋体"/>
          <w:lang w:eastAsia="zh-CN"/>
        </w:rPr>
        <w:t>。</w:t>
      </w:r>
      <w:r>
        <w:rPr>
          <w:rFonts w:hint="eastAsia" w:ascii="宋体" w:hAnsi="宋体" w:cs="宋体"/>
          <w:color w:val="auto"/>
          <w:sz w:val="24"/>
          <w:szCs w:val="24"/>
        </w:rPr>
        <w:t xml:space="preserve"> </w:t>
      </w:r>
    </w:p>
    <w:p>
      <w:pPr>
        <w:numPr>
          <w:ilvl w:val="0"/>
          <w:numId w:val="0"/>
        </w:numPr>
        <w:spacing w:line="360" w:lineRule="auto"/>
        <w:ind w:leftChars="0"/>
        <w:rPr>
          <w:rFonts w:hint="eastAsia" w:ascii="宋体" w:hAnsi="宋体"/>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lang w:val="en-US" w:eastAsia="zh-CN"/>
        </w:rPr>
        <w:t>包含土方开挖，新建车间厂房柱子基础制作，车间地坪浇筑，砖墙砌筑，墙砖铺贴及墙体清理、粉刷</w:t>
      </w:r>
      <w:r>
        <w:rPr>
          <w:rFonts w:hint="eastAsia" w:ascii="宋体" w:hAnsi="宋体"/>
        </w:rPr>
        <w:t>等全部工程量</w:t>
      </w:r>
      <w:r>
        <w:rPr>
          <w:rFonts w:hint="eastAsia" w:ascii="宋体" w:hAnsi="宋体"/>
        </w:rPr>
        <w:t>。</w:t>
      </w:r>
    </w:p>
    <w:p>
      <w:pPr>
        <w:spacing w:line="360" w:lineRule="exact"/>
        <w:rPr>
          <w:rFonts w:ascii="宋体" w:hAnsi="宋体"/>
        </w:rPr>
      </w:pPr>
      <w:r>
        <w:rPr>
          <w:rFonts w:hint="eastAsia" w:ascii="宋体" w:hAnsi="宋体"/>
          <w:lang w:val="en-US" w:eastAsia="zh-CN"/>
        </w:rPr>
        <w:t>3</w:t>
      </w:r>
      <w:r>
        <w:rPr>
          <w:rFonts w:hint="eastAsia" w:ascii="宋体" w:hAnsi="宋体"/>
        </w:rPr>
        <w:t>.  投标有效期:90天。</w:t>
      </w:r>
    </w:p>
    <w:p>
      <w:pPr>
        <w:spacing w:beforeLines="50" w:afterLines="50" w:line="360" w:lineRule="exact"/>
        <w:rPr>
          <w:rFonts w:hint="eastAsia" w:ascii="宋体" w:hAnsi="宋体"/>
          <w:lang w:val="en-US" w:eastAsia="zh-CN"/>
        </w:rPr>
      </w:pPr>
      <w:r>
        <w:rPr>
          <w:rFonts w:hint="eastAsia" w:ascii="宋体" w:hAnsi="宋体"/>
          <w:b/>
        </w:rPr>
        <w:t>四、工期：</w:t>
      </w:r>
    </w:p>
    <w:p>
      <w:pPr>
        <w:spacing w:line="360" w:lineRule="auto"/>
        <w:rPr>
          <w:rFonts w:hint="eastAsia" w:ascii="宋体" w:hAnsi="宋体"/>
          <w:lang w:val="en-US" w:eastAsia="zh-CN"/>
        </w:rPr>
      </w:pPr>
      <w:r>
        <w:rPr>
          <w:rFonts w:hint="eastAsia" w:ascii="宋体" w:hAnsi="宋体"/>
          <w:lang w:val="en-US" w:eastAsia="zh-CN"/>
        </w:rPr>
        <w:t xml:space="preserve">     开工日期： 2021年12月1日 （暂定）                                          </w:t>
      </w:r>
    </w:p>
    <w:p>
      <w:pPr>
        <w:spacing w:line="360" w:lineRule="auto"/>
        <w:rPr>
          <w:rFonts w:ascii="宋体" w:hAnsi="宋体"/>
        </w:rPr>
      </w:pPr>
      <w:r>
        <w:rPr>
          <w:rFonts w:hint="eastAsia" w:ascii="宋体" w:hAnsi="宋体"/>
          <w:lang w:val="en-US" w:eastAsia="zh-CN"/>
        </w:rPr>
        <w:t xml:space="preserve">     竣工日期： 2022年1月30日。 合同工期总日历天数60天。</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该工程</w:t>
      </w:r>
      <w:r>
        <w:rPr>
          <w:rFonts w:hint="eastAsia" w:ascii="宋体" w:hAnsi="宋体" w:cs="宋体" w:eastAsiaTheme="minorEastAsia"/>
          <w:bCs/>
          <w:color w:val="FF0000"/>
          <w:kern w:val="2"/>
          <w:sz w:val="21"/>
          <w:szCs w:val="22"/>
          <w:lang w:val="en-US" w:eastAsia="zh-CN" w:bidi="ar-SA"/>
        </w:rPr>
        <w:t>所有材料（除钢筋外）</w:t>
      </w:r>
      <w:r>
        <w:rPr>
          <w:rFonts w:hint="eastAsia" w:ascii="宋体" w:hAnsi="宋体" w:cs="宋体" w:eastAsiaTheme="minorEastAsia"/>
          <w:bCs/>
          <w:kern w:val="2"/>
          <w:sz w:val="21"/>
          <w:szCs w:val="22"/>
          <w:lang w:val="en-US" w:eastAsia="zh-CN" w:bidi="ar-SA"/>
        </w:rPr>
        <w:t>由承包人提供。</w:t>
      </w:r>
    </w:p>
    <w:p>
      <w:pPr>
        <w:numPr>
          <w:ilvl w:val="0"/>
          <w:numId w:val="2"/>
        </w:num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单价包干部分材料价差除钢材和混凝土外不予调整，钢材和混凝土价格以</w:t>
      </w:r>
      <w:r>
        <w:rPr>
          <w:rFonts w:hint="eastAsia" w:ascii="宋体" w:hAnsi="宋体" w:cs="宋体" w:eastAsiaTheme="minorEastAsia"/>
          <w:bCs/>
          <w:color w:val="FF0000"/>
          <w:kern w:val="2"/>
          <w:sz w:val="21"/>
          <w:szCs w:val="22"/>
          <w:lang w:val="en-US" w:eastAsia="zh-CN" w:bidi="ar-SA"/>
        </w:rPr>
        <w:t>2021年第9期</w:t>
      </w:r>
      <w:r>
        <w:rPr>
          <w:rFonts w:hint="eastAsia" w:ascii="宋体" w:hAnsi="宋体" w:cs="宋体" w:eastAsiaTheme="minorEastAsia"/>
          <w:bCs/>
          <w:kern w:val="2"/>
          <w:sz w:val="21"/>
          <w:szCs w:val="22"/>
          <w:lang w:val="en-US" w:eastAsia="zh-CN" w:bidi="ar-SA"/>
        </w:rPr>
        <w:t>芜湖市市场信息价为基准，芜湖市市场信息价没有的以合肥市市场信息价为基准，若施工期间材料单价涨跌幅超过</w:t>
      </w:r>
      <w:r>
        <w:rPr>
          <w:rFonts w:hint="eastAsia" w:ascii="宋体" w:hAnsi="宋体" w:cs="宋体" w:eastAsiaTheme="minorEastAsia"/>
          <w:bCs/>
          <w:color w:val="FF0000"/>
          <w:kern w:val="2"/>
          <w:sz w:val="21"/>
          <w:szCs w:val="22"/>
          <w:lang w:val="en-US" w:eastAsia="zh-CN" w:bidi="ar-SA"/>
        </w:rPr>
        <w:t>±5%</w:t>
      </w:r>
      <w:r>
        <w:rPr>
          <w:rFonts w:hint="eastAsia" w:ascii="宋体" w:hAnsi="宋体" w:cs="宋体" w:eastAsiaTheme="minorEastAsia"/>
          <w:bCs/>
          <w:kern w:val="2"/>
          <w:sz w:val="21"/>
          <w:szCs w:val="22"/>
          <w:lang w:val="en-US" w:eastAsia="zh-CN" w:bidi="ar-SA"/>
        </w:rPr>
        <w:t>时，其超过部分</w:t>
      </w:r>
      <w:r>
        <w:rPr>
          <w:rFonts w:hint="eastAsia" w:ascii="宋体" w:hAnsi="宋体" w:cs="宋体" w:eastAsiaTheme="minorEastAsia"/>
          <w:bCs/>
          <w:color w:val="FF0000"/>
          <w:kern w:val="2"/>
          <w:sz w:val="21"/>
          <w:szCs w:val="22"/>
          <w:lang w:val="en-US" w:eastAsia="zh-CN" w:bidi="ar-SA"/>
        </w:rPr>
        <w:t>据实调整</w:t>
      </w:r>
      <w:r>
        <w:rPr>
          <w:rFonts w:hint="eastAsia" w:ascii="宋体" w:hAnsi="宋体" w:cs="宋体" w:eastAsiaTheme="minorEastAsia"/>
          <w:bCs/>
          <w:kern w:val="2"/>
          <w:sz w:val="21"/>
          <w:szCs w:val="22"/>
          <w:lang w:val="en-US" w:eastAsia="zh-CN" w:bidi="ar-SA"/>
        </w:rPr>
        <w:t>钢材和混凝土价格，芜湖和合肥市场信息价查询不到的不予调整。</w:t>
      </w:r>
    </w:p>
    <w:p>
      <w:pPr>
        <w:numPr>
          <w:ilvl w:val="0"/>
          <w:numId w:val="2"/>
        </w:num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工程内容按合同约定执行，开具增值税发票执行9%税率。</w:t>
      </w:r>
    </w:p>
    <w:p>
      <w:pPr>
        <w:numPr>
          <w:ilvl w:val="0"/>
          <w:numId w:val="2"/>
        </w:numPr>
        <w:spacing w:before="156" w:beforeLines="50" w:after="156" w:afterLines="50"/>
        <w:rPr>
          <w:rFonts w:hint="eastAsia" w:ascii="宋体" w:hAnsi="宋体" w:cs="宋体" w:eastAsiaTheme="minorEastAsia"/>
          <w:bCs/>
          <w:kern w:val="2"/>
          <w:sz w:val="21"/>
          <w:szCs w:val="22"/>
          <w:lang w:val="en-US" w:eastAsia="zh-CN" w:bidi="ar-SA"/>
        </w:rPr>
      </w:pPr>
      <w:r>
        <w:rPr>
          <w:rFonts w:hint="eastAsia" w:ascii="宋体" w:hAnsi="宋体" w:cs="宋体" w:eastAsiaTheme="minorEastAsia"/>
          <w:bCs/>
          <w:kern w:val="2"/>
          <w:sz w:val="21"/>
          <w:szCs w:val="22"/>
          <w:lang w:val="en-US" w:eastAsia="zh-CN" w:bidi="ar-SA"/>
        </w:rPr>
        <w:t>发包人在指定位置提供施工电源及水源，之外部分承包人自行承担，现场施工水电费结算时按合同总价的7‰扣除或装表据实扣除。</w:t>
      </w:r>
    </w:p>
    <w:p>
      <w:pPr>
        <w:spacing w:beforeLines="50" w:afterLines="50" w:line="360" w:lineRule="exact"/>
        <w:rPr>
          <w:rFonts w:hint="eastAsia"/>
          <w:bCs/>
          <w:kern w:val="36"/>
          <w:szCs w:val="21"/>
        </w:rPr>
      </w:pPr>
      <w:r>
        <w:rPr>
          <w:rFonts w:hint="eastAsia"/>
          <w:bCs/>
          <w:kern w:val="36"/>
          <w:szCs w:val="21"/>
        </w:rPr>
        <w:t>1</w:t>
      </w:r>
      <w:r>
        <w:rPr>
          <w:rFonts w:hint="eastAsia"/>
          <w:bCs/>
          <w:kern w:val="36"/>
          <w:szCs w:val="21"/>
          <w:lang w:val="en-US" w:eastAsia="zh-CN"/>
        </w:rPr>
        <w:t>3</w:t>
      </w:r>
      <w:r>
        <w:rPr>
          <w:rFonts w:hint="eastAsia"/>
          <w:bCs/>
          <w:kern w:val="36"/>
          <w:szCs w:val="21"/>
        </w:rPr>
        <w:t>.  本次招标采取综合评分的方式进行评标，评分标准按以下表格计分，投标单位需对表内要求内容在投标书中如实反馈：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6.投标文件需胶装</w:t>
      </w:r>
    </w:p>
    <w:p>
      <w:pPr>
        <w:spacing w:line="360" w:lineRule="exact"/>
        <w:rPr>
          <w:rFonts w:ascii="宋体" w:hAnsi="宋体"/>
          <w:b/>
          <w:bCs/>
        </w:rPr>
      </w:pPr>
      <w:r>
        <w:rPr>
          <w:rFonts w:hint="eastAsia" w:ascii="宋体" w:hAnsi="宋体"/>
          <w:b/>
          <w:bCs/>
        </w:rPr>
        <w:t>九、约定和说明</w:t>
      </w:r>
    </w:p>
    <w:p>
      <w:pPr>
        <w:spacing w:line="360" w:lineRule="exact"/>
        <w:rPr>
          <w:rFonts w:hint="eastAsia" w:ascii="宋体" w:hAnsi="宋体" w:cs="宋体"/>
          <w:color w:val="000000"/>
        </w:rPr>
      </w:pPr>
      <w:r>
        <w:rPr>
          <w:rFonts w:hint="eastAsia" w:hAnsi="宋体"/>
        </w:rPr>
        <w:t xml:space="preserve">1. </w:t>
      </w:r>
      <w:r>
        <w:rPr>
          <w:rFonts w:hint="eastAsia" w:ascii="宋体" w:hAnsi="宋体" w:cs="宋体"/>
          <w:color w:val="000000"/>
        </w:rPr>
        <w:t>因承包人原因，节点工期每延误1天，承包人向发包人支付违约金</w:t>
      </w:r>
      <w:r>
        <w:rPr>
          <w:rFonts w:hint="eastAsia" w:ascii="宋体" w:hAnsi="宋体" w:cs="宋体"/>
          <w:color w:val="000000"/>
          <w:lang w:eastAsia="zh-CN"/>
        </w:rPr>
        <w:t>伍仟元</w:t>
      </w:r>
      <w:r>
        <w:rPr>
          <w:rFonts w:hint="eastAsia" w:ascii="宋体" w:hAnsi="宋体" w:cs="宋体"/>
          <w:color w:val="000000"/>
        </w:rPr>
        <w:t>整（¥：</w:t>
      </w:r>
      <w:r>
        <w:rPr>
          <w:rFonts w:hint="eastAsia" w:ascii="宋体" w:hAnsi="宋体" w:cs="宋体"/>
          <w:color w:val="000000"/>
          <w:lang w:val="en-US" w:eastAsia="zh-CN"/>
        </w:rPr>
        <w:t>5</w:t>
      </w:r>
      <w:r>
        <w:rPr>
          <w:rFonts w:hint="eastAsia" w:ascii="宋体" w:hAnsi="宋体" w:cs="宋体"/>
          <w:color w:val="000000"/>
        </w:rPr>
        <w:t>000元整）。竣工工期每延误1天，承包人向发包人支付违约金</w:t>
      </w:r>
      <w:r>
        <w:rPr>
          <w:rFonts w:hint="eastAsia" w:ascii="宋体" w:hAnsi="宋体" w:cs="宋体"/>
          <w:color w:val="000000"/>
          <w:lang w:eastAsia="zh-CN"/>
        </w:rPr>
        <w:t>壹万元</w:t>
      </w:r>
      <w:r>
        <w:rPr>
          <w:rFonts w:hint="eastAsia" w:ascii="宋体" w:hAnsi="宋体" w:cs="宋体"/>
          <w:color w:val="000000"/>
        </w:rPr>
        <w:t>整（¥：</w:t>
      </w:r>
      <w:r>
        <w:rPr>
          <w:rFonts w:hint="eastAsia" w:ascii="宋体" w:hAnsi="宋体" w:cs="宋体"/>
          <w:color w:val="000000"/>
          <w:lang w:val="en-US" w:eastAsia="zh-CN"/>
        </w:rPr>
        <w:t>10</w:t>
      </w:r>
      <w:r>
        <w:rPr>
          <w:rFonts w:hint="eastAsia" w:ascii="宋体" w:hAnsi="宋体" w:cs="宋体"/>
          <w:color w:val="000000"/>
        </w:rPr>
        <w:t>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widowControl/>
        <w:spacing w:before="156" w:beforeLines="50" w:after="156" w:afterLines="50"/>
        <w:rPr>
          <w:rFonts w:hint="eastAsia" w:ascii="宋体" w:hAnsi="宋体" w:cs="宋体"/>
          <w:color w:val="000000"/>
        </w:rPr>
      </w:pPr>
      <w:r>
        <w:rPr>
          <w:rFonts w:hint="eastAsia" w:ascii="宋体" w:hAnsi="宋体" w:cs="宋体"/>
          <w:color w:val="000000"/>
        </w:rPr>
        <w:t>2．双方约定的工程款（进度款）支付的方式：本工程无预付款，发包人次月按审定的上月进度的70%支付承包人工程款，付款前提供等额增值税专用发票。</w:t>
      </w:r>
    </w:p>
    <w:p>
      <w:pPr>
        <w:widowControl/>
        <w:spacing w:before="156" w:beforeLines="50" w:after="156" w:afterLines="50"/>
        <w:ind w:firstLine="42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156" w:beforeLines="50" w:after="156" w:afterLines="50"/>
        <w:ind w:firstLine="420"/>
        <w:rPr>
          <w:rFonts w:hint="eastAsia" w:ascii="宋体" w:hAnsi="宋体" w:cs="宋体"/>
          <w:color w:val="000000"/>
          <w:lang w:eastAsia="zh-CN"/>
        </w:rPr>
      </w:pPr>
      <w:r>
        <w:rPr>
          <w:rFonts w:hint="eastAsia" w:ascii="宋体" w:hAnsi="宋体" w:cs="宋体"/>
          <w:color w:val="000000"/>
        </w:rPr>
        <w:t>结算审核后承包人及时向发包人开具全额增值税专用发票</w:t>
      </w:r>
      <w:r>
        <w:rPr>
          <w:rFonts w:hint="eastAsia" w:ascii="宋体" w:hAnsi="宋体" w:cs="宋体"/>
          <w:color w:val="000000"/>
          <w:lang w:eastAsia="zh-CN"/>
        </w:rPr>
        <w:t>。</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w:t>
      </w:r>
      <w:r>
        <w:rPr>
          <w:rFonts w:hint="eastAsia" w:ascii="宋体" w:hAnsi="宋体"/>
          <w:bCs/>
        </w:rPr>
        <w:t>拦标价</w:t>
      </w:r>
      <w:r>
        <w:rPr>
          <w:rFonts w:hint="eastAsia" w:ascii="宋体" w:hAnsi="宋体"/>
          <w:bCs/>
          <w:lang w:val="en-US" w:eastAsia="zh-CN"/>
        </w:rPr>
        <w:t>详见报价单，超过综合单价拦标价及低于优惠率拦标价的做废标处理</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ind w:left="0" w:leftChars="0" w:firstLine="0" w:firstLineChars="0"/>
        <w:rPr>
          <w:rFonts w:hint="eastAsia"/>
          <w:b/>
        </w:rPr>
      </w:pPr>
    </w:p>
    <w:p>
      <w:pPr>
        <w:pStyle w:val="2"/>
        <w:ind w:left="0" w:leftChars="0" w:firstLine="0" w:firstLineChars="0"/>
        <w:rPr>
          <w:rFonts w:hint="eastAsia"/>
          <w:b/>
        </w:rPr>
        <w:sectPr>
          <w:footerReference r:id="rId3" w:type="default"/>
          <w:pgSz w:w="11900" w:h="16840"/>
          <w:pgMar w:top="1582" w:right="981" w:bottom="278" w:left="1361" w:header="720" w:footer="720" w:gutter="0"/>
          <w:cols w:space="720" w:num="1"/>
        </w:sectPr>
      </w:pPr>
    </w:p>
    <w:p>
      <w:pPr>
        <w:spacing w:line="300" w:lineRule="auto"/>
        <w:jc w:val="center"/>
        <w:rPr>
          <w:rFonts w:ascii="宋体" w:hAnsi="宋体"/>
          <w:b/>
          <w:bCs/>
          <w:sz w:val="36"/>
          <w:szCs w:val="36"/>
        </w:rPr>
      </w:pPr>
      <w:r>
        <w:rPr>
          <w:rFonts w:hint="eastAsia" w:ascii="宋体" w:hAnsi="宋体"/>
          <w:b/>
          <w:bCs/>
          <w:sz w:val="36"/>
          <w:szCs w:val="36"/>
          <w:u w:val="single"/>
        </w:rPr>
        <w:t xml:space="preserve"> 修建部顶管二期厂房土建</w:t>
      </w:r>
      <w:r>
        <w:rPr>
          <w:rFonts w:ascii="宋体" w:hAnsi="宋体"/>
          <w:b/>
          <w:bCs/>
          <w:sz w:val="36"/>
          <w:szCs w:val="36"/>
          <w:u w:val="single"/>
        </w:rPr>
        <w:t xml:space="preserve"> </w:t>
      </w:r>
      <w:r>
        <w:rPr>
          <w:rFonts w:hint="eastAsia" w:ascii="宋体" w:hAnsi="宋体"/>
          <w:b/>
          <w:bCs/>
          <w:sz w:val="36"/>
          <w:szCs w:val="36"/>
        </w:rPr>
        <w:t>工程报价单</w:t>
      </w:r>
    </w:p>
    <w:tbl>
      <w:tblPr>
        <w:tblStyle w:val="13"/>
        <w:tblpPr w:leftFromText="180" w:rightFromText="180" w:vertAnchor="text" w:horzAnchor="page" w:tblpX="504" w:tblpY="345"/>
        <w:tblOverlap w:val="never"/>
        <w:tblW w:w="5341" w:type="pct"/>
        <w:tblInd w:w="0" w:type="dxa"/>
        <w:tblLayout w:type="fixed"/>
        <w:tblCellMar>
          <w:top w:w="0" w:type="dxa"/>
          <w:left w:w="108" w:type="dxa"/>
          <w:bottom w:w="0" w:type="dxa"/>
          <w:right w:w="108" w:type="dxa"/>
        </w:tblCellMar>
      </w:tblPr>
      <w:tblGrid>
        <w:gridCol w:w="842"/>
        <w:gridCol w:w="1661"/>
        <w:gridCol w:w="774"/>
        <w:gridCol w:w="969"/>
        <w:gridCol w:w="1119"/>
        <w:gridCol w:w="1304"/>
        <w:gridCol w:w="9565"/>
      </w:tblGrid>
      <w:tr>
        <w:tblPrEx>
          <w:tblCellMar>
            <w:top w:w="0" w:type="dxa"/>
            <w:left w:w="108" w:type="dxa"/>
            <w:bottom w:w="0" w:type="dxa"/>
            <w:right w:w="108" w:type="dxa"/>
          </w:tblCellMar>
        </w:tblPrEx>
        <w:trPr>
          <w:trHeight w:val="405" w:hRule="atLeast"/>
        </w:trPr>
        <w:tc>
          <w:tcPr>
            <w:tcW w:w="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1"/>
                <w:szCs w:val="21"/>
                <w:u w:val="none"/>
                <w:lang w:val="en-US" w:eastAsia="zh-CN" w:bidi="ar"/>
              </w:rPr>
              <w:t>序号</w:t>
            </w:r>
          </w:p>
        </w:tc>
        <w:tc>
          <w:tcPr>
            <w:tcW w:w="16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1"/>
                <w:szCs w:val="21"/>
                <w:u w:val="none"/>
                <w:lang w:val="en-US" w:eastAsia="zh-CN" w:bidi="ar"/>
              </w:rPr>
              <w:t>分项名称</w:t>
            </w:r>
          </w:p>
        </w:tc>
        <w:tc>
          <w:tcPr>
            <w:tcW w:w="7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1"/>
                <w:szCs w:val="21"/>
                <w:u w:val="none"/>
                <w:lang w:val="en-US" w:eastAsia="zh-CN" w:bidi="ar"/>
              </w:rPr>
              <w:t>单位</w:t>
            </w:r>
          </w:p>
        </w:tc>
        <w:tc>
          <w:tcPr>
            <w:tcW w:w="96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1"/>
                <w:szCs w:val="21"/>
                <w:u w:val="none"/>
                <w:lang w:val="en-US" w:eastAsia="zh-CN" w:bidi="ar"/>
              </w:rPr>
              <w:t>工程量</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color w:val="000000"/>
                <w:kern w:val="0"/>
                <w:szCs w:val="21"/>
                <w:lang w:bidi="ar"/>
              </w:rPr>
            </w:pPr>
            <w:r>
              <w:rPr>
                <w:rFonts w:hint="eastAsia" w:ascii="宋体" w:hAnsi="宋体" w:eastAsia="宋体" w:cs="宋体"/>
                <w:b/>
                <w:bCs/>
                <w:i w:val="0"/>
                <w:iCs w:val="0"/>
                <w:color w:val="000000"/>
                <w:kern w:val="0"/>
                <w:sz w:val="21"/>
                <w:szCs w:val="21"/>
                <w:u w:val="none"/>
                <w:lang w:val="en-US" w:eastAsia="zh-CN" w:bidi="ar"/>
              </w:rPr>
              <w:t>拦标价</w:t>
            </w:r>
          </w:p>
        </w:tc>
        <w:tc>
          <w:tcPr>
            <w:tcW w:w="13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1"/>
                <w:szCs w:val="21"/>
                <w:u w:val="none"/>
                <w:lang w:val="en-US" w:eastAsia="zh-CN" w:bidi="ar"/>
              </w:rPr>
              <w:t>报价</w:t>
            </w:r>
          </w:p>
        </w:tc>
        <w:tc>
          <w:tcPr>
            <w:tcW w:w="95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1"/>
                <w:szCs w:val="21"/>
                <w:u w:val="none"/>
                <w:lang w:val="en-US" w:eastAsia="zh-CN" w:bidi="ar"/>
              </w:rPr>
              <w:t>工作内容</w:t>
            </w:r>
          </w:p>
        </w:tc>
      </w:tr>
      <w:tr>
        <w:tblPrEx>
          <w:tblCellMar>
            <w:top w:w="0" w:type="dxa"/>
            <w:left w:w="108" w:type="dxa"/>
            <w:bottom w:w="0" w:type="dxa"/>
            <w:right w:w="108" w:type="dxa"/>
          </w:tblCellMar>
        </w:tblPrEx>
        <w:trPr>
          <w:trHeight w:val="268" w:hRule="atLeast"/>
        </w:trPr>
        <w:tc>
          <w:tcPr>
            <w:tcW w:w="16234"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一、单价包干部分</w:t>
            </w:r>
          </w:p>
        </w:tc>
      </w:tr>
      <w:tr>
        <w:tblPrEx>
          <w:tblCellMar>
            <w:top w:w="0" w:type="dxa"/>
            <w:left w:w="108" w:type="dxa"/>
            <w:bottom w:w="0" w:type="dxa"/>
            <w:right w:w="108" w:type="dxa"/>
          </w:tblCellMar>
        </w:tblPrEx>
        <w:trPr>
          <w:trHeight w:val="326" w:hRule="atLeast"/>
        </w:trPr>
        <w:tc>
          <w:tcPr>
            <w:tcW w:w="842" w:type="dxa"/>
            <w:tcBorders>
              <w:top w:val="nil"/>
              <w:left w:val="single" w:color="auto" w:sz="4" w:space="0"/>
              <w:bottom w:val="nil"/>
              <w:right w:val="single" w:color="auto" w:sz="4" w:space="0"/>
            </w:tcBorders>
            <w:noWrap/>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1</w:t>
            </w:r>
          </w:p>
        </w:tc>
        <w:tc>
          <w:tcPr>
            <w:tcW w:w="16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地坪破除</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m3</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400</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200元/m3</w:t>
            </w:r>
          </w:p>
        </w:tc>
        <w:tc>
          <w:tcPr>
            <w:tcW w:w="13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18"/>
                <w:szCs w:val="18"/>
              </w:rPr>
            </w:pPr>
            <w:r>
              <w:rPr>
                <w:rFonts w:hint="eastAsia" w:ascii="宋体" w:hAnsi="宋体" w:eastAsia="宋体" w:cs="宋体"/>
                <w:i w:val="0"/>
                <w:iCs w:val="0"/>
                <w:color w:val="000000"/>
                <w:kern w:val="0"/>
                <w:sz w:val="18"/>
                <w:szCs w:val="18"/>
                <w:u w:val="none"/>
                <w:lang w:val="en-US" w:eastAsia="zh-CN" w:bidi="ar"/>
              </w:rPr>
              <w:t>元/m3</w:t>
            </w:r>
          </w:p>
        </w:tc>
        <w:tc>
          <w:tcPr>
            <w:tcW w:w="9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kern w:val="0"/>
                <w:sz w:val="18"/>
                <w:szCs w:val="18"/>
              </w:rPr>
            </w:pPr>
            <w:r>
              <w:rPr>
                <w:rFonts w:hint="eastAsia" w:ascii="宋体" w:hAnsi="宋体" w:eastAsia="宋体" w:cs="宋体"/>
                <w:i w:val="0"/>
                <w:iCs w:val="0"/>
                <w:color w:val="000000"/>
                <w:kern w:val="0"/>
                <w:sz w:val="18"/>
                <w:szCs w:val="18"/>
                <w:u w:val="none"/>
                <w:lang w:val="en-US" w:eastAsia="zh-CN" w:bidi="ar"/>
              </w:rPr>
              <w:t>包括破除、装车、外排等全部工序及涉及的人工费、机械费、材料费、措施费、不可竞争费、税金、水电费等全部费用。</w:t>
            </w:r>
          </w:p>
        </w:tc>
      </w:tr>
      <w:tr>
        <w:tblPrEx>
          <w:tblCellMar>
            <w:top w:w="0" w:type="dxa"/>
            <w:left w:w="108" w:type="dxa"/>
            <w:bottom w:w="0" w:type="dxa"/>
            <w:right w:w="108" w:type="dxa"/>
          </w:tblCellMar>
        </w:tblPrEx>
        <w:trPr>
          <w:trHeight w:val="265" w:hRule="atLeast"/>
        </w:trPr>
        <w:tc>
          <w:tcPr>
            <w:tcW w:w="842" w:type="dxa"/>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2</w:t>
            </w:r>
          </w:p>
        </w:tc>
        <w:tc>
          <w:tcPr>
            <w:tcW w:w="16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开挖土方</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m3</w:t>
            </w:r>
            <w:bookmarkStart w:id="3" w:name="_GoBack"/>
            <w:bookmarkEnd w:id="3"/>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8432</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37元/m3</w:t>
            </w:r>
          </w:p>
        </w:tc>
        <w:tc>
          <w:tcPr>
            <w:tcW w:w="13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18"/>
                <w:szCs w:val="18"/>
              </w:rPr>
            </w:pPr>
            <w:r>
              <w:rPr>
                <w:rFonts w:hint="eastAsia" w:ascii="宋体" w:hAnsi="宋体" w:eastAsia="宋体" w:cs="宋体"/>
                <w:i w:val="0"/>
                <w:iCs w:val="0"/>
                <w:color w:val="000000"/>
                <w:kern w:val="0"/>
                <w:sz w:val="18"/>
                <w:szCs w:val="18"/>
                <w:u w:val="none"/>
                <w:lang w:val="en-US" w:eastAsia="zh-CN" w:bidi="ar"/>
              </w:rPr>
              <w:t>元/m3</w:t>
            </w:r>
          </w:p>
        </w:tc>
        <w:tc>
          <w:tcPr>
            <w:tcW w:w="9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包括开挖、装车、外排（5km）、人工清底等全部工序及涉及的人工费、机械费、材料费、措施费、不可竞争费、税金、水电费等全部费用。</w:t>
            </w:r>
          </w:p>
        </w:tc>
      </w:tr>
      <w:tr>
        <w:tblPrEx>
          <w:tblCellMar>
            <w:top w:w="0" w:type="dxa"/>
            <w:left w:w="108" w:type="dxa"/>
            <w:bottom w:w="0" w:type="dxa"/>
            <w:right w:w="108" w:type="dxa"/>
          </w:tblCellMar>
        </w:tblPrEx>
        <w:trPr>
          <w:trHeight w:val="239" w:hRule="atLeast"/>
        </w:trPr>
        <w:tc>
          <w:tcPr>
            <w:tcW w:w="842" w:type="dxa"/>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3</w:t>
            </w:r>
          </w:p>
        </w:tc>
        <w:tc>
          <w:tcPr>
            <w:tcW w:w="16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土方回填</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m3</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26305</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35元/m3</w:t>
            </w:r>
          </w:p>
        </w:tc>
        <w:tc>
          <w:tcPr>
            <w:tcW w:w="13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18"/>
                <w:szCs w:val="18"/>
              </w:rPr>
            </w:pPr>
            <w:r>
              <w:rPr>
                <w:rFonts w:hint="eastAsia" w:ascii="宋体" w:hAnsi="宋体" w:eastAsia="宋体" w:cs="宋体"/>
                <w:i w:val="0"/>
                <w:iCs w:val="0"/>
                <w:color w:val="000000"/>
                <w:kern w:val="0"/>
                <w:sz w:val="18"/>
                <w:szCs w:val="18"/>
                <w:u w:val="none"/>
                <w:lang w:val="en-US" w:eastAsia="zh-CN" w:bidi="ar"/>
              </w:rPr>
              <w:t>元/m3</w:t>
            </w:r>
          </w:p>
        </w:tc>
        <w:tc>
          <w:tcPr>
            <w:tcW w:w="9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包括回填、装车、平整、夯实等全部工序及涉及的人工费、机械费、材料费、措施费、不可竞争费、税金、水电费等全部费用。</w:t>
            </w:r>
          </w:p>
        </w:tc>
      </w:tr>
      <w:tr>
        <w:tblPrEx>
          <w:tblCellMar>
            <w:top w:w="0" w:type="dxa"/>
            <w:left w:w="108" w:type="dxa"/>
            <w:bottom w:w="0" w:type="dxa"/>
            <w:right w:w="108" w:type="dxa"/>
          </w:tblCellMar>
        </w:tblPrEx>
        <w:trPr>
          <w:trHeight w:val="129" w:hRule="atLeast"/>
        </w:trPr>
        <w:tc>
          <w:tcPr>
            <w:tcW w:w="8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4</w:t>
            </w:r>
          </w:p>
        </w:tc>
        <w:tc>
          <w:tcPr>
            <w:tcW w:w="16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000000"/>
                <w:sz w:val="18"/>
                <w:szCs w:val="18"/>
                <w:u w:val="single"/>
              </w:rPr>
            </w:pPr>
            <w:r>
              <w:rPr>
                <w:rFonts w:hint="eastAsia" w:ascii="宋体" w:hAnsi="宋体" w:eastAsia="宋体" w:cs="宋体"/>
                <w:i w:val="0"/>
                <w:iCs w:val="0"/>
                <w:color w:val="000000"/>
                <w:kern w:val="0"/>
                <w:sz w:val="18"/>
                <w:szCs w:val="18"/>
                <w:u w:val="none"/>
                <w:lang w:val="en-US" w:eastAsia="zh-CN" w:bidi="ar"/>
              </w:rPr>
              <w:t>碎石垫层</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m3</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2331</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351元/m3</w:t>
            </w:r>
          </w:p>
        </w:tc>
        <w:tc>
          <w:tcPr>
            <w:tcW w:w="13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18"/>
                <w:szCs w:val="18"/>
              </w:rPr>
            </w:pPr>
            <w:r>
              <w:rPr>
                <w:rFonts w:hint="eastAsia" w:ascii="宋体" w:hAnsi="宋体" w:eastAsia="宋体" w:cs="宋体"/>
                <w:i w:val="0"/>
                <w:iCs w:val="0"/>
                <w:color w:val="000000"/>
                <w:kern w:val="0"/>
                <w:sz w:val="18"/>
                <w:szCs w:val="18"/>
                <w:u w:val="none"/>
                <w:lang w:val="en-US" w:eastAsia="zh-CN" w:bidi="ar"/>
              </w:rPr>
              <w:t>元/m3</w:t>
            </w:r>
          </w:p>
        </w:tc>
        <w:tc>
          <w:tcPr>
            <w:tcW w:w="9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包括装车、运输、铺设、平整、夯实等全部工序及涉及的人工费、机械费、材料费、措施费、不可竞争费、税金、水电费等全部费用。</w:t>
            </w:r>
          </w:p>
        </w:tc>
      </w:tr>
      <w:tr>
        <w:tblPrEx>
          <w:tblCellMar>
            <w:top w:w="0" w:type="dxa"/>
            <w:left w:w="108" w:type="dxa"/>
            <w:bottom w:w="0" w:type="dxa"/>
            <w:right w:w="108" w:type="dxa"/>
          </w:tblCellMar>
        </w:tblPrEx>
        <w:trPr>
          <w:trHeight w:val="208" w:hRule="atLeast"/>
        </w:trPr>
        <w:tc>
          <w:tcPr>
            <w:tcW w:w="84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eastAsiaTheme="minorEastAsia"/>
                <w:color w:val="000000"/>
                <w:kern w:val="0"/>
                <w:sz w:val="18"/>
                <w:szCs w:val="18"/>
                <w:lang w:val="en-US" w:eastAsia="zh-CN" w:bidi="ar"/>
              </w:rPr>
            </w:pPr>
            <w:r>
              <w:rPr>
                <w:rFonts w:hint="eastAsia" w:ascii="宋体" w:hAnsi="宋体" w:cs="宋体"/>
                <w:color w:val="000000"/>
                <w:kern w:val="0"/>
                <w:sz w:val="18"/>
                <w:szCs w:val="18"/>
                <w:lang w:val="en-US" w:eastAsia="zh-CN" w:bidi="ar"/>
              </w:rPr>
              <w:t>5</w:t>
            </w:r>
          </w:p>
        </w:tc>
        <w:tc>
          <w:tcPr>
            <w:tcW w:w="16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砂石垫层</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m3</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145</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410元/m3</w:t>
            </w:r>
          </w:p>
        </w:tc>
        <w:tc>
          <w:tcPr>
            <w:tcW w:w="13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元/m3</w:t>
            </w:r>
          </w:p>
        </w:tc>
        <w:tc>
          <w:tcPr>
            <w:tcW w:w="9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包括装车、运输、铺设、平整、夯实等全部工序及涉及的人工费、机械费、材料费、措施费、不可竞争费、税金、水电费等全部费用。</w:t>
            </w:r>
          </w:p>
        </w:tc>
      </w:tr>
      <w:tr>
        <w:tblPrEx>
          <w:tblCellMar>
            <w:top w:w="0" w:type="dxa"/>
            <w:left w:w="108" w:type="dxa"/>
            <w:bottom w:w="0" w:type="dxa"/>
            <w:right w:w="108" w:type="dxa"/>
          </w:tblCellMar>
        </w:tblPrEx>
        <w:trPr>
          <w:trHeight w:val="231" w:hRule="atLeast"/>
        </w:trPr>
        <w:tc>
          <w:tcPr>
            <w:tcW w:w="8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6</w:t>
            </w:r>
          </w:p>
        </w:tc>
        <w:tc>
          <w:tcPr>
            <w:tcW w:w="16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混凝土浇筑</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m3</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2131</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955元/m3</w:t>
            </w:r>
          </w:p>
        </w:tc>
        <w:tc>
          <w:tcPr>
            <w:tcW w:w="13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元/m3</w:t>
            </w:r>
          </w:p>
        </w:tc>
        <w:tc>
          <w:tcPr>
            <w:tcW w:w="9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包括卸车、运输、倒运、脚手架、支模、对拉丝、浇筑、养生、地坪伸缩缝等全部工序及涉及的人工费、机械费、材料费、措施费、不可竞争费、税金、水电费等全部费用。</w:t>
            </w:r>
          </w:p>
        </w:tc>
      </w:tr>
      <w:tr>
        <w:tblPrEx>
          <w:tblCellMar>
            <w:top w:w="0" w:type="dxa"/>
            <w:left w:w="108" w:type="dxa"/>
            <w:bottom w:w="0" w:type="dxa"/>
            <w:right w:w="108" w:type="dxa"/>
          </w:tblCellMar>
        </w:tblPrEx>
        <w:trPr>
          <w:trHeight w:val="105" w:hRule="atLeast"/>
        </w:trPr>
        <w:tc>
          <w:tcPr>
            <w:tcW w:w="8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7</w:t>
            </w:r>
          </w:p>
        </w:tc>
        <w:tc>
          <w:tcPr>
            <w:tcW w:w="16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砖墙砌筑</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m3</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38</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976元/m3</w:t>
            </w:r>
          </w:p>
        </w:tc>
        <w:tc>
          <w:tcPr>
            <w:tcW w:w="13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元/m3</w:t>
            </w:r>
          </w:p>
        </w:tc>
        <w:tc>
          <w:tcPr>
            <w:tcW w:w="9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包括卸车、运输、倒运、脚手架、砌筑等全部工序及涉及的人工费、机械费、材料费、措施费、不可竞争费、税金、水电费等全部费用。</w:t>
            </w:r>
          </w:p>
        </w:tc>
      </w:tr>
      <w:tr>
        <w:tblPrEx>
          <w:tblCellMar>
            <w:top w:w="0" w:type="dxa"/>
            <w:left w:w="108" w:type="dxa"/>
            <w:bottom w:w="0" w:type="dxa"/>
            <w:right w:w="108" w:type="dxa"/>
          </w:tblCellMar>
        </w:tblPrEx>
        <w:trPr>
          <w:trHeight w:val="91" w:hRule="atLeast"/>
        </w:trPr>
        <w:tc>
          <w:tcPr>
            <w:tcW w:w="8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8</w:t>
            </w:r>
          </w:p>
        </w:tc>
        <w:tc>
          <w:tcPr>
            <w:tcW w:w="16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墙砖铺贴</w:t>
            </w:r>
          </w:p>
        </w:tc>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m2</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253</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72元/m2</w:t>
            </w:r>
          </w:p>
        </w:tc>
        <w:tc>
          <w:tcPr>
            <w:tcW w:w="13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元/m2</w:t>
            </w:r>
          </w:p>
        </w:tc>
        <w:tc>
          <w:tcPr>
            <w:tcW w:w="9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包括卸车、运输、倒运、镶贴、勾缝等涉及的全部工序及人工费、机械费、材料费（不包含墙砖费用）、措施费、不可竞争费、税金、水电费等全部费用。</w:t>
            </w:r>
          </w:p>
        </w:tc>
      </w:tr>
      <w:tr>
        <w:tblPrEx>
          <w:tblCellMar>
            <w:top w:w="0" w:type="dxa"/>
            <w:left w:w="108" w:type="dxa"/>
            <w:bottom w:w="0" w:type="dxa"/>
            <w:right w:w="108" w:type="dxa"/>
          </w:tblCellMar>
        </w:tblPrEx>
        <w:trPr>
          <w:trHeight w:val="251" w:hRule="atLeast"/>
        </w:trPr>
        <w:tc>
          <w:tcPr>
            <w:tcW w:w="8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9</w:t>
            </w:r>
          </w:p>
        </w:tc>
        <w:tc>
          <w:tcPr>
            <w:tcW w:w="166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墙体表面杂物清理、抹灰</w:t>
            </w:r>
          </w:p>
        </w:tc>
        <w:tc>
          <w:tcPr>
            <w:tcW w:w="7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m2</w:t>
            </w:r>
          </w:p>
        </w:tc>
        <w:tc>
          <w:tcPr>
            <w:tcW w:w="9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507</w:t>
            </w:r>
          </w:p>
        </w:tc>
        <w:tc>
          <w:tcPr>
            <w:tcW w:w="11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42元/m2</w:t>
            </w:r>
          </w:p>
        </w:tc>
        <w:tc>
          <w:tcPr>
            <w:tcW w:w="13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元/m2</w:t>
            </w:r>
          </w:p>
        </w:tc>
        <w:tc>
          <w:tcPr>
            <w:tcW w:w="9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包括卸车、运输、倒运、杂物清理、抹灰等全部工序及涉及的人工费、机械费、材料费、措施费、不可竞争费、税金、水电费等全部费用。</w:t>
            </w:r>
          </w:p>
        </w:tc>
      </w:tr>
      <w:tr>
        <w:tblPrEx>
          <w:tblCellMar>
            <w:top w:w="0" w:type="dxa"/>
            <w:left w:w="108" w:type="dxa"/>
            <w:bottom w:w="0" w:type="dxa"/>
            <w:right w:w="108" w:type="dxa"/>
          </w:tblCellMar>
        </w:tblPrEx>
        <w:trPr>
          <w:trHeight w:val="156" w:hRule="atLeast"/>
        </w:trPr>
        <w:tc>
          <w:tcPr>
            <w:tcW w:w="8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color w:val="000000"/>
                <w:kern w:val="0"/>
                <w:sz w:val="18"/>
                <w:szCs w:val="18"/>
                <w:lang w:val="en-US" w:bidi="ar"/>
              </w:rPr>
            </w:pPr>
            <w:r>
              <w:rPr>
                <w:rFonts w:hint="eastAsia" w:ascii="宋体" w:hAnsi="宋体" w:eastAsia="宋体" w:cs="宋体"/>
                <w:i w:val="0"/>
                <w:iCs w:val="0"/>
                <w:color w:val="000000"/>
                <w:kern w:val="0"/>
                <w:sz w:val="18"/>
                <w:szCs w:val="18"/>
                <w:u w:val="none"/>
                <w:lang w:val="en-US" w:eastAsia="zh-CN" w:bidi="ar"/>
              </w:rPr>
              <w:t>10</w:t>
            </w:r>
          </w:p>
        </w:tc>
        <w:tc>
          <w:tcPr>
            <w:tcW w:w="166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墙体表面杂物清理、粉刷涂料</w:t>
            </w:r>
          </w:p>
        </w:tc>
        <w:tc>
          <w:tcPr>
            <w:tcW w:w="7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m2</w:t>
            </w:r>
          </w:p>
        </w:tc>
        <w:tc>
          <w:tcPr>
            <w:tcW w:w="9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190</w:t>
            </w:r>
          </w:p>
        </w:tc>
        <w:tc>
          <w:tcPr>
            <w:tcW w:w="11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34元/m2</w:t>
            </w:r>
          </w:p>
        </w:tc>
        <w:tc>
          <w:tcPr>
            <w:tcW w:w="13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元/m2</w:t>
            </w:r>
          </w:p>
        </w:tc>
        <w:tc>
          <w:tcPr>
            <w:tcW w:w="9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包括卸车、运输、倒运、杂物清理、批腻子、粉刷涂料（两遍）等全部工序及涉及的人工费、机械费、材料费、措施费、不可竞争费、税金、水电费等全部费用。</w:t>
            </w:r>
          </w:p>
        </w:tc>
      </w:tr>
      <w:tr>
        <w:tblPrEx>
          <w:tblCellMar>
            <w:top w:w="0" w:type="dxa"/>
            <w:left w:w="108" w:type="dxa"/>
            <w:bottom w:w="0" w:type="dxa"/>
            <w:right w:w="108" w:type="dxa"/>
          </w:tblCellMar>
        </w:tblPrEx>
        <w:trPr>
          <w:trHeight w:val="133" w:hRule="atLeast"/>
        </w:trPr>
        <w:tc>
          <w:tcPr>
            <w:tcW w:w="8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166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等线" w:hAnsi="等线" w:eastAsia="等线" w:cs="等线"/>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预埋件、螺栓</w:t>
            </w:r>
          </w:p>
        </w:tc>
        <w:tc>
          <w:tcPr>
            <w:tcW w:w="7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9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1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13000元/t</w:t>
            </w:r>
          </w:p>
        </w:tc>
        <w:tc>
          <w:tcPr>
            <w:tcW w:w="13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元/t</w:t>
            </w:r>
          </w:p>
        </w:tc>
        <w:tc>
          <w:tcPr>
            <w:tcW w:w="9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等线" w:hAnsi="等线" w:eastAsia="等线" w:cs="等线"/>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包括预埋件、螺栓制安，包括卸车、运输、倒运、制作、安装等全部工序及涉及的人工费、机械费、材料费、措施费、不可竞争费、税金、水电费等全部费用。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8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166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等线" w:hAnsi="等线" w:eastAsia="等线" w:cs="等线"/>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钢筋制安</w:t>
            </w:r>
          </w:p>
        </w:tc>
        <w:tc>
          <w:tcPr>
            <w:tcW w:w="77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9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257</w:t>
            </w:r>
          </w:p>
        </w:tc>
        <w:tc>
          <w:tcPr>
            <w:tcW w:w="11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1350元/t</w:t>
            </w:r>
          </w:p>
        </w:tc>
        <w:tc>
          <w:tcPr>
            <w:tcW w:w="13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元/t</w:t>
            </w:r>
          </w:p>
        </w:tc>
        <w:tc>
          <w:tcPr>
            <w:tcW w:w="9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等线" w:hAnsi="等线" w:eastAsia="等线" w:cs="等线"/>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包括卸车、运输、倒运、制作、安装等全部工序及涉及的人工费、机械费、材料费（不包含钢筋主材费用）、措施费、不可竞争费、税金、水电费等全部费用。</w:t>
            </w:r>
          </w:p>
        </w:tc>
      </w:tr>
      <w:tr>
        <w:tblPrEx>
          <w:tblCellMar>
            <w:top w:w="0" w:type="dxa"/>
            <w:left w:w="108" w:type="dxa"/>
            <w:bottom w:w="0" w:type="dxa"/>
            <w:right w:w="108" w:type="dxa"/>
          </w:tblCellMar>
        </w:tblPrEx>
        <w:trPr>
          <w:trHeight w:val="412" w:hRule="atLeast"/>
        </w:trPr>
        <w:tc>
          <w:tcPr>
            <w:tcW w:w="16234"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二、除单价包干外工程量</w:t>
            </w:r>
          </w:p>
        </w:tc>
      </w:tr>
      <w:tr>
        <w:tblPrEx>
          <w:tblCellMar>
            <w:top w:w="0" w:type="dxa"/>
            <w:left w:w="108" w:type="dxa"/>
            <w:bottom w:w="0" w:type="dxa"/>
            <w:right w:w="108" w:type="dxa"/>
          </w:tblCellMar>
        </w:tblPrEx>
        <w:trPr>
          <w:trHeight w:val="280" w:hRule="atLeast"/>
        </w:trPr>
        <w:tc>
          <w:tcPr>
            <w:tcW w:w="8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66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优惠率（不包含材料费）</w:t>
            </w:r>
          </w:p>
        </w:tc>
        <w:tc>
          <w:tcPr>
            <w:tcW w:w="174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暂估金额200000元</w:t>
            </w:r>
          </w:p>
        </w:tc>
        <w:tc>
          <w:tcPr>
            <w:tcW w:w="11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w:t>
            </w:r>
          </w:p>
        </w:tc>
        <w:tc>
          <w:tcPr>
            <w:tcW w:w="13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优惠</w:t>
            </w:r>
            <w:r>
              <w:rPr>
                <w:rFonts w:hint="eastAsia" w:ascii="宋体" w:hAnsi="宋体" w:eastAsia="宋体" w:cs="宋体"/>
                <w:i w:val="0"/>
                <w:iCs w:val="0"/>
                <w:color w:val="000000"/>
                <w:kern w:val="0"/>
                <w:sz w:val="18"/>
                <w:szCs w:val="18"/>
                <w:u w:val="singl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 xml:space="preserve">%     </w:t>
            </w:r>
          </w:p>
        </w:tc>
        <w:tc>
          <w:tcPr>
            <w:tcW w:w="9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sz w:val="18"/>
                <w:szCs w:val="18"/>
              </w:rPr>
            </w:pPr>
            <w:r>
              <w:rPr>
                <w:rFonts w:hint="eastAsia" w:ascii="宋体" w:hAnsi="宋体" w:eastAsia="宋体" w:cs="宋体"/>
                <w:i w:val="0"/>
                <w:iCs w:val="0"/>
                <w:color w:val="000000"/>
                <w:kern w:val="0"/>
                <w:sz w:val="18"/>
                <w:szCs w:val="18"/>
                <w:u w:val="none"/>
                <w:lang w:val="en-US" w:eastAsia="zh-CN" w:bidi="ar"/>
              </w:rPr>
              <w:t>执行2018版安徽省建设工程计价定额及配套费用定额，材料费不参与总价优惠。措施项目费以确认形式据实计取，二次搬运费不计取。</w:t>
            </w:r>
          </w:p>
        </w:tc>
      </w:tr>
    </w:tbl>
    <w:p>
      <w:pPr>
        <w:pStyle w:val="2"/>
        <w:ind w:left="0" w:leftChars="0" w:firstLine="0" w:firstLineChars="0"/>
        <w:rPr>
          <w:rFonts w:hint="eastAsia" w:ascii="宋体" w:hAnsi="宋体" w:cs="宋体"/>
          <w:sz w:val="24"/>
          <w:szCs w:val="24"/>
        </w:rPr>
      </w:pPr>
    </w:p>
    <w:p>
      <w:pPr>
        <w:pStyle w:val="2"/>
        <w:ind w:left="0" w:leftChars="0" w:firstLine="0" w:firstLineChars="0"/>
        <w:rPr>
          <w:rFonts w:hint="eastAsia" w:ascii="宋体" w:hAnsi="宋体" w:cs="宋体"/>
          <w:sz w:val="24"/>
          <w:szCs w:val="24"/>
        </w:rPr>
      </w:pPr>
    </w:p>
    <w:p>
      <w:pPr>
        <w:pStyle w:val="2"/>
        <w:ind w:left="0" w:leftChars="0" w:firstLine="0" w:firstLineChars="0"/>
        <w:rPr>
          <w:rFonts w:hint="eastAsia" w:ascii="宋体" w:hAnsi="宋体" w:cs="宋体"/>
          <w:sz w:val="24"/>
          <w:szCs w:val="24"/>
        </w:rPr>
      </w:pPr>
    </w:p>
    <w:p>
      <w:pPr>
        <w:pStyle w:val="2"/>
        <w:ind w:left="0" w:leftChars="0" w:firstLine="0" w:firstLineChars="0"/>
        <w:rPr>
          <w:rFonts w:hint="eastAsia" w:ascii="宋体" w:hAnsi="宋体" w:cs="宋体"/>
          <w:sz w:val="24"/>
          <w:szCs w:val="24"/>
        </w:rPr>
      </w:pPr>
    </w:p>
    <w:p>
      <w:pPr>
        <w:pStyle w:val="2"/>
        <w:ind w:left="0" w:leftChars="0" w:firstLine="720" w:firstLineChars="300"/>
        <w:rPr>
          <w:rFonts w:hint="eastAsia" w:ascii="宋体" w:hAnsi="宋体" w:cs="宋体"/>
          <w:sz w:val="24"/>
          <w:szCs w:val="24"/>
        </w:rPr>
      </w:pPr>
      <w:r>
        <w:rPr>
          <w:rFonts w:hint="eastAsia" w:ascii="宋体" w:hAnsi="宋体" w:cs="宋体"/>
          <w:sz w:val="24"/>
          <w:szCs w:val="24"/>
        </w:rPr>
        <w:t>注</w:t>
      </w:r>
    </w:p>
    <w:p>
      <w:pPr>
        <w:pStyle w:val="2"/>
        <w:ind w:left="0" w:leftChars="0" w:firstLine="720" w:firstLineChars="300"/>
        <w:rPr>
          <w:rFonts w:hint="eastAsia" w:ascii="宋体" w:hAnsi="宋体" w:cs="宋体"/>
          <w:sz w:val="24"/>
          <w:szCs w:val="24"/>
        </w:rPr>
      </w:pPr>
    </w:p>
    <w:p>
      <w:pPr>
        <w:pStyle w:val="2"/>
        <w:ind w:left="0" w:leftChars="0" w:firstLine="720" w:firstLineChars="300"/>
        <w:rPr>
          <w:rFonts w:hint="eastAsia" w:ascii="宋体" w:hAnsi="宋体" w:cs="宋体"/>
          <w:sz w:val="24"/>
          <w:szCs w:val="24"/>
        </w:rPr>
      </w:pPr>
    </w:p>
    <w:p>
      <w:pPr>
        <w:pStyle w:val="2"/>
        <w:ind w:left="0" w:leftChars="0" w:firstLine="720" w:firstLineChars="300"/>
        <w:rPr>
          <w:rFonts w:hint="eastAsia" w:ascii="宋体" w:hAnsi="宋体" w:cs="宋体"/>
          <w:sz w:val="24"/>
          <w:szCs w:val="24"/>
        </w:rPr>
      </w:pPr>
    </w:p>
    <w:p>
      <w:pPr>
        <w:pStyle w:val="2"/>
        <w:ind w:left="0" w:leftChars="0" w:firstLine="720" w:firstLineChars="300"/>
        <w:rPr>
          <w:rFonts w:hint="eastAsia" w:ascii="宋体" w:hAnsi="宋体" w:cs="宋体"/>
          <w:sz w:val="24"/>
          <w:szCs w:val="24"/>
        </w:rPr>
      </w:pPr>
    </w:p>
    <w:p>
      <w:pPr>
        <w:pStyle w:val="2"/>
        <w:ind w:left="0" w:leftChars="0" w:firstLine="720" w:firstLineChars="300"/>
        <w:rPr>
          <w:rFonts w:hint="eastAsia" w:ascii="宋体" w:hAnsi="宋体" w:cs="宋体"/>
          <w:sz w:val="24"/>
          <w:szCs w:val="24"/>
        </w:rPr>
      </w:pPr>
    </w:p>
    <w:p>
      <w:pPr>
        <w:pStyle w:val="2"/>
        <w:ind w:left="0" w:leftChars="0" w:firstLine="720" w:firstLineChars="300"/>
        <w:rPr>
          <w:rFonts w:hint="eastAsia" w:ascii="宋体" w:hAnsi="宋体" w:cs="宋体"/>
          <w:sz w:val="24"/>
          <w:szCs w:val="24"/>
        </w:rPr>
      </w:pPr>
    </w:p>
    <w:p>
      <w:pPr>
        <w:pStyle w:val="2"/>
        <w:ind w:left="0" w:leftChars="0" w:firstLine="720" w:firstLineChars="300"/>
        <w:rPr>
          <w:rFonts w:hint="eastAsia" w:ascii="宋体" w:hAnsi="宋体" w:cs="宋体"/>
          <w:sz w:val="24"/>
          <w:szCs w:val="24"/>
        </w:rPr>
      </w:pPr>
    </w:p>
    <w:p>
      <w:pPr>
        <w:pStyle w:val="2"/>
        <w:ind w:left="0" w:leftChars="0" w:firstLine="720" w:firstLineChars="300"/>
        <w:rPr>
          <w:rFonts w:hint="eastAsia" w:ascii="宋体" w:hAnsi="宋体" w:cs="宋体"/>
          <w:sz w:val="24"/>
          <w:szCs w:val="24"/>
        </w:rPr>
      </w:pPr>
    </w:p>
    <w:p>
      <w:pPr>
        <w:pStyle w:val="2"/>
        <w:ind w:left="0" w:leftChars="0" w:firstLine="720" w:firstLineChars="300"/>
        <w:rPr>
          <w:rFonts w:hint="eastAsia" w:ascii="宋体" w:hAnsi="宋体" w:cs="宋体"/>
          <w:sz w:val="24"/>
          <w:szCs w:val="24"/>
        </w:rPr>
      </w:pPr>
    </w:p>
    <w:p>
      <w:pPr>
        <w:pStyle w:val="2"/>
        <w:ind w:left="0" w:leftChars="0" w:firstLine="720" w:firstLineChars="300"/>
        <w:rPr>
          <w:rFonts w:hint="eastAsia" w:ascii="宋体" w:hAnsi="宋体" w:cs="宋体"/>
          <w:sz w:val="24"/>
          <w:szCs w:val="24"/>
        </w:rPr>
      </w:pPr>
    </w:p>
    <w:p>
      <w:pPr>
        <w:pStyle w:val="2"/>
        <w:ind w:left="0" w:leftChars="0" w:firstLine="720" w:firstLineChars="300"/>
        <w:rPr>
          <w:rFonts w:hint="eastAsia" w:ascii="宋体" w:hAnsi="宋体" w:cs="宋体"/>
          <w:sz w:val="24"/>
          <w:szCs w:val="24"/>
        </w:rPr>
      </w:pPr>
    </w:p>
    <w:p>
      <w:pPr>
        <w:pStyle w:val="2"/>
        <w:ind w:left="0" w:leftChars="0" w:firstLine="720" w:firstLineChars="300"/>
        <w:rPr>
          <w:rFonts w:hint="eastAsia" w:ascii="宋体" w:hAnsi="宋体" w:cs="宋体"/>
          <w:sz w:val="24"/>
          <w:szCs w:val="24"/>
        </w:rPr>
      </w:pPr>
    </w:p>
    <w:p>
      <w:pPr>
        <w:pStyle w:val="2"/>
        <w:ind w:left="0" w:leftChars="0" w:firstLine="720" w:firstLineChars="300"/>
        <w:rPr>
          <w:rFonts w:hint="eastAsia" w:ascii="宋体" w:hAnsi="宋体" w:cs="宋体"/>
          <w:sz w:val="24"/>
          <w:szCs w:val="24"/>
        </w:rPr>
      </w:pPr>
    </w:p>
    <w:p>
      <w:pPr>
        <w:pStyle w:val="2"/>
        <w:ind w:left="0" w:leftChars="0" w:firstLine="960" w:firstLineChars="400"/>
        <w:rPr>
          <w:rFonts w:hint="eastAsia"/>
          <w:b/>
        </w:rPr>
      </w:pPr>
      <w:r>
        <w:rPr>
          <w:rFonts w:hint="eastAsia" w:ascii="宋体" w:hAnsi="宋体" w:cs="宋体"/>
          <w:sz w:val="24"/>
          <w:szCs w:val="24"/>
          <w:lang w:val="en-US" w:eastAsia="zh-CN"/>
        </w:rPr>
        <w:t>注</w:t>
      </w:r>
      <w:r>
        <w:rPr>
          <w:rFonts w:hint="eastAsia" w:ascii="宋体" w:hAnsi="宋体" w:cs="宋体"/>
          <w:sz w:val="24"/>
          <w:szCs w:val="24"/>
        </w:rPr>
        <w:t>：本报价单需加盖投标单位公章和</w:t>
      </w:r>
      <w:r>
        <w:rPr>
          <w:rFonts w:hint="eastAsia"/>
          <w:sz w:val="24"/>
          <w:szCs w:val="24"/>
        </w:rPr>
        <w:t>法人代表印章或授权代理人签字。</w:t>
      </w:r>
    </w:p>
    <w:p>
      <w:pPr>
        <w:pStyle w:val="2"/>
        <w:ind w:left="0" w:leftChars="0" w:firstLine="0" w:firstLineChars="0"/>
        <w:rPr>
          <w:rFonts w:hint="eastAsia"/>
          <w:b/>
        </w:rPr>
        <w:sectPr>
          <w:pgSz w:w="16840" w:h="11900" w:orient="landscape"/>
          <w:pgMar w:top="1361" w:right="1582" w:bottom="981" w:left="278" w:header="720" w:footer="720" w:gutter="0"/>
          <w:cols w:space="0" w:num="1"/>
          <w:rtlGutter w:val="0"/>
          <w:docGrid w:linePitch="0" w:charSpace="0"/>
        </w:sectPr>
      </w:pPr>
    </w:p>
    <w:p>
      <w:pPr>
        <w:pStyle w:val="2"/>
        <w:ind w:left="0" w:leftChars="0" w:firstLine="0" w:firstLineChars="0"/>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532887698"/>
      <w:bookmarkStart w:id="1" w:name="_Toc15291886"/>
      <w:bookmarkStart w:id="2" w:name="_Toc15231775"/>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1CD4971A"/>
    <w:multiLevelType w:val="singleLevel"/>
    <w:tmpl w:val="1CD4971A"/>
    <w:lvl w:ilvl="0" w:tentative="0">
      <w:start w:val="11"/>
      <w:numFmt w:val="chineseCounting"/>
      <w:suff w:val="nothing"/>
      <w:lvlText w:val="%1、"/>
      <w:lvlJc w:val="left"/>
      <w:rPr>
        <w:rFonts w:hint="eastAsia"/>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6"/>
  </w:num>
  <w:num w:numId="2">
    <w:abstractNumId w:val="8"/>
  </w:num>
  <w:num w:numId="3">
    <w:abstractNumId w:val="10"/>
  </w:num>
  <w:num w:numId="4">
    <w:abstractNumId w:val="9"/>
  </w:num>
  <w:num w:numId="5">
    <w:abstractNumId w:val="3"/>
  </w:num>
  <w:num w:numId="6">
    <w:abstractNumId w:val="1"/>
  </w:num>
  <w:num w:numId="7">
    <w:abstractNumId w:val="5"/>
  </w:num>
  <w:num w:numId="8">
    <w:abstractNumId w:val="4"/>
  </w:num>
  <w:num w:numId="9">
    <w:abstractNumId w:val="0"/>
    <w:lvlOverride w:ilvl="0">
      <w:startOverride w:val="1"/>
    </w:lvlOverride>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3BC5298"/>
    <w:rsid w:val="08211923"/>
    <w:rsid w:val="0DFC1491"/>
    <w:rsid w:val="1DC136C9"/>
    <w:rsid w:val="214D2E1E"/>
    <w:rsid w:val="21F73AF2"/>
    <w:rsid w:val="22574413"/>
    <w:rsid w:val="23883F50"/>
    <w:rsid w:val="24C93CD8"/>
    <w:rsid w:val="24E835CF"/>
    <w:rsid w:val="277A7469"/>
    <w:rsid w:val="282A37D0"/>
    <w:rsid w:val="32120583"/>
    <w:rsid w:val="326329B3"/>
    <w:rsid w:val="34481C4C"/>
    <w:rsid w:val="39420705"/>
    <w:rsid w:val="3C9A4830"/>
    <w:rsid w:val="45661826"/>
    <w:rsid w:val="47614EF9"/>
    <w:rsid w:val="492349FE"/>
    <w:rsid w:val="510606A7"/>
    <w:rsid w:val="58473042"/>
    <w:rsid w:val="59545629"/>
    <w:rsid w:val="59A06F0E"/>
    <w:rsid w:val="59EC5338"/>
    <w:rsid w:val="5D882CE0"/>
    <w:rsid w:val="5EDC5495"/>
    <w:rsid w:val="65581936"/>
    <w:rsid w:val="66296C18"/>
    <w:rsid w:val="663E0959"/>
    <w:rsid w:val="68881191"/>
    <w:rsid w:val="6CEF7CB8"/>
    <w:rsid w:val="6E1E3AB8"/>
    <w:rsid w:val="724E1F86"/>
    <w:rsid w:val="754C160E"/>
    <w:rsid w:val="77676C2F"/>
    <w:rsid w:val="795B4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31"/>
    <w:basedOn w:val="14"/>
    <w:qFormat/>
    <w:uiPriority w:val="0"/>
    <w:rPr>
      <w:rFonts w:hint="eastAsia" w:ascii="宋体" w:hAnsi="宋体" w:eastAsia="宋体" w:cs="宋体"/>
      <w:color w:val="FF0000"/>
      <w:sz w:val="20"/>
      <w:szCs w:val="20"/>
      <w:u w:val="none"/>
    </w:rPr>
  </w:style>
  <w:style w:type="character" w:customStyle="1" w:styleId="35">
    <w:name w:val="font161"/>
    <w:basedOn w:val="14"/>
    <w:qFormat/>
    <w:uiPriority w:val="0"/>
    <w:rPr>
      <w:rFonts w:hint="default" w:ascii="Times New Roman" w:hAnsi="Times New Roman" w:cs="Times New Roman"/>
      <w:color w:val="000000"/>
      <w:sz w:val="21"/>
      <w:szCs w:val="21"/>
      <w:u w:val="none"/>
    </w:rPr>
  </w:style>
  <w:style w:type="character" w:customStyle="1" w:styleId="36">
    <w:name w:val="font151"/>
    <w:basedOn w:val="14"/>
    <w:qFormat/>
    <w:uiPriority w:val="0"/>
    <w:rPr>
      <w:rFonts w:hint="eastAsia" w:ascii="宋体" w:hAnsi="宋体" w:eastAsia="宋体" w:cs="宋体"/>
      <w:b/>
      <w:bCs/>
      <w:color w:val="FF0000"/>
      <w:sz w:val="24"/>
      <w:szCs w:val="24"/>
      <w:u w:val="none"/>
    </w:rPr>
  </w:style>
  <w:style w:type="character" w:customStyle="1" w:styleId="37">
    <w:name w:val="font121"/>
    <w:basedOn w:val="14"/>
    <w:qFormat/>
    <w:uiPriority w:val="0"/>
    <w:rPr>
      <w:rFonts w:hint="eastAsia" w:ascii="宋体" w:hAnsi="宋体" w:eastAsia="宋体" w:cs="宋体"/>
      <w:color w:val="000000"/>
      <w:sz w:val="21"/>
      <w:szCs w:val="21"/>
      <w:u w:val="none"/>
    </w:rPr>
  </w:style>
  <w:style w:type="character" w:customStyle="1" w:styleId="38">
    <w:name w:val="font131"/>
    <w:basedOn w:val="1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3</TotalTime>
  <ScaleCrop>false</ScaleCrop>
  <LinksUpToDate>false</LinksUpToDate>
  <CharactersWithSpaces>11263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2021-11-01T07:54:02Z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2FA7562817C24DA3BD1AB1BD62A1C4E2</vt:lpwstr>
  </property>
</Properties>
</file>