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炼钢厂房延长配套道路</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11009LGDL</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炼钢厂房延长配套道路</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炼钢厂房延长配套道路</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周剑波       </w:t>
      </w:r>
      <w:r>
        <w:rPr>
          <w:rFonts w:hint="eastAsia" w:ascii="宋体" w:hAnsi="宋体" w:eastAsia="宋体" w:cs="宋体"/>
          <w:color w:val="2A2A2A"/>
          <w:kern w:val="0"/>
          <w:sz w:val="24"/>
          <w:szCs w:val="24"/>
        </w:rPr>
        <w:t>13155338076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bookmarkStart w:id="4" w:name="_GoBack"/>
      <w:bookmarkEnd w:id="4"/>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炼钢厂房延长配套道路</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炼钢厂房延长配套道路</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玖仟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13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val="en-US" w:eastAsia="zh-CN"/>
        </w:rPr>
        <w:t>包含</w:t>
      </w:r>
      <w:r>
        <w:rPr>
          <w:rFonts w:hint="eastAsia" w:ascii="宋体" w:hAnsi="宋体"/>
        </w:rPr>
        <w:t>道路约850m2，路牙约170m等</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 xml:space="preserve">开工日期： 2021年11月19日 （暂定）                                          </w:t>
      </w:r>
    </w:p>
    <w:p>
      <w:pPr>
        <w:spacing w:line="360" w:lineRule="exact"/>
        <w:rPr>
          <w:rFonts w:hint="eastAsia" w:ascii="宋体" w:hAnsi="宋体" w:cs="宋体"/>
          <w:kern w:val="36"/>
        </w:rPr>
      </w:pPr>
      <w:r>
        <w:rPr>
          <w:rFonts w:hint="eastAsia" w:ascii="宋体" w:hAnsi="宋体" w:cs="宋体"/>
          <w:kern w:val="36"/>
        </w:rPr>
        <w:t>竣工日期： 2022年</w:t>
      </w:r>
      <w:r>
        <w:rPr>
          <w:rFonts w:hint="eastAsia" w:ascii="宋体" w:hAnsi="宋体" w:cs="宋体"/>
          <w:kern w:val="36"/>
          <w:lang w:val="en-US" w:eastAsia="zh-CN"/>
        </w:rPr>
        <w:t>0</w:t>
      </w:r>
      <w:r>
        <w:rPr>
          <w:rFonts w:hint="eastAsia" w:ascii="宋体" w:hAnsi="宋体" w:cs="宋体"/>
          <w:kern w:val="36"/>
        </w:rPr>
        <w:t xml:space="preserve">2月16日                                              </w:t>
      </w:r>
    </w:p>
    <w:p>
      <w:pPr>
        <w:spacing w:line="360" w:lineRule="exact"/>
        <w:rPr>
          <w:rFonts w:hint="eastAsia" w:ascii="宋体" w:hAnsi="宋体" w:cs="宋体"/>
          <w:kern w:val="36"/>
        </w:rPr>
      </w:pPr>
      <w:r>
        <w:rPr>
          <w:rFonts w:hint="eastAsia" w:ascii="宋体" w:hAnsi="宋体" w:cs="宋体"/>
          <w:kern w:val="36"/>
        </w:rPr>
        <w:t>合同工期总日历天数   90   天</w:t>
      </w:r>
      <w:r>
        <w:rPr>
          <w:rFonts w:hint="eastAsia" w:ascii="宋体" w:hAnsi="宋体" w:cs="宋体"/>
          <w:kern w:val="36"/>
        </w:rPr>
        <w:t>。</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p>
    <w:p>
      <w:pPr>
        <w:pStyle w:val="18"/>
        <w:numPr>
          <w:ilvl w:val="0"/>
          <w:numId w:val="2"/>
        </w:numPr>
        <w:spacing w:beforeLines="50"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所有材料（除钢筋、铸管外）由承包人提供</w:t>
      </w:r>
      <w:r>
        <w:rPr>
          <w:rFonts w:hint="eastAsia" w:asciiTheme="minorHAnsi" w:hAnsiTheme="minorHAnsi" w:eastAsiaTheme="minorEastAsia" w:cstheme="minorBidi"/>
          <w:bCs/>
          <w:kern w:val="36"/>
          <w:sz w:val="21"/>
          <w:szCs w:val="21"/>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单价包干部分材料价差除混凝土外不予调整，混凝土价格以</w:t>
      </w:r>
      <w:r>
        <w:rPr>
          <w:rFonts w:hint="eastAsia" w:asciiTheme="minorHAnsi" w:hAnsiTheme="minorHAnsi" w:eastAsiaTheme="minorEastAsia" w:cstheme="minorBidi"/>
          <w:bCs/>
          <w:color w:val="FF0000"/>
          <w:kern w:val="36"/>
          <w:sz w:val="21"/>
          <w:szCs w:val="21"/>
          <w:lang w:val="en-US" w:eastAsia="zh-CN" w:bidi="ar-SA"/>
        </w:rPr>
        <w:t>2021年第9期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bCs/>
          <w:color w:val="FF0000"/>
          <w:kern w:val="36"/>
          <w:sz w:val="21"/>
          <w:szCs w:val="21"/>
          <w:lang w:val="en-US" w:eastAsia="zh-CN" w:bidi="ar-SA"/>
        </w:rPr>
        <w:t>超过±5%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混凝土价格，芜湖和合肥市场信息价查询不到的不予调整。</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w:t>
      </w:r>
      <w:r>
        <w:rPr>
          <w:rFonts w:hint="eastAsia" w:ascii="宋体" w:hAnsi="宋体" w:cs="宋体"/>
        </w:rPr>
        <w:t>因承包人原因，节点工期每延误1天，承包人向发包人支付违约金</w:t>
      </w:r>
      <w:r>
        <w:rPr>
          <w:rFonts w:hint="eastAsia" w:ascii="宋体" w:hAnsi="宋体" w:cs="宋体"/>
          <w:color w:val="FF0000"/>
        </w:rPr>
        <w:t>伍仟圆整</w:t>
      </w:r>
      <w:r>
        <w:rPr>
          <w:rFonts w:hint="eastAsia" w:ascii="宋体" w:hAnsi="宋体" w:cs="宋体"/>
        </w:rPr>
        <w:t>（¥：5000元整）。竣工工期每延误1天，承包人向发包人支付违约金</w:t>
      </w:r>
      <w:r>
        <w:rPr>
          <w:rFonts w:hint="eastAsia" w:ascii="宋体" w:hAnsi="宋体" w:cs="宋体"/>
          <w:color w:val="FF0000"/>
        </w:rPr>
        <w:t>壹万圆整</w:t>
      </w:r>
      <w:r>
        <w:rPr>
          <w:rFonts w:hint="eastAsia" w:ascii="宋体" w:hAnsi="宋体" w:cs="宋体"/>
        </w:rPr>
        <w:t>（¥：10000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2"/>
          <w:szCs w:val="32"/>
        </w:rPr>
      </w:pPr>
      <w:r>
        <w:rPr>
          <w:rFonts w:hint="eastAsia" w:ascii="宋体" w:hAnsi="宋体"/>
          <w:b/>
          <w:bCs/>
          <w:sz w:val="32"/>
          <w:szCs w:val="32"/>
        </w:rPr>
        <w:t>炼钢厂房延长配套道路工程报价单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1"/>
        <w:gridCol w:w="2467"/>
        <w:gridCol w:w="790"/>
        <w:gridCol w:w="1138"/>
        <w:gridCol w:w="1460"/>
        <w:gridCol w:w="1786"/>
        <w:gridCol w:w="6793"/>
      </w:tblGrid>
      <w:tr>
        <w:tblPrEx>
          <w:tblCellMar>
            <w:top w:w="0" w:type="dxa"/>
            <w:left w:w="108" w:type="dxa"/>
            <w:bottom w:w="0" w:type="dxa"/>
            <w:right w:w="108" w:type="dxa"/>
          </w:tblCellMar>
        </w:tblPrEx>
        <w:trPr>
          <w:trHeight w:val="556"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分项名称</w:t>
            </w:r>
          </w:p>
        </w:tc>
        <w:tc>
          <w:tcPr>
            <w:tcW w:w="25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拦标价</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报价</w:t>
            </w:r>
          </w:p>
        </w:tc>
        <w:tc>
          <w:tcPr>
            <w:tcW w:w="22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1"/>
                <w:szCs w:val="21"/>
              </w:rPr>
            </w:pPr>
            <w:r>
              <w:rPr>
                <w:rFonts w:hint="eastAsia" w:ascii="宋体" w:hAnsi="宋体" w:cs="宋体"/>
                <w:color w:val="000000"/>
                <w:kern w:val="0"/>
                <w:sz w:val="21"/>
                <w:szCs w:val="21"/>
              </w:rPr>
              <w:t>一、单价包干部分</w:t>
            </w:r>
          </w:p>
        </w:tc>
      </w:tr>
      <w:tr>
        <w:tblPrEx>
          <w:tblCellMar>
            <w:top w:w="0" w:type="dxa"/>
            <w:left w:w="108" w:type="dxa"/>
            <w:bottom w:w="0" w:type="dxa"/>
            <w:right w:w="108" w:type="dxa"/>
          </w:tblCellMar>
        </w:tblPrEx>
        <w:trPr>
          <w:trHeight w:val="149"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15"/>
                <w:szCs w:val="15"/>
              </w:rPr>
            </w:pPr>
            <w:r>
              <w:rPr>
                <w:rFonts w:hint="eastAsia"/>
                <w:color w:val="000000"/>
                <w:sz w:val="15"/>
                <w:szCs w:val="15"/>
              </w:rPr>
              <w:t>1</w:t>
            </w:r>
          </w:p>
        </w:tc>
        <w:tc>
          <w:tcPr>
            <w:tcW w:w="809" w:type="pct"/>
            <w:tcBorders>
              <w:top w:val="nil"/>
              <w:left w:val="nil"/>
              <w:bottom w:val="single" w:color="auto" w:sz="4" w:space="0"/>
              <w:right w:val="single" w:color="auto" w:sz="4" w:space="0"/>
            </w:tcBorders>
            <w:vAlign w:val="center"/>
          </w:tcPr>
          <w:p>
            <w:pPr>
              <w:widowControl/>
              <w:jc w:val="left"/>
              <w:rPr>
                <w:color w:val="000000"/>
                <w:kern w:val="0"/>
                <w:sz w:val="15"/>
                <w:szCs w:val="15"/>
              </w:rPr>
            </w:pPr>
            <w:r>
              <w:rPr>
                <w:rFonts w:hint="eastAsia"/>
                <w:color w:val="000000"/>
                <w:kern w:val="0"/>
                <w:sz w:val="15"/>
                <w:szCs w:val="15"/>
              </w:rPr>
              <w:t>机械开挖土方</w:t>
            </w:r>
          </w:p>
        </w:tc>
        <w:tc>
          <w:tcPr>
            <w:tcW w:w="259" w:type="pct"/>
            <w:tcBorders>
              <w:top w:val="nil"/>
              <w:left w:val="nil"/>
              <w:bottom w:val="single" w:color="auto" w:sz="4" w:space="0"/>
              <w:right w:val="single" w:color="auto" w:sz="4" w:space="0"/>
            </w:tcBorders>
            <w:vAlign w:val="center"/>
          </w:tcPr>
          <w:p>
            <w:pPr>
              <w:widowControl/>
              <w:jc w:val="center"/>
              <w:rPr>
                <w:kern w:val="0"/>
                <w:sz w:val="15"/>
                <w:szCs w:val="15"/>
                <w:vertAlign w:val="superscript"/>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widowControl/>
              <w:jc w:val="center"/>
              <w:rPr>
                <w:sz w:val="15"/>
                <w:szCs w:val="15"/>
              </w:rPr>
            </w:pPr>
            <w:r>
              <w:rPr>
                <w:rFonts w:hint="eastAsia"/>
                <w:sz w:val="15"/>
                <w:szCs w:val="15"/>
              </w:rPr>
              <w:t>1700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26元/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jc w:val="right"/>
              <w:rPr>
                <w:color w:val="00000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包括开挖、装车、外运（5km）等涉及的全部工序及人工费、机械费、材料费、措施费、不可竞争费、税金、水电费等全部费用。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136" w:hRule="atLeast"/>
        </w:trPr>
        <w:tc>
          <w:tcPr>
            <w:tcW w:w="266" w:type="pct"/>
            <w:tcBorders>
              <w:top w:val="nil"/>
              <w:left w:val="single" w:color="auto" w:sz="4" w:space="0"/>
              <w:bottom w:val="nil"/>
              <w:right w:val="single" w:color="auto" w:sz="4" w:space="0"/>
            </w:tcBorders>
            <w:noWrap/>
            <w:vAlign w:val="center"/>
          </w:tcPr>
          <w:p>
            <w:pPr>
              <w:jc w:val="center"/>
              <w:rPr>
                <w:color w:val="000000"/>
                <w:sz w:val="15"/>
                <w:szCs w:val="15"/>
              </w:rPr>
            </w:pPr>
            <w:r>
              <w:rPr>
                <w:rFonts w:hint="eastAsia"/>
                <w:color w:val="000000"/>
                <w:sz w:val="15"/>
                <w:szCs w:val="15"/>
              </w:rPr>
              <w:t>2</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土方回填</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90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30元/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345"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3</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片石基层</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750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275元/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4</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级配碎石垫石</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270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320元/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242"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5</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粗沙隔离层</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20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395元/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包括装车、回填、平整、夯实等涉及的全部工序及人工费、机械费、材料费、措施费、不可竞争费、税金、水电费等全部费用。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6</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砼道路浇筑</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260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800元/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包括卸车、运输、倒运、支模、对拉丝、浇筑、养生、伸缩费、刻痕等涉及的全部工序及人工费、机械费、材料费、措施费、不可竞争费、税金、水电费等全部费用。以包含路牙全部砼方量计算。</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7</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耕植土换填</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300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35元/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包括回填、平整、达到种植条件等涉及的全部工序及人工费、机械费、材料费、措施费、不可竞争费、税金、水电费等全部费用。</w:t>
            </w:r>
          </w:p>
        </w:tc>
      </w:tr>
      <w:tr>
        <w:tblPrEx>
          <w:tblCellMar>
            <w:top w:w="0" w:type="dxa"/>
            <w:left w:w="108" w:type="dxa"/>
            <w:bottom w:w="0" w:type="dxa"/>
            <w:right w:w="108" w:type="dxa"/>
          </w:tblCellMar>
        </w:tblPrEx>
        <w:trPr>
          <w:trHeight w:val="23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8</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新增检查井</w:t>
            </w:r>
          </w:p>
        </w:tc>
        <w:tc>
          <w:tcPr>
            <w:tcW w:w="259"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座</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2</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8300元/座</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元/座</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包括垫层、砖砌筑、砼浇筑等涉及的卸车、运输、倒运、支模、对拉丝、浇筑、养生全部工序及人工费、机械费、材料费、措施费、不可竞争费、税金、水电费等全部费用。不含钢格板材料费。</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9</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砖砌筑</w:t>
            </w:r>
          </w:p>
        </w:tc>
        <w:tc>
          <w:tcPr>
            <w:tcW w:w="259" w:type="pct"/>
            <w:tcBorders>
              <w:top w:val="nil"/>
              <w:left w:val="nil"/>
              <w:bottom w:val="single" w:color="auto" w:sz="4" w:space="0"/>
              <w:right w:val="single" w:color="auto" w:sz="4" w:space="0"/>
            </w:tcBorders>
            <w:vAlign w:val="center"/>
          </w:tcPr>
          <w:p>
            <w:pPr>
              <w:jc w:val="center"/>
              <w:rPr>
                <w:sz w:val="15"/>
                <w:szCs w:val="15"/>
              </w:rPr>
            </w:pPr>
            <w:r>
              <w:rPr>
                <w:kern w:val="0"/>
                <w:sz w:val="15"/>
                <w:szCs w:val="15"/>
              </w:rPr>
              <w:t>m</w:t>
            </w:r>
            <w:r>
              <w:rPr>
                <w:rFonts w:hint="eastAsia"/>
                <w:kern w:val="0"/>
                <w:sz w:val="15"/>
                <w:szCs w:val="15"/>
                <w:vertAlign w:val="superscript"/>
              </w:rPr>
              <w:t>3</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2.5</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705元/</w:t>
            </w:r>
            <w:r>
              <w:rPr>
                <w:kern w:val="0"/>
                <w:sz w:val="15"/>
                <w:szCs w:val="15"/>
              </w:rPr>
              <w:t xml:space="preserve"> m</w:t>
            </w:r>
            <w:r>
              <w:rPr>
                <w:rFonts w:hint="eastAsia"/>
                <w:kern w:val="0"/>
                <w:sz w:val="15"/>
                <w:szCs w:val="15"/>
                <w:vertAlign w:val="superscript"/>
              </w:rPr>
              <w:t>3</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w:t>
            </w:r>
            <w:r>
              <w:rPr>
                <w:kern w:val="0"/>
                <w:sz w:val="15"/>
                <w:szCs w:val="15"/>
              </w:rPr>
              <w:t xml:space="preserve"> m</w:t>
            </w:r>
            <w:r>
              <w:rPr>
                <w:rFonts w:hint="eastAsia"/>
                <w:kern w:val="0"/>
                <w:sz w:val="15"/>
                <w:szCs w:val="15"/>
                <w:vertAlign w:val="superscript"/>
              </w:rPr>
              <w:t>3</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包括卸车、运输、倒运、砌筑等涉及的全部工序及人工费、机械费、材料费、措施费、不可竞争费、税金、水电费等全部费用。</w:t>
            </w:r>
          </w:p>
        </w:tc>
      </w:tr>
      <w:tr>
        <w:tblPrEx>
          <w:tblCellMar>
            <w:top w:w="0" w:type="dxa"/>
            <w:left w:w="108" w:type="dxa"/>
            <w:bottom w:w="0" w:type="dxa"/>
            <w:right w:w="108" w:type="dxa"/>
          </w:tblCellMar>
        </w:tblPrEx>
        <w:trPr>
          <w:trHeight w:val="92"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10</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钢筋制安</w:t>
            </w:r>
          </w:p>
        </w:tc>
        <w:tc>
          <w:tcPr>
            <w:tcW w:w="259" w:type="pct"/>
            <w:tcBorders>
              <w:top w:val="nil"/>
              <w:left w:val="nil"/>
              <w:bottom w:val="single" w:color="auto" w:sz="4" w:space="0"/>
              <w:right w:val="single" w:color="auto" w:sz="4" w:space="0"/>
            </w:tcBorders>
            <w:vAlign w:val="center"/>
          </w:tcPr>
          <w:p>
            <w:pPr>
              <w:jc w:val="center"/>
              <w:rPr>
                <w:sz w:val="15"/>
                <w:szCs w:val="15"/>
              </w:rPr>
            </w:pPr>
            <w:r>
              <w:rPr>
                <w:sz w:val="15"/>
                <w:szCs w:val="15"/>
              </w:rPr>
              <w:t>t</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30</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1170元/t</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元/t</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包括卸车、运输、厂内倒运、制作、安装等涉及的全部工序及人工费、机械费、材料费、措施费、不可竞争费、税金、水电费等全部费用。不含钢筋材料费。</w:t>
            </w:r>
          </w:p>
        </w:tc>
      </w:tr>
      <w:tr>
        <w:tblPrEx>
          <w:tblCellMar>
            <w:top w:w="0" w:type="dxa"/>
            <w:left w:w="108" w:type="dxa"/>
            <w:bottom w:w="0" w:type="dxa"/>
            <w:right w:w="108" w:type="dxa"/>
          </w:tblCellMar>
        </w:tblPrEx>
        <w:trPr>
          <w:trHeight w:val="368"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11</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预埋管道</w:t>
            </w:r>
          </w:p>
        </w:tc>
        <w:tc>
          <w:tcPr>
            <w:tcW w:w="259" w:type="pct"/>
            <w:tcBorders>
              <w:top w:val="nil"/>
              <w:left w:val="nil"/>
              <w:bottom w:val="single" w:color="auto" w:sz="4" w:space="0"/>
              <w:right w:val="single" w:color="auto" w:sz="4" w:space="0"/>
            </w:tcBorders>
            <w:vAlign w:val="center"/>
          </w:tcPr>
          <w:p>
            <w:pPr>
              <w:jc w:val="center"/>
              <w:rPr>
                <w:sz w:val="15"/>
                <w:szCs w:val="15"/>
              </w:rPr>
            </w:pPr>
            <w:r>
              <w:rPr>
                <w:sz w:val="15"/>
                <w:szCs w:val="15"/>
              </w:rPr>
              <w:t>m</w:t>
            </w:r>
          </w:p>
        </w:tc>
        <w:tc>
          <w:tcPr>
            <w:tcW w:w="373" w:type="pct"/>
            <w:tcBorders>
              <w:top w:val="nil"/>
              <w:left w:val="nil"/>
              <w:bottom w:val="single" w:color="auto" w:sz="4" w:space="0"/>
              <w:right w:val="single" w:color="auto" w:sz="4" w:space="0"/>
            </w:tcBorders>
            <w:vAlign w:val="center"/>
          </w:tcPr>
          <w:p>
            <w:pPr>
              <w:jc w:val="center"/>
              <w:rPr>
                <w:sz w:val="15"/>
                <w:szCs w:val="15"/>
              </w:rPr>
            </w:pPr>
            <w:r>
              <w:rPr>
                <w:rFonts w:hint="eastAsia"/>
                <w:sz w:val="15"/>
                <w:szCs w:val="15"/>
              </w:rPr>
              <w:t>47</w:t>
            </w: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138元/m</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元/m</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包括卸车、运输、厂内倒运、管道管件安装、沟槽挖填等涉及的全部工序及人工费、机械费、材料费、措施费、不可竞争费、税金、水电费等全部费用。按管道延长米计算。不含管道及管件材料费。</w:t>
            </w:r>
          </w:p>
        </w:tc>
      </w:tr>
      <w:tr>
        <w:tblPrEx>
          <w:tblCellMar>
            <w:top w:w="0" w:type="dxa"/>
            <w:left w:w="108" w:type="dxa"/>
            <w:bottom w:w="0" w:type="dxa"/>
            <w:right w:w="108" w:type="dxa"/>
          </w:tblCellMar>
        </w:tblPrEx>
        <w:trPr>
          <w:trHeight w:val="380" w:hRule="atLeast"/>
        </w:trPr>
        <w:tc>
          <w:tcPr>
            <w:tcW w:w="266" w:type="pct"/>
            <w:tcBorders>
              <w:top w:val="single" w:color="auto" w:sz="4" w:space="0"/>
              <w:left w:val="single" w:color="auto" w:sz="4" w:space="0"/>
              <w:bottom w:val="single" w:color="000000" w:sz="4" w:space="0"/>
              <w:right w:val="single" w:color="auto" w:sz="4" w:space="0"/>
            </w:tcBorders>
            <w:noWrap/>
            <w:vAlign w:val="center"/>
          </w:tcPr>
          <w:p>
            <w:pPr>
              <w:jc w:val="center"/>
              <w:rPr>
                <w:color w:val="000000"/>
                <w:sz w:val="15"/>
                <w:szCs w:val="15"/>
              </w:rPr>
            </w:pPr>
            <w:r>
              <w:rPr>
                <w:rFonts w:hint="eastAsia"/>
                <w:color w:val="000000"/>
                <w:sz w:val="15"/>
                <w:szCs w:val="15"/>
              </w:rPr>
              <w:t>12</w:t>
            </w:r>
          </w:p>
        </w:tc>
        <w:tc>
          <w:tcPr>
            <w:tcW w:w="809" w:type="pct"/>
            <w:tcBorders>
              <w:top w:val="nil"/>
              <w:left w:val="nil"/>
              <w:bottom w:val="single" w:color="auto" w:sz="4" w:space="0"/>
              <w:right w:val="single" w:color="auto" w:sz="4" w:space="0"/>
            </w:tcBorders>
            <w:vAlign w:val="center"/>
          </w:tcPr>
          <w:p>
            <w:pPr>
              <w:rPr>
                <w:color w:val="000000"/>
                <w:sz w:val="15"/>
                <w:szCs w:val="15"/>
              </w:rPr>
            </w:pPr>
            <w:r>
              <w:rPr>
                <w:rFonts w:hint="eastAsia"/>
                <w:color w:val="000000"/>
                <w:sz w:val="15"/>
                <w:szCs w:val="15"/>
              </w:rPr>
              <w:t>钢结构制安</w:t>
            </w:r>
          </w:p>
        </w:tc>
        <w:tc>
          <w:tcPr>
            <w:tcW w:w="259" w:type="pct"/>
            <w:tcBorders>
              <w:top w:val="nil"/>
              <w:left w:val="nil"/>
              <w:bottom w:val="single" w:color="auto" w:sz="4" w:space="0"/>
              <w:right w:val="single" w:color="auto" w:sz="4" w:space="0"/>
            </w:tcBorders>
            <w:vAlign w:val="center"/>
          </w:tcPr>
          <w:p>
            <w:pPr>
              <w:jc w:val="center"/>
              <w:rPr>
                <w:rFonts w:ascii="宋体" w:hAnsi="宋体"/>
                <w:sz w:val="15"/>
                <w:szCs w:val="15"/>
              </w:rPr>
            </w:pPr>
            <w:r>
              <w:rPr>
                <w:sz w:val="15"/>
                <w:szCs w:val="15"/>
              </w:rPr>
              <w:t>t</w:t>
            </w:r>
          </w:p>
        </w:tc>
        <w:tc>
          <w:tcPr>
            <w:tcW w:w="373" w:type="pct"/>
            <w:tcBorders>
              <w:top w:val="nil"/>
              <w:left w:val="nil"/>
              <w:bottom w:val="single" w:color="auto" w:sz="4" w:space="0"/>
              <w:right w:val="single" w:color="auto" w:sz="4" w:space="0"/>
            </w:tcBorders>
            <w:vAlign w:val="bottom"/>
          </w:tcPr>
          <w:p>
            <w:pPr>
              <w:jc w:val="center"/>
              <w:rPr>
                <w:rFonts w:hint="eastAsia"/>
                <w:sz w:val="15"/>
                <w:szCs w:val="15"/>
              </w:rPr>
            </w:pPr>
            <w:r>
              <w:rPr>
                <w:rFonts w:hint="eastAsia"/>
                <w:sz w:val="15"/>
                <w:szCs w:val="15"/>
              </w:rPr>
              <w:t>0.3</w:t>
            </w:r>
          </w:p>
          <w:p>
            <w:pPr>
              <w:jc w:val="center"/>
              <w:rPr>
                <w:sz w:val="15"/>
                <w:szCs w:val="15"/>
              </w:rPr>
            </w:pPr>
          </w:p>
        </w:tc>
        <w:tc>
          <w:tcPr>
            <w:tcW w:w="479" w:type="pct"/>
            <w:tcBorders>
              <w:top w:val="single" w:color="auto" w:sz="4" w:space="0"/>
              <w:left w:val="nil"/>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9300元/t</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15"/>
                <w:szCs w:val="15"/>
              </w:rPr>
            </w:pPr>
            <w:r>
              <w:rPr>
                <w:rFonts w:hint="eastAsia"/>
                <w:kern w:val="0"/>
                <w:sz w:val="15"/>
                <w:szCs w:val="15"/>
              </w:rPr>
              <w:t>元/t</w:t>
            </w:r>
          </w:p>
        </w:tc>
        <w:tc>
          <w:tcPr>
            <w:tcW w:w="2228" w:type="pct"/>
            <w:tcBorders>
              <w:top w:val="single" w:color="auto" w:sz="4" w:space="0"/>
              <w:left w:val="nil"/>
              <w:bottom w:val="single" w:color="auto" w:sz="4" w:space="0"/>
              <w:right w:val="single" w:color="auto" w:sz="4" w:space="0"/>
            </w:tcBorders>
          </w:tcPr>
          <w:p>
            <w:pPr>
              <w:rPr>
                <w:sz w:val="15"/>
                <w:szCs w:val="15"/>
              </w:rPr>
            </w:pPr>
            <w:r>
              <w:rPr>
                <w:rFonts w:hint="eastAsia"/>
                <w:sz w:val="15"/>
                <w:szCs w:val="15"/>
              </w:rPr>
              <w:t>包括平台、梯子、栏杆、预埋件、螺栓、盖板等所有钢构制安。包括卸车、运输、厂内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161"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1"/>
                <w:szCs w:val="21"/>
              </w:rPr>
            </w:pPr>
            <w:r>
              <w:rPr>
                <w:rFonts w:hint="eastAsia"/>
                <w:color w:val="000000"/>
                <w:sz w:val="21"/>
                <w:szCs w:val="21"/>
              </w:rPr>
              <w:t>二、除单价包干外工作量</w:t>
            </w:r>
          </w:p>
        </w:tc>
      </w:tr>
      <w:tr>
        <w:tblPrEx>
          <w:tblCellMar>
            <w:top w:w="0" w:type="dxa"/>
            <w:left w:w="108" w:type="dxa"/>
            <w:bottom w:w="0" w:type="dxa"/>
            <w:right w:w="108" w:type="dxa"/>
          </w:tblCellMar>
        </w:tblPrEx>
        <w:trPr>
          <w:trHeight w:val="163" w:hRule="atLeast"/>
        </w:trPr>
        <w:tc>
          <w:tcPr>
            <w:tcW w:w="266"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5"/>
                <w:szCs w:val="15"/>
              </w:rPr>
            </w:pPr>
            <w:r>
              <w:rPr>
                <w:color w:val="000000"/>
                <w:sz w:val="15"/>
                <w:szCs w:val="15"/>
              </w:rPr>
              <w:t>4</w:t>
            </w:r>
          </w:p>
        </w:tc>
        <w:tc>
          <w:tcPr>
            <w:tcW w:w="809" w:type="pct"/>
            <w:tcBorders>
              <w:top w:val="nil"/>
              <w:left w:val="nil"/>
              <w:bottom w:val="single" w:color="auto" w:sz="4" w:space="0"/>
              <w:right w:val="single" w:color="auto" w:sz="4" w:space="0"/>
            </w:tcBorders>
            <w:vAlign w:val="center"/>
          </w:tcPr>
          <w:p>
            <w:pPr>
              <w:jc w:val="left"/>
              <w:rPr>
                <w:color w:val="000000"/>
                <w:sz w:val="15"/>
                <w:szCs w:val="15"/>
                <w:u w:val="single"/>
              </w:rPr>
            </w:pPr>
            <w:r>
              <w:rPr>
                <w:rFonts w:hint="eastAsia"/>
                <w:sz w:val="15"/>
                <w:szCs w:val="15"/>
              </w:rPr>
              <w:t>优惠率（不包含材料费）</w:t>
            </w:r>
          </w:p>
        </w:tc>
        <w:tc>
          <w:tcPr>
            <w:tcW w:w="632" w:type="pct"/>
            <w:gridSpan w:val="2"/>
            <w:tcBorders>
              <w:top w:val="nil"/>
              <w:left w:val="nil"/>
              <w:bottom w:val="single" w:color="auto" w:sz="4" w:space="0"/>
              <w:right w:val="single" w:color="auto" w:sz="4" w:space="0"/>
            </w:tcBorders>
            <w:vAlign w:val="center"/>
          </w:tcPr>
          <w:p>
            <w:pPr>
              <w:ind w:left="241" w:hanging="151" w:hangingChars="100"/>
              <w:jc w:val="left"/>
              <w:rPr>
                <w:color w:val="000000"/>
                <w:sz w:val="15"/>
                <w:szCs w:val="15"/>
              </w:rPr>
            </w:pPr>
            <w:r>
              <w:rPr>
                <w:rFonts w:hint="eastAsia"/>
                <w:b/>
                <w:bCs/>
                <w:sz w:val="15"/>
                <w:szCs w:val="15"/>
              </w:rPr>
              <w:t>暂估</w:t>
            </w:r>
            <w:r>
              <w:rPr>
                <w:rFonts w:hint="eastAsia"/>
                <w:sz w:val="15"/>
                <w:szCs w:val="15"/>
              </w:rPr>
              <w:t>金额50000元</w:t>
            </w:r>
          </w:p>
        </w:tc>
        <w:tc>
          <w:tcPr>
            <w:tcW w:w="479" w:type="pct"/>
            <w:tcBorders>
              <w:top w:val="nil"/>
              <w:left w:val="nil"/>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1%</w:t>
            </w:r>
          </w:p>
        </w:tc>
        <w:tc>
          <w:tcPr>
            <w:tcW w:w="58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r>
              <w:rPr>
                <w:rFonts w:hint="eastAsia"/>
                <w:kern w:val="0"/>
                <w:sz w:val="15"/>
                <w:szCs w:val="15"/>
              </w:rPr>
              <w:t>优惠</w:t>
            </w:r>
            <w:r>
              <w:rPr>
                <w:rFonts w:hint="eastAsia"/>
                <w:kern w:val="0"/>
                <w:sz w:val="15"/>
                <w:szCs w:val="15"/>
                <w:u w:val="single"/>
              </w:rPr>
              <w:t xml:space="preserve">      </w:t>
            </w:r>
            <w:r>
              <w:rPr>
                <w:rFonts w:hint="eastAsia"/>
                <w:kern w:val="0"/>
                <w:sz w:val="15"/>
                <w:szCs w:val="15"/>
              </w:rPr>
              <w:t>%</w:t>
            </w:r>
          </w:p>
        </w:tc>
        <w:tc>
          <w:tcPr>
            <w:tcW w:w="2228" w:type="pct"/>
            <w:tcBorders>
              <w:top w:val="single" w:color="auto" w:sz="4" w:space="0"/>
              <w:left w:val="nil"/>
              <w:bottom w:val="single" w:color="auto" w:sz="4" w:space="0"/>
              <w:right w:val="single" w:color="auto" w:sz="4" w:space="0"/>
            </w:tcBorders>
            <w:vAlign w:val="center"/>
          </w:tcPr>
          <w:p>
            <w:pPr>
              <w:rPr>
                <w:sz w:val="15"/>
                <w:szCs w:val="15"/>
              </w:rPr>
            </w:pPr>
            <w:r>
              <w:rPr>
                <w:rFonts w:hint="eastAsia"/>
                <w:sz w:val="15"/>
                <w:szCs w:val="15"/>
              </w:rPr>
              <w:t>执行2018版安徽省建设工程计价定额及配套费用定额，材料费不参与总价优惠。措施项目费以现场确认形式据实计取，二次搬运费不计取。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jc w:val="both"/>
        <w:rPr>
          <w:rFonts w:hint="eastAsia" w:ascii="宋体" w:hAnsi="宋体" w:cs="宋体"/>
          <w:b/>
          <w:sz w:val="24"/>
          <w:szCs w:val="24"/>
        </w:rPr>
      </w:pPr>
    </w:p>
    <w:p>
      <w:pPr>
        <w:pStyle w:val="2"/>
        <w:widowControl w:val="0"/>
        <w:numPr>
          <w:ilvl w:val="0"/>
          <w:numId w:val="0"/>
        </w:numPr>
        <w:spacing w:after="120"/>
        <w:ind w:firstLine="723" w:firstLineChars="300"/>
        <w:jc w:val="both"/>
        <w:rPr>
          <w:rFonts w:hint="eastAsia"/>
        </w:rPr>
      </w:pPr>
      <w:r>
        <w:rPr>
          <w:rFonts w:hint="eastAsia" w:ascii="宋体" w:hAnsi="宋体" w:cs="宋体"/>
          <w:b/>
          <w:sz w:val="24"/>
          <w:szCs w:val="24"/>
        </w:rPr>
        <w:t>注：本报价单需加盖投标单位公章和</w:t>
      </w:r>
      <w:r>
        <w:rPr>
          <w:rFonts w:hint="eastAsia"/>
          <w:b/>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paperSrc/>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paperSrc/>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532887698"/>
      <w:bookmarkStart w:id="3" w:name="_Toc15231775"/>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DC136C9"/>
    <w:rsid w:val="214D2E1E"/>
    <w:rsid w:val="21F73AF2"/>
    <w:rsid w:val="22574413"/>
    <w:rsid w:val="23883F50"/>
    <w:rsid w:val="24C93CD8"/>
    <w:rsid w:val="24E835CF"/>
    <w:rsid w:val="282A37D0"/>
    <w:rsid w:val="2B7C00FD"/>
    <w:rsid w:val="326329B3"/>
    <w:rsid w:val="34481C4C"/>
    <w:rsid w:val="414F268B"/>
    <w:rsid w:val="466D1141"/>
    <w:rsid w:val="47614EF9"/>
    <w:rsid w:val="492349FE"/>
    <w:rsid w:val="52631A2B"/>
    <w:rsid w:val="529A772A"/>
    <w:rsid w:val="567534EE"/>
    <w:rsid w:val="59A06F0E"/>
    <w:rsid w:val="5D882CE0"/>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2021-11-05T03:10:10Z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