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32"/>
          <w:lang w:val="en-US" w:eastAsia="zh-CN"/>
        </w:rPr>
      </w:pPr>
      <w:bookmarkStart w:id="4" w:name="_GoBack"/>
      <w:r>
        <w:rPr>
          <w:rFonts w:hint="eastAsia"/>
          <w:sz w:val="32"/>
          <w:szCs w:val="32"/>
        </w:rPr>
        <w:t>公司1号门外铺设沥青道路工程</w:t>
      </w:r>
      <w:bookmarkEnd w:id="4"/>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11010YHMWLQDL</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公司1号门外铺设沥青道路工程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rPr>
        <w:t>市政公用工程专业承包二级及以上资质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市政</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13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1号门外铺设沥青道路工程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周剑波        </w:t>
      </w:r>
      <w:r>
        <w:rPr>
          <w:rFonts w:hint="eastAsia" w:ascii="宋体" w:hAnsi="宋体" w:eastAsia="宋体" w:cs="宋体"/>
          <w:color w:val="2A2A2A"/>
          <w:kern w:val="0"/>
          <w:sz w:val="24"/>
          <w:szCs w:val="24"/>
        </w:rPr>
        <w:t>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1号门外铺设沥青道路工程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1号门外铺设沥青道路工程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23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numId w:val="0"/>
        </w:numPr>
        <w:spacing w:line="360" w:lineRule="auto"/>
        <w:ind w:leftChars="0"/>
        <w:rPr>
          <w:rFonts w:hint="eastAsia" w:ascii="宋体" w:hAnsi="宋体"/>
        </w:rPr>
      </w:pPr>
      <w:r>
        <w:rPr>
          <w:rFonts w:hint="eastAsia" w:ascii="宋体" w:hAnsi="宋体"/>
          <w:lang w:val="en-US" w:eastAsia="zh-CN"/>
        </w:rPr>
        <w:t xml:space="preserve">2.  </w:t>
      </w:r>
      <w:r>
        <w:rPr>
          <w:rFonts w:hint="eastAsia" w:ascii="宋体" w:hAnsi="宋体"/>
        </w:rPr>
        <w:t>工程概况和估算工作量：公司1号门外（春洲路）至红绿灯（团洲路）交叉口。</w:t>
      </w:r>
    </w:p>
    <w:p>
      <w:pPr>
        <w:numPr>
          <w:numId w:val="0"/>
        </w:numPr>
        <w:spacing w:line="360" w:lineRule="auto"/>
        <w:ind w:leftChars="0"/>
        <w:rPr>
          <w:rFonts w:hint="eastAsia" w:ascii="宋体" w:hAnsi="宋体"/>
          <w:lang w:val="en-US" w:eastAsia="zh-CN"/>
        </w:rPr>
      </w:pPr>
      <w:r>
        <w:rPr>
          <w:rFonts w:hint="eastAsia" w:ascii="宋体" w:hAnsi="宋体"/>
        </w:rPr>
        <w:t>工作内容:道路原破损砼路面修复、铣刨、铺设沥青、道路划线、部分道牙改造、部分雨水口改造等</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 2021年1</w:t>
      </w:r>
      <w:r>
        <w:rPr>
          <w:rFonts w:hint="eastAsia" w:ascii="宋体" w:hAnsi="宋体" w:cs="宋体"/>
          <w:kern w:val="36"/>
          <w:lang w:val="en-US" w:eastAsia="zh-CN"/>
        </w:rPr>
        <w:t>2</w:t>
      </w:r>
      <w:r>
        <w:rPr>
          <w:rFonts w:hint="eastAsia" w:ascii="宋体" w:hAnsi="宋体" w:cs="宋体"/>
          <w:kern w:val="36"/>
        </w:rPr>
        <w:t>月</w:t>
      </w:r>
      <w:r>
        <w:rPr>
          <w:rFonts w:hint="eastAsia" w:ascii="宋体" w:hAnsi="宋体" w:cs="宋体"/>
          <w:kern w:val="36"/>
          <w:lang w:val="en-US" w:eastAsia="zh-CN"/>
        </w:rPr>
        <w:t>05</w:t>
      </w:r>
      <w:r>
        <w:rPr>
          <w:rFonts w:hint="eastAsia" w:ascii="宋体" w:hAnsi="宋体" w:cs="宋体"/>
          <w:kern w:val="36"/>
        </w:rPr>
        <w:t xml:space="preserve">日 （暂定）                                          </w:t>
      </w:r>
    </w:p>
    <w:p>
      <w:pPr>
        <w:spacing w:line="360" w:lineRule="exact"/>
        <w:rPr>
          <w:rFonts w:hint="eastAsia" w:ascii="宋体" w:hAnsi="宋体" w:cs="宋体"/>
          <w:kern w:val="36"/>
        </w:rPr>
      </w:pPr>
      <w:r>
        <w:rPr>
          <w:rFonts w:hint="eastAsia" w:ascii="宋体" w:hAnsi="宋体" w:cs="宋体"/>
          <w:kern w:val="36"/>
        </w:rPr>
        <w:t>竣工日期： 2022年</w:t>
      </w:r>
      <w:r>
        <w:rPr>
          <w:rFonts w:hint="eastAsia" w:ascii="宋体" w:hAnsi="宋体" w:cs="宋体"/>
          <w:kern w:val="36"/>
          <w:lang w:val="en-US" w:eastAsia="zh-CN"/>
        </w:rPr>
        <w:t>12</w:t>
      </w:r>
      <w:r>
        <w:rPr>
          <w:rFonts w:hint="eastAsia" w:ascii="宋体" w:hAnsi="宋体" w:cs="宋体"/>
          <w:kern w:val="36"/>
        </w:rPr>
        <w:t>月</w:t>
      </w:r>
      <w:r>
        <w:rPr>
          <w:rFonts w:hint="eastAsia" w:ascii="宋体" w:hAnsi="宋体" w:cs="宋体"/>
          <w:kern w:val="36"/>
          <w:lang w:val="en-US" w:eastAsia="zh-CN"/>
        </w:rPr>
        <w:t>31</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27</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p>
    <w:p>
      <w:pPr>
        <w:pStyle w:val="18"/>
        <w:numPr>
          <w:ilvl w:val="0"/>
          <w:numId w:val="2"/>
        </w:numPr>
        <w:spacing w:beforeLines="50"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 xml:space="preserve">该工程所有材料由承包人提供。 </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材料价差除钢材外不予调整，钢材价格以2021年第9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rPr>
        <w:t>因承包人原因，节点工期每延误1天，承包人向发包人支付违约金</w:t>
      </w:r>
      <w:r>
        <w:rPr>
          <w:rFonts w:hint="eastAsia" w:ascii="宋体" w:hAnsi="宋体" w:cs="宋体"/>
          <w:color w:val="FF0000"/>
        </w:rPr>
        <w:t>伍仟圆整</w:t>
      </w:r>
      <w:r>
        <w:rPr>
          <w:rFonts w:hint="eastAsia" w:ascii="宋体" w:hAnsi="宋体" w:cs="宋体"/>
        </w:rPr>
        <w:t>（¥：5000元整）。竣工工期每延误1天，承包人向发包人支付违约金</w:t>
      </w:r>
      <w:r>
        <w:rPr>
          <w:rFonts w:hint="eastAsia" w:ascii="宋体" w:hAnsi="宋体" w:cs="宋体"/>
          <w:color w:val="FF0000"/>
        </w:rPr>
        <w:t>壹万圆整</w:t>
      </w:r>
      <w:r>
        <w:rPr>
          <w:rFonts w:hint="eastAsia" w:ascii="宋体" w:hAnsi="宋体" w:cs="宋体"/>
        </w:rPr>
        <w:t>（¥：10000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2"/>
          <w:szCs w:val="32"/>
        </w:rPr>
      </w:pPr>
      <w:r>
        <w:rPr>
          <w:rFonts w:hint="eastAsia" w:ascii="宋体" w:hAnsi="宋体"/>
          <w:b/>
          <w:bCs/>
          <w:sz w:val="32"/>
          <w:szCs w:val="32"/>
        </w:rPr>
        <w:t>公司1号门外铺设沥青道路工程报价单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07"/>
        <w:gridCol w:w="2466"/>
        <w:gridCol w:w="790"/>
        <w:gridCol w:w="1138"/>
        <w:gridCol w:w="1445"/>
        <w:gridCol w:w="1799"/>
        <w:gridCol w:w="6800"/>
      </w:tblGrid>
      <w:tr>
        <w:tblPrEx>
          <w:tblCellMar>
            <w:top w:w="0" w:type="dxa"/>
            <w:left w:w="108" w:type="dxa"/>
            <w:bottom w:w="0" w:type="dxa"/>
            <w:right w:w="108" w:type="dxa"/>
          </w:tblCellMar>
        </w:tblPrEx>
        <w:trPr>
          <w:trHeight w:val="750" w:hRule="atLeast"/>
        </w:trPr>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3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644"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9" w:hRule="atLeast"/>
        </w:trPr>
        <w:tc>
          <w:tcPr>
            <w:tcW w:w="26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sz w:val="18"/>
                <w:szCs w:val="18"/>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b/>
                <w:color w:val="000000"/>
                <w:kern w:val="0"/>
                <w:sz w:val="18"/>
                <w:szCs w:val="18"/>
              </w:rPr>
              <w:t>铺设沥青（厚度12cm）</w:t>
            </w:r>
          </w:p>
        </w:tc>
        <w:tc>
          <w:tcPr>
            <w:tcW w:w="259" w:type="pct"/>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b/>
                <w:color w:val="000000"/>
                <w:sz w:val="18"/>
                <w:szCs w:val="18"/>
              </w:rPr>
              <w:t>m</w:t>
            </w:r>
            <w:r>
              <w:rPr>
                <w:rFonts w:ascii="宋体" w:hAnsi="宋体"/>
                <w:b/>
                <w:color w:val="000000"/>
                <w:sz w:val="18"/>
                <w:szCs w:val="18"/>
                <w:vertAlign w:val="superscript"/>
              </w:rPr>
              <w:t>2</w:t>
            </w:r>
          </w:p>
        </w:tc>
        <w:tc>
          <w:tcPr>
            <w:tcW w:w="373" w:type="pct"/>
            <w:tcBorders>
              <w:top w:val="nil"/>
              <w:left w:val="nil"/>
              <w:bottom w:val="single" w:color="auto" w:sz="4" w:space="0"/>
              <w:right w:val="single" w:color="auto" w:sz="4" w:space="0"/>
            </w:tcBorders>
            <w:vAlign w:val="center"/>
          </w:tcPr>
          <w:p>
            <w:pPr>
              <w:widowControl/>
              <w:jc w:val="center"/>
              <w:rPr>
                <w:rFonts w:ascii="宋体" w:hAnsi="宋体"/>
                <w:b/>
                <w:sz w:val="18"/>
                <w:szCs w:val="18"/>
              </w:rPr>
            </w:pPr>
            <w:r>
              <w:rPr>
                <w:rFonts w:hint="eastAsia" w:ascii="宋体" w:hAnsi="宋体"/>
                <w:b/>
                <w:sz w:val="18"/>
                <w:szCs w:val="18"/>
              </w:rPr>
              <w:t>约2.2万</w:t>
            </w:r>
          </w:p>
        </w:tc>
        <w:tc>
          <w:tcPr>
            <w:tcW w:w="474" w:type="pct"/>
            <w:tcBorders>
              <w:top w:val="single" w:color="auto" w:sz="4" w:space="0"/>
              <w:left w:val="nil"/>
              <w:bottom w:val="single" w:color="auto" w:sz="4" w:space="0"/>
              <w:right w:val="single" w:color="auto" w:sz="4" w:space="0"/>
            </w:tcBorders>
            <w:vAlign w:val="center"/>
          </w:tcPr>
          <w:p>
            <w:pPr>
              <w:widowControl/>
              <w:ind w:right="360"/>
              <w:jc w:val="center"/>
              <w:rPr>
                <w:rFonts w:ascii="宋体" w:hAnsi="宋体"/>
                <w:kern w:val="0"/>
                <w:sz w:val="18"/>
                <w:szCs w:val="18"/>
              </w:rPr>
            </w:pPr>
            <w:r>
              <w:rPr>
                <w:rFonts w:hint="eastAsia" w:ascii="宋体" w:hAnsi="宋体"/>
                <w:b/>
                <w:color w:val="000000"/>
                <w:sz w:val="18"/>
                <w:szCs w:val="18"/>
              </w:rPr>
              <w:t>13.8</w:t>
            </w:r>
            <w:r>
              <w:rPr>
                <w:rFonts w:ascii="宋体" w:hAnsi="宋体"/>
                <w:b/>
                <w:color w:val="000000"/>
                <w:sz w:val="18"/>
                <w:szCs w:val="18"/>
              </w:rPr>
              <w:t>元/ m</w:t>
            </w:r>
            <w:r>
              <w:rPr>
                <w:rFonts w:ascii="宋体" w:hAnsi="宋体"/>
                <w:b/>
                <w:color w:val="000000"/>
                <w:sz w:val="18"/>
                <w:szCs w:val="18"/>
                <w:vertAlign w:val="superscript"/>
              </w:rPr>
              <w:t>2</w:t>
            </w:r>
            <w:r>
              <w:rPr>
                <w:rFonts w:ascii="宋体" w:hAnsi="宋体"/>
                <w:b/>
                <w:color w:val="000000"/>
                <w:sz w:val="18"/>
                <w:szCs w:val="18"/>
              </w:rPr>
              <w:t>·cm</w:t>
            </w:r>
          </w:p>
        </w:tc>
        <w:tc>
          <w:tcPr>
            <w:tcW w:w="590"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b/>
                <w:color w:val="000000"/>
                <w:sz w:val="18"/>
                <w:szCs w:val="18"/>
              </w:rPr>
              <w:t xml:space="preserve"> </w:t>
            </w:r>
            <w:r>
              <w:rPr>
                <w:rFonts w:ascii="宋体" w:hAnsi="宋体"/>
                <w:b/>
                <w:color w:val="000000"/>
                <w:sz w:val="18"/>
                <w:szCs w:val="18"/>
              </w:rPr>
              <w:t>元/ m</w:t>
            </w:r>
            <w:r>
              <w:rPr>
                <w:rFonts w:ascii="宋体" w:hAnsi="宋体"/>
                <w:b/>
                <w:color w:val="000000"/>
                <w:sz w:val="18"/>
                <w:szCs w:val="18"/>
                <w:vertAlign w:val="superscript"/>
              </w:rPr>
              <w:t>2</w:t>
            </w:r>
            <w:r>
              <w:rPr>
                <w:rFonts w:ascii="宋体" w:hAnsi="宋体"/>
                <w:b/>
                <w:color w:val="000000"/>
                <w:sz w:val="18"/>
                <w:szCs w:val="18"/>
              </w:rPr>
              <w:t>·cm</w:t>
            </w:r>
          </w:p>
        </w:tc>
        <w:tc>
          <w:tcPr>
            <w:tcW w:w="2230"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原砼路面铣刨（厚10cm）、拉毛、基层处理、沥青混凝土面层铺设、伸缩缝等图纸内相应做法全部工作内容涉及的人工费、机械费、主辅材料费、措施费、税金、管理费、利润、不可竞争费等全部费用。因施工需要，经发包人确认，修补铺设沥青工作量亦执行此单价。</w:t>
            </w:r>
          </w:p>
        </w:tc>
      </w:tr>
      <w:tr>
        <w:tblPrEx>
          <w:tblCellMar>
            <w:top w:w="0" w:type="dxa"/>
            <w:left w:w="108" w:type="dxa"/>
            <w:bottom w:w="0" w:type="dxa"/>
            <w:right w:w="108" w:type="dxa"/>
          </w:tblCellMar>
        </w:tblPrEx>
        <w:trPr>
          <w:trHeight w:val="680" w:hRule="atLeast"/>
        </w:trPr>
        <w:tc>
          <w:tcPr>
            <w:tcW w:w="265" w:type="pct"/>
            <w:tcBorders>
              <w:top w:val="nil"/>
              <w:left w:val="single" w:color="auto" w:sz="4" w:space="0"/>
              <w:bottom w:val="nil"/>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2</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b/>
                <w:color w:val="000000"/>
                <w:sz w:val="18"/>
                <w:szCs w:val="18"/>
              </w:rPr>
              <w:t>道路标志线</w:t>
            </w:r>
          </w:p>
        </w:tc>
        <w:tc>
          <w:tcPr>
            <w:tcW w:w="25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b/>
                <w:color w:val="000000"/>
                <w:sz w:val="18"/>
                <w:szCs w:val="18"/>
              </w:rPr>
              <w:t>m</w:t>
            </w:r>
          </w:p>
        </w:tc>
        <w:tc>
          <w:tcPr>
            <w:tcW w:w="373"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约1万</w:t>
            </w:r>
          </w:p>
        </w:tc>
        <w:tc>
          <w:tcPr>
            <w:tcW w:w="474"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b/>
                <w:sz w:val="18"/>
                <w:szCs w:val="18"/>
              </w:rPr>
              <w:t>15元/m</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 xml:space="preserve"> 元/m</w:t>
            </w:r>
          </w:p>
        </w:tc>
        <w:tc>
          <w:tcPr>
            <w:tcW w:w="2230"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包含：按图纸内相应做法施工涉及的人工费、机械费、主辅材料费、措施费、税金、管理费、利润、不可竞争费等全部费用。本单价包括斑马线、缓冲线等各类标志线。长度按单线长度累计计算。</w:t>
            </w:r>
          </w:p>
        </w:tc>
      </w:tr>
      <w:tr>
        <w:tblPrEx>
          <w:tblCellMar>
            <w:top w:w="0" w:type="dxa"/>
            <w:left w:w="108" w:type="dxa"/>
            <w:bottom w:w="0" w:type="dxa"/>
            <w:right w:w="108" w:type="dxa"/>
          </w:tblCellMar>
        </w:tblPrEx>
        <w:trPr>
          <w:trHeight w:val="494" w:hRule="atLeast"/>
        </w:trPr>
        <w:tc>
          <w:tcPr>
            <w:tcW w:w="265"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3</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b/>
                <w:color w:val="000000"/>
                <w:sz w:val="18"/>
                <w:szCs w:val="18"/>
              </w:rPr>
              <w:t>路面修复</w:t>
            </w:r>
          </w:p>
        </w:tc>
        <w:tc>
          <w:tcPr>
            <w:tcW w:w="25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ascii="宋体" w:hAnsi="宋体"/>
                <w:b/>
                <w:color w:val="000000"/>
                <w:sz w:val="18"/>
                <w:szCs w:val="18"/>
              </w:rPr>
              <w:t>m³</w:t>
            </w:r>
          </w:p>
        </w:tc>
        <w:tc>
          <w:tcPr>
            <w:tcW w:w="373"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 xml:space="preserve">约50 </w:t>
            </w:r>
          </w:p>
        </w:tc>
        <w:tc>
          <w:tcPr>
            <w:tcW w:w="474"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b/>
                <w:sz w:val="18"/>
                <w:szCs w:val="18"/>
              </w:rPr>
              <w:t>1600元/</w:t>
            </w:r>
            <w:r>
              <w:rPr>
                <w:rFonts w:ascii="宋体" w:hAnsi="宋体"/>
                <w:b/>
                <w:sz w:val="18"/>
                <w:szCs w:val="18"/>
              </w:rPr>
              <w:t>m³</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 xml:space="preserve"> 元/</w:t>
            </w:r>
            <w:r>
              <w:rPr>
                <w:rFonts w:ascii="宋体" w:hAnsi="宋体"/>
                <w:b/>
                <w:color w:val="000000"/>
                <w:sz w:val="18"/>
                <w:szCs w:val="18"/>
              </w:rPr>
              <w:t>m³</w:t>
            </w:r>
          </w:p>
        </w:tc>
        <w:tc>
          <w:tcPr>
            <w:tcW w:w="2230"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包含：切缝、砼破除、钢筋切割、渣土运输、垫层修复、钢筋绑扎、砼浇筑等图纸内相应做法全部工作内容涉及的人工费、机械费、主辅材料费、措施费、税金、管理费、利润、不可竞争费等全部费用。</w:t>
            </w:r>
            <w:r>
              <w:rPr>
                <w:rFonts w:hint="eastAsia" w:ascii="宋体" w:hAnsi="宋体"/>
                <w:b/>
                <w:sz w:val="18"/>
                <w:szCs w:val="18"/>
              </w:rPr>
              <w:t>拆下的废钢筋送至发包方废钢库。</w:t>
            </w:r>
          </w:p>
        </w:tc>
      </w:tr>
      <w:tr>
        <w:tblPrEx>
          <w:tblCellMar>
            <w:top w:w="0" w:type="dxa"/>
            <w:left w:w="108" w:type="dxa"/>
            <w:bottom w:w="0" w:type="dxa"/>
            <w:right w:w="108" w:type="dxa"/>
          </w:tblCellMar>
        </w:tblPrEx>
        <w:trPr>
          <w:trHeight w:val="300" w:hRule="atLeast"/>
        </w:trPr>
        <w:tc>
          <w:tcPr>
            <w:tcW w:w="265"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4</w:t>
            </w:r>
          </w:p>
        </w:tc>
        <w:tc>
          <w:tcPr>
            <w:tcW w:w="809" w:type="pct"/>
            <w:tcBorders>
              <w:top w:val="nil"/>
              <w:left w:val="nil"/>
              <w:bottom w:val="single" w:color="auto" w:sz="4" w:space="0"/>
              <w:right w:val="single" w:color="auto" w:sz="4" w:space="0"/>
            </w:tcBorders>
            <w:vAlign w:val="center"/>
          </w:tcPr>
          <w:p>
            <w:pPr>
              <w:rPr>
                <w:rFonts w:ascii="宋体" w:hAnsi="宋体"/>
                <w:b/>
                <w:color w:val="000000"/>
                <w:sz w:val="18"/>
                <w:szCs w:val="18"/>
              </w:rPr>
            </w:pPr>
            <w:r>
              <w:rPr>
                <w:rFonts w:hint="eastAsia" w:ascii="宋体" w:hAnsi="宋体"/>
                <w:b/>
                <w:color w:val="000000"/>
                <w:sz w:val="18"/>
                <w:szCs w:val="18"/>
              </w:rPr>
              <w:t>路牙修复</w:t>
            </w:r>
          </w:p>
        </w:tc>
        <w:tc>
          <w:tcPr>
            <w:tcW w:w="25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b/>
                <w:color w:val="000000"/>
                <w:sz w:val="18"/>
                <w:szCs w:val="18"/>
              </w:rPr>
              <w:t>m</w:t>
            </w:r>
          </w:p>
        </w:tc>
        <w:tc>
          <w:tcPr>
            <w:tcW w:w="373"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 xml:space="preserve">约300 </w:t>
            </w:r>
          </w:p>
        </w:tc>
        <w:tc>
          <w:tcPr>
            <w:tcW w:w="474"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b/>
                <w:sz w:val="18"/>
                <w:szCs w:val="18"/>
              </w:rPr>
              <w:t>80元/m</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 xml:space="preserve"> 元/m</w:t>
            </w:r>
          </w:p>
        </w:tc>
        <w:tc>
          <w:tcPr>
            <w:tcW w:w="2230"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包含：原破损路缘石拆除、新路缘石安装等图纸内相应做法全部工作内容涉及的人工费、机械费、主辅材料费、措施费、税金、管理费、利润、不可竞争费等全部费用。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423" w:hRule="atLeast"/>
        </w:trPr>
        <w:tc>
          <w:tcPr>
            <w:tcW w:w="265"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5</w:t>
            </w:r>
          </w:p>
        </w:tc>
        <w:tc>
          <w:tcPr>
            <w:tcW w:w="809" w:type="pct"/>
            <w:tcBorders>
              <w:top w:val="nil"/>
              <w:left w:val="nil"/>
              <w:bottom w:val="single" w:color="auto" w:sz="4" w:space="0"/>
              <w:right w:val="single" w:color="auto" w:sz="4" w:space="0"/>
            </w:tcBorders>
            <w:vAlign w:val="center"/>
          </w:tcPr>
          <w:p>
            <w:pPr>
              <w:rPr>
                <w:rFonts w:ascii="宋体" w:hAnsi="宋体"/>
                <w:b/>
                <w:color w:val="000000"/>
                <w:sz w:val="18"/>
                <w:szCs w:val="18"/>
              </w:rPr>
            </w:pPr>
            <w:r>
              <w:rPr>
                <w:rFonts w:hint="eastAsia" w:ascii="宋体" w:hAnsi="宋体"/>
                <w:b/>
                <w:color w:val="000000"/>
                <w:sz w:val="18"/>
                <w:szCs w:val="18"/>
              </w:rPr>
              <w:t>雨水口改造</w:t>
            </w:r>
          </w:p>
        </w:tc>
        <w:tc>
          <w:tcPr>
            <w:tcW w:w="259"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处</w:t>
            </w:r>
          </w:p>
        </w:tc>
        <w:tc>
          <w:tcPr>
            <w:tcW w:w="373"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约15</w:t>
            </w:r>
          </w:p>
        </w:tc>
        <w:tc>
          <w:tcPr>
            <w:tcW w:w="474"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sz w:val="18"/>
                <w:szCs w:val="18"/>
              </w:rPr>
              <w:t>550元/处</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 xml:space="preserve"> 元/处</w:t>
            </w:r>
          </w:p>
        </w:tc>
        <w:tc>
          <w:tcPr>
            <w:tcW w:w="2230"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雨水口改造应符合路面铺设要求。包含原破损盖板拆除、基层修复、铸铁井圈及篦子安装涉及的人工费、机械费、材料费、措施费、税金、管理费、利润、不可竞争费等全部费用。</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556" w:hRule="atLeast"/>
        </w:trPr>
        <w:tc>
          <w:tcPr>
            <w:tcW w:w="265"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color w:val="000000"/>
                <w:sz w:val="22"/>
                <w:szCs w:val="22"/>
              </w:rPr>
              <w:t>6</w:t>
            </w:r>
          </w:p>
        </w:tc>
        <w:tc>
          <w:tcPr>
            <w:tcW w:w="809" w:type="pct"/>
            <w:tcBorders>
              <w:top w:val="nil"/>
              <w:left w:val="nil"/>
              <w:bottom w:val="single" w:color="auto" w:sz="4" w:space="0"/>
              <w:right w:val="single" w:color="auto" w:sz="4" w:space="0"/>
            </w:tcBorders>
            <w:vAlign w:val="center"/>
          </w:tcPr>
          <w:p>
            <w:pPr>
              <w:jc w:val="left"/>
              <w:rPr>
                <w:color w:val="000000"/>
                <w:sz w:val="22"/>
                <w:szCs w:val="22"/>
                <w:u w:val="single"/>
              </w:rPr>
            </w:pPr>
            <w:r>
              <w:rPr>
                <w:rFonts w:hint="eastAsia"/>
                <w:sz w:val="24"/>
                <w:szCs w:val="24"/>
              </w:rPr>
              <w:t>优惠率（不包含材料费）</w:t>
            </w:r>
          </w:p>
        </w:tc>
        <w:tc>
          <w:tcPr>
            <w:tcW w:w="632" w:type="pct"/>
            <w:gridSpan w:val="2"/>
            <w:tcBorders>
              <w:top w:val="nil"/>
              <w:left w:val="nil"/>
              <w:bottom w:val="single" w:color="auto" w:sz="4" w:space="0"/>
              <w:right w:val="single" w:color="auto" w:sz="4" w:space="0"/>
            </w:tcBorders>
            <w:vAlign w:val="center"/>
          </w:tcPr>
          <w:p>
            <w:pPr>
              <w:ind w:left="240" w:hanging="240" w:hangingChars="100"/>
              <w:jc w:val="left"/>
              <w:rPr>
                <w:rFonts w:ascii="宋体" w:hAnsi="宋体"/>
                <w:color w:val="000000"/>
                <w:sz w:val="22"/>
                <w:szCs w:val="22"/>
              </w:rPr>
            </w:pPr>
            <w:r>
              <w:rPr>
                <w:rFonts w:hint="eastAsia" w:ascii="宋体" w:hAnsi="宋体"/>
                <w:bCs/>
                <w:sz w:val="24"/>
                <w:szCs w:val="24"/>
              </w:rPr>
              <w:t>暂估</w:t>
            </w:r>
            <w:r>
              <w:rPr>
                <w:rFonts w:hint="eastAsia" w:ascii="宋体" w:hAnsi="宋体"/>
                <w:sz w:val="24"/>
                <w:szCs w:val="24"/>
              </w:rPr>
              <w:t>金额50000元</w:t>
            </w:r>
          </w:p>
        </w:tc>
        <w:tc>
          <w:tcPr>
            <w:tcW w:w="474" w:type="pct"/>
            <w:tcBorders>
              <w:top w:val="nil"/>
              <w:left w:val="nil"/>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1%</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优惠</w:t>
            </w:r>
            <w:r>
              <w:rPr>
                <w:rFonts w:hint="eastAsia"/>
                <w:kern w:val="0"/>
                <w:sz w:val="24"/>
                <w:szCs w:val="22"/>
                <w:u w:val="single"/>
              </w:rPr>
              <w:t xml:space="preserve">      </w:t>
            </w:r>
            <w:r>
              <w:rPr>
                <w:rFonts w:hint="eastAsia"/>
                <w:kern w:val="0"/>
                <w:sz w:val="24"/>
                <w:szCs w:val="22"/>
              </w:rPr>
              <w:t>%</w:t>
            </w:r>
          </w:p>
        </w:tc>
        <w:tc>
          <w:tcPr>
            <w:tcW w:w="2230" w:type="pct"/>
            <w:tcBorders>
              <w:top w:val="single" w:color="auto" w:sz="4" w:space="0"/>
              <w:left w:val="nil"/>
              <w:bottom w:val="single" w:color="auto" w:sz="4" w:space="0"/>
              <w:right w:val="single" w:color="auto" w:sz="4" w:space="0"/>
            </w:tcBorders>
            <w:vAlign w:val="center"/>
          </w:tcPr>
          <w:p>
            <w:pPr>
              <w:rPr>
                <w:szCs w:val="21"/>
              </w:rPr>
            </w:pPr>
            <w:r>
              <w:rPr>
                <w:rFonts w:hint="eastAsia"/>
                <w:szCs w:val="21"/>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1205" w:firstLineChars="500"/>
        <w:jc w:val="both"/>
        <w:rPr>
          <w:rFonts w:hint="eastAsia" w:ascii="宋体" w:hAnsi="宋体" w:cs="宋体"/>
          <w:b/>
          <w:sz w:val="24"/>
          <w:szCs w:val="24"/>
        </w:rPr>
      </w:pPr>
      <w:r>
        <w:rPr>
          <w:rFonts w:hint="eastAsia" w:ascii="宋体" w:hAnsi="宋体" w:cs="宋体"/>
          <w:b/>
          <w:sz w:val="24"/>
          <w:szCs w:val="24"/>
        </w:rPr>
        <w:t>注</w:t>
      </w: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964" w:firstLineChars="400"/>
        <w:jc w:val="both"/>
        <w:rPr>
          <w:rFonts w:hint="eastAsia"/>
        </w:rPr>
      </w:pPr>
      <w:r>
        <w:rPr>
          <w:rFonts w:hint="eastAsia" w:ascii="宋体" w:hAnsi="宋体" w:cs="宋体"/>
          <w:b/>
          <w:sz w:val="24"/>
          <w:szCs w:val="24"/>
          <w:lang w:val="en-US" w:eastAsia="zh-CN"/>
        </w:rPr>
        <w:t>注</w:t>
      </w:r>
      <w:r>
        <w:rPr>
          <w:rFonts w:hint="eastAsia" w:ascii="宋体" w:hAnsi="宋体" w:cs="宋体"/>
          <w:b/>
          <w:sz w:val="24"/>
          <w:szCs w:val="24"/>
        </w:rPr>
        <w:t>：本报价单需加盖投标单位公章和</w:t>
      </w:r>
      <w:r>
        <w:rPr>
          <w:rFonts w:hint="eastAsia"/>
          <w:b/>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9C74F5E"/>
    <w:rsid w:val="0CDA2242"/>
    <w:rsid w:val="0DFC1491"/>
    <w:rsid w:val="0F5072FB"/>
    <w:rsid w:val="1DC136C9"/>
    <w:rsid w:val="1F240430"/>
    <w:rsid w:val="214D2E1E"/>
    <w:rsid w:val="21F73AF2"/>
    <w:rsid w:val="22574413"/>
    <w:rsid w:val="23883F50"/>
    <w:rsid w:val="24C93CD8"/>
    <w:rsid w:val="24E835CF"/>
    <w:rsid w:val="282A37D0"/>
    <w:rsid w:val="2B7C00FD"/>
    <w:rsid w:val="326329B3"/>
    <w:rsid w:val="34481C4C"/>
    <w:rsid w:val="414F268B"/>
    <w:rsid w:val="466D1141"/>
    <w:rsid w:val="47614EF9"/>
    <w:rsid w:val="492349FE"/>
    <w:rsid w:val="52631A2B"/>
    <w:rsid w:val="529A772A"/>
    <w:rsid w:val="567534EE"/>
    <w:rsid w:val="582A7EEA"/>
    <w:rsid w:val="59A06F0E"/>
    <w:rsid w:val="5D882CE0"/>
    <w:rsid w:val="64A26E4D"/>
    <w:rsid w:val="66296C18"/>
    <w:rsid w:val="6903317D"/>
    <w:rsid w:val="6A715D94"/>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2021-11-05T09:15:21Z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D1A0F34327A0413C96BBF0182386BB71</vt:lpwstr>
  </property>
</Properties>
</file>