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轧钢部加热炉烟气脱硫系统桩基工程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11012ZGZJGC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轧钢部加热炉烟气脱硫系统桩基工程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rPr>
        <w:t>地基基础工程专业承包叁级及以上资质</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11</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17</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widowControl/>
        <w:shd w:val="clear" w:color="auto" w:fill="FFFFFF"/>
        <w:spacing w:line="440" w:lineRule="exact"/>
        <w:ind w:left="482"/>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轧钢部加热炉烟气脱硫系统桩基工程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朱文涛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17</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轧钢部加热炉烟气脱硫系统桩基工程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轧钢部加热炉烟气脱硫系统桩基工程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壹万叁仟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11</w:t>
      </w:r>
      <w:r>
        <w:rPr>
          <w:rFonts w:hint="eastAsia" w:ascii="宋体" w:hAnsi="宋体" w:cs="宋体"/>
          <w:bCs/>
          <w:color w:val="FF0000"/>
          <w:kern w:val="36"/>
        </w:rPr>
        <w:t>月</w:t>
      </w:r>
      <w:r>
        <w:rPr>
          <w:rFonts w:hint="eastAsia" w:ascii="宋体" w:hAnsi="宋体" w:cs="宋体"/>
          <w:bCs/>
          <w:color w:val="FF0000"/>
          <w:kern w:val="36"/>
          <w:u w:val="single"/>
          <w:lang w:val="en-US" w:eastAsia="zh-CN"/>
        </w:rPr>
        <w:t>17</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val="en-US" w:eastAsia="zh-CN"/>
        </w:rPr>
        <w:t>包含管桩桩尖采用十字型钢桩尖，桩型：PHC 400 AB 95，桩长约35米，数量约140根，总桩长约4340米；φ600灌注桩约372m等全部工程量。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 2021年11月</w:t>
      </w:r>
      <w:r>
        <w:rPr>
          <w:rFonts w:hint="eastAsia" w:ascii="宋体" w:hAnsi="宋体" w:cs="宋体"/>
          <w:kern w:val="36"/>
          <w:lang w:val="en-US" w:eastAsia="zh-CN"/>
        </w:rPr>
        <w:t>26</w:t>
      </w:r>
      <w:r>
        <w:rPr>
          <w:rFonts w:hint="eastAsia" w:ascii="宋体" w:hAnsi="宋体" w:cs="宋体"/>
          <w:kern w:val="36"/>
        </w:rPr>
        <w:t xml:space="preserve">日 （暂定）                                          </w:t>
      </w:r>
    </w:p>
    <w:p>
      <w:pPr>
        <w:spacing w:line="360" w:lineRule="exact"/>
        <w:rPr>
          <w:rFonts w:hint="eastAsia" w:ascii="宋体" w:hAnsi="宋体" w:cs="宋体"/>
          <w:kern w:val="36"/>
        </w:rPr>
      </w:pPr>
      <w:r>
        <w:rPr>
          <w:rFonts w:hint="eastAsia" w:ascii="宋体" w:hAnsi="宋体" w:cs="宋体"/>
          <w:kern w:val="36"/>
        </w:rPr>
        <w:t>竣工日期： 2022年</w:t>
      </w:r>
      <w:r>
        <w:rPr>
          <w:rFonts w:hint="eastAsia" w:ascii="宋体" w:hAnsi="宋体" w:cs="宋体"/>
          <w:kern w:val="36"/>
          <w:lang w:val="en-US" w:eastAsia="zh-CN"/>
        </w:rPr>
        <w:t>12</w:t>
      </w:r>
      <w:r>
        <w:rPr>
          <w:rFonts w:hint="eastAsia" w:ascii="宋体" w:hAnsi="宋体" w:cs="宋体"/>
          <w:kern w:val="36"/>
        </w:rPr>
        <w:t>月</w:t>
      </w:r>
      <w:r>
        <w:rPr>
          <w:rFonts w:hint="eastAsia" w:ascii="宋体" w:hAnsi="宋体" w:cs="宋体"/>
          <w:kern w:val="36"/>
          <w:lang w:val="en-US" w:eastAsia="zh-CN"/>
        </w:rPr>
        <w:t>21</w:t>
      </w:r>
      <w:r>
        <w:rPr>
          <w:rFonts w:hint="eastAsia" w:ascii="宋体" w:hAnsi="宋体" w:cs="宋体"/>
          <w:kern w:val="36"/>
        </w:rPr>
        <w:t xml:space="preserve">日                                              </w:t>
      </w:r>
    </w:p>
    <w:p>
      <w:pPr>
        <w:spacing w:line="360" w:lineRule="exact"/>
        <w:rPr>
          <w:rFonts w:hint="eastAsia" w:ascii="宋体" w:hAnsi="宋体" w:cs="宋体"/>
          <w:kern w:val="36"/>
        </w:rPr>
      </w:pPr>
      <w:r>
        <w:rPr>
          <w:rFonts w:hint="eastAsia" w:ascii="宋体" w:hAnsi="宋体" w:cs="宋体"/>
          <w:kern w:val="36"/>
        </w:rPr>
        <w:t xml:space="preserve">合同工期总日历天数  </w:t>
      </w:r>
      <w:r>
        <w:rPr>
          <w:rFonts w:hint="eastAsia" w:ascii="宋体" w:hAnsi="宋体" w:cs="宋体"/>
          <w:kern w:val="36"/>
          <w:lang w:val="en-US" w:eastAsia="zh-CN"/>
        </w:rPr>
        <w:t>25</w:t>
      </w:r>
      <w:r>
        <w:rPr>
          <w:rFonts w:hint="eastAsia" w:ascii="宋体" w:hAnsi="宋体" w:cs="宋体"/>
          <w:kern w:val="36"/>
        </w:rPr>
        <w:t xml:space="preserve">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所有材料（除钢筋外）由承包人提供</w:t>
      </w:r>
      <w:r>
        <w:rPr>
          <w:rFonts w:hint="eastAsia" w:asciiTheme="minorHAnsi" w:hAnsiTheme="minorHAnsi" w:eastAsiaTheme="minorEastAsia" w:cstheme="minorBidi"/>
          <w:bCs/>
          <w:kern w:val="36"/>
          <w:sz w:val="21"/>
          <w:szCs w:val="21"/>
          <w:lang w:val="en-US" w:eastAsia="zh-CN" w:bidi="ar-SA"/>
        </w:rPr>
        <w:t>。</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单价包干部分材料价差除钢材和混凝土外不予调整，钢材和混凝土价格以</w:t>
      </w:r>
      <w:r>
        <w:rPr>
          <w:rFonts w:hint="eastAsia" w:asciiTheme="minorHAnsi" w:hAnsiTheme="minorHAnsi" w:eastAsiaTheme="minorEastAsia" w:cstheme="minorBidi"/>
          <w:bCs/>
          <w:color w:val="FF0000"/>
          <w:kern w:val="36"/>
          <w:sz w:val="21"/>
          <w:szCs w:val="21"/>
          <w:lang w:val="en-US" w:eastAsia="zh-CN" w:bidi="ar-SA"/>
        </w:rPr>
        <w:t>2021年第10期</w:t>
      </w:r>
      <w:r>
        <w:rPr>
          <w:rFonts w:hint="eastAsia" w:asciiTheme="minorHAnsi" w:hAnsiTheme="minorHAnsi" w:eastAsiaTheme="minorEastAsia" w:cstheme="minorBidi"/>
          <w:bCs/>
          <w:kern w:val="36"/>
          <w:sz w:val="21"/>
          <w:szCs w:val="21"/>
          <w:lang w:val="en-US" w:eastAsia="zh-CN" w:bidi="ar-SA"/>
        </w:rPr>
        <w:t>芜湖市市场信息价为基准，芜湖市市场信息价没有的以合肥市市场信息价为基准，若施工期间材料单价涨跌幅</w:t>
      </w:r>
      <w:r>
        <w:rPr>
          <w:rFonts w:hint="eastAsia" w:asciiTheme="minorHAnsi" w:hAnsiTheme="minorHAnsi" w:eastAsiaTheme="minorEastAsia" w:cstheme="minorBidi"/>
          <w:bCs/>
          <w:color w:val="FF0000"/>
          <w:kern w:val="36"/>
          <w:sz w:val="21"/>
          <w:szCs w:val="21"/>
          <w:lang w:val="en-US" w:eastAsia="zh-CN" w:bidi="ar-SA"/>
        </w:rPr>
        <w:t>超过±5%</w:t>
      </w:r>
      <w:r>
        <w:rPr>
          <w:rFonts w:hint="eastAsia" w:asciiTheme="minorHAnsi" w:hAnsiTheme="minorHAnsi" w:eastAsiaTheme="minorEastAsia" w:cstheme="minorBidi"/>
          <w:bCs/>
          <w:kern w:val="36"/>
          <w:sz w:val="21"/>
          <w:szCs w:val="21"/>
          <w:lang w:val="en-US" w:eastAsia="zh-CN" w:bidi="ar-SA"/>
        </w:rPr>
        <w:t>时，其超过部分</w:t>
      </w:r>
      <w:r>
        <w:rPr>
          <w:rFonts w:hint="eastAsia" w:asciiTheme="minorHAnsi" w:hAnsiTheme="minorHAnsi" w:eastAsiaTheme="minorEastAsia" w:cstheme="minorBidi"/>
          <w:bCs/>
          <w:color w:val="FF0000"/>
          <w:kern w:val="36"/>
          <w:sz w:val="21"/>
          <w:szCs w:val="21"/>
          <w:lang w:val="en-US" w:eastAsia="zh-CN" w:bidi="ar-SA"/>
        </w:rPr>
        <w:t>据实调整</w:t>
      </w:r>
      <w:r>
        <w:rPr>
          <w:rFonts w:hint="eastAsia" w:asciiTheme="minorHAnsi" w:hAnsiTheme="minorHAnsi" w:eastAsiaTheme="minorEastAsia" w:cstheme="minorBidi"/>
          <w:bCs/>
          <w:kern w:val="36"/>
          <w:sz w:val="21"/>
          <w:szCs w:val="21"/>
          <w:lang w:val="en-US" w:eastAsia="zh-CN" w:bidi="ar-SA"/>
        </w:rPr>
        <w:t>钢材和混凝土价格，芜湖和合肥市场信息价查询不到的不予调整。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asciiTheme="minorHAnsi" w:hAnsiTheme="minorHAnsi" w:eastAsiaTheme="minorEastAsia" w:cstheme="minorBidi"/>
          <w:bCs/>
          <w:kern w:val="36"/>
          <w:sz w:val="21"/>
          <w:szCs w:val="21"/>
          <w:lang w:val="en-US" w:eastAsia="zh-CN" w:bidi="ar-SA"/>
        </w:rPr>
        <w:t>12. 本次招标采取综合评分的方式进行评标，评分标准按以下</w:t>
      </w:r>
      <w:r>
        <w:rPr>
          <w:rFonts w:hint="eastAsia"/>
          <w:bCs/>
          <w:kern w:val="36"/>
          <w:szCs w:val="21"/>
        </w:rPr>
        <w:t>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13</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rPr>
      </w:pPr>
      <w:r>
        <w:rPr>
          <w:rFonts w:hint="eastAsia" w:hAnsi="宋体"/>
        </w:rPr>
        <w:t>1.</w:t>
      </w:r>
      <w:r>
        <w:rPr>
          <w:rFonts w:hint="eastAsia" w:ascii="宋体" w:hAnsi="宋体" w:cs="宋体"/>
          <w:color w:val="000000"/>
        </w:rPr>
        <w:t xml:space="preserve"> </w:t>
      </w:r>
      <w:r>
        <w:rPr>
          <w:rFonts w:hint="eastAsia" w:ascii="宋体" w:hAnsi="宋体" w:cs="宋体"/>
        </w:rPr>
        <w:t>因承包人原因，节点工期每延误1天，承包人向发包人支付违约金</w:t>
      </w:r>
      <w:r>
        <w:rPr>
          <w:rFonts w:hint="eastAsia" w:ascii="宋体" w:hAnsi="宋体" w:cs="宋体"/>
          <w:color w:val="FF0000"/>
          <w:lang w:val="en-US" w:eastAsia="zh-CN"/>
        </w:rPr>
        <w:t>贰</w:t>
      </w:r>
      <w:r>
        <w:rPr>
          <w:rFonts w:hint="eastAsia" w:ascii="宋体" w:hAnsi="宋体" w:cs="宋体"/>
          <w:color w:val="FF0000"/>
        </w:rPr>
        <w:t>仟圆整</w:t>
      </w:r>
      <w:r>
        <w:rPr>
          <w:rFonts w:hint="eastAsia" w:ascii="宋体" w:hAnsi="宋体" w:cs="宋体"/>
        </w:rPr>
        <w:t>（¥：</w:t>
      </w:r>
      <w:r>
        <w:rPr>
          <w:rFonts w:hint="eastAsia" w:ascii="宋体" w:hAnsi="宋体" w:cs="宋体"/>
          <w:lang w:val="en-US" w:eastAsia="zh-CN"/>
        </w:rPr>
        <w:t>2</w:t>
      </w:r>
      <w:r>
        <w:rPr>
          <w:rFonts w:hint="eastAsia" w:ascii="宋体" w:hAnsi="宋体" w:cs="宋体"/>
        </w:rPr>
        <w:t>000元整）。竣工工期每延误1天，承包人向发包人支付违约金</w:t>
      </w:r>
      <w:r>
        <w:rPr>
          <w:rFonts w:hint="eastAsia" w:ascii="宋体" w:hAnsi="宋体" w:cs="宋体"/>
          <w:color w:val="FF0000"/>
          <w:lang w:val="en-US" w:eastAsia="zh-CN"/>
        </w:rPr>
        <w:t>伍仟</w:t>
      </w:r>
      <w:r>
        <w:rPr>
          <w:rFonts w:hint="eastAsia" w:ascii="宋体" w:hAnsi="宋体" w:cs="宋体"/>
          <w:color w:val="FF0000"/>
        </w:rPr>
        <w:t>圆整</w:t>
      </w:r>
      <w:r>
        <w:rPr>
          <w:rFonts w:hint="eastAsia" w:ascii="宋体" w:hAnsi="宋体" w:cs="宋体"/>
        </w:rPr>
        <w:t>（¥：</w:t>
      </w:r>
      <w:r>
        <w:rPr>
          <w:rFonts w:hint="eastAsia" w:ascii="宋体" w:hAnsi="宋体" w:cs="宋体"/>
          <w:lang w:val="en-US" w:eastAsia="zh-CN"/>
        </w:rPr>
        <w:t>5</w:t>
      </w:r>
      <w:r>
        <w:rPr>
          <w:rFonts w:hint="eastAsia" w:ascii="宋体" w:hAnsi="宋体" w:cs="宋体"/>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lang w:eastAsia="zh-CN"/>
        </w:rPr>
        <w:t>轧钢部加热炉烟气脱硫系统桩基</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5015" w:type="pct"/>
        <w:tblInd w:w="0" w:type="dxa"/>
        <w:tblLayout w:type="fixed"/>
        <w:tblCellMar>
          <w:top w:w="0" w:type="dxa"/>
          <w:left w:w="108" w:type="dxa"/>
          <w:bottom w:w="0" w:type="dxa"/>
          <w:right w:w="108" w:type="dxa"/>
        </w:tblCellMar>
      </w:tblPr>
      <w:tblGrid>
        <w:gridCol w:w="768"/>
        <w:gridCol w:w="1725"/>
        <w:gridCol w:w="787"/>
        <w:gridCol w:w="1061"/>
        <w:gridCol w:w="1702"/>
        <w:gridCol w:w="1980"/>
        <w:gridCol w:w="7219"/>
      </w:tblGrid>
      <w:tr>
        <w:tblPrEx>
          <w:tblCellMar>
            <w:top w:w="0" w:type="dxa"/>
            <w:left w:w="108" w:type="dxa"/>
            <w:bottom w:w="0" w:type="dxa"/>
            <w:right w:w="108" w:type="dxa"/>
          </w:tblCellMar>
        </w:tblPrEx>
        <w:trPr>
          <w:trHeight w:val="421"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16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分项名称</w:t>
            </w:r>
          </w:p>
        </w:tc>
        <w:tc>
          <w:tcPr>
            <w:tcW w:w="7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单位</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工程量</w:t>
            </w:r>
          </w:p>
        </w:tc>
        <w:tc>
          <w:tcPr>
            <w:tcW w:w="15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拦标价</w:t>
            </w:r>
          </w:p>
        </w:tc>
        <w:tc>
          <w:tcPr>
            <w:tcW w:w="1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报价</w:t>
            </w:r>
          </w:p>
        </w:tc>
        <w:tc>
          <w:tcPr>
            <w:tcW w:w="67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271" w:hRule="atLeast"/>
        </w:trPr>
        <w:tc>
          <w:tcPr>
            <w:tcW w:w="142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一、综合单价部分</w:t>
            </w:r>
          </w:p>
        </w:tc>
      </w:tr>
      <w:tr>
        <w:tblPrEx>
          <w:tblCellMar>
            <w:top w:w="0" w:type="dxa"/>
            <w:left w:w="108" w:type="dxa"/>
            <w:bottom w:w="0" w:type="dxa"/>
            <w:right w:w="108" w:type="dxa"/>
          </w:tblCellMar>
        </w:tblPrEx>
        <w:trPr>
          <w:trHeight w:val="68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2"/>
                <w:szCs w:val="22"/>
                <w:u w:val="none"/>
                <w:lang w:val="en-US" w:eastAsia="zh-CN" w:bidi="ar"/>
              </w:rPr>
              <w:t>1</w:t>
            </w:r>
          </w:p>
        </w:tc>
        <w:tc>
          <w:tcPr>
            <w:tcW w:w="160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1"/>
                <w:szCs w:val="21"/>
              </w:rPr>
            </w:pPr>
            <w:r>
              <w:rPr>
                <w:rFonts w:hint="eastAsia" w:ascii="宋体" w:hAnsi="宋体" w:eastAsia="宋体" w:cs="宋体"/>
                <w:i w:val="0"/>
                <w:iCs w:val="0"/>
                <w:color w:val="000000"/>
                <w:kern w:val="0"/>
                <w:sz w:val="21"/>
                <w:szCs w:val="21"/>
                <w:u w:val="none"/>
                <w:lang w:val="en-US" w:eastAsia="zh-CN" w:bidi="ar"/>
              </w:rPr>
              <w:t>φ400管桩</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m</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4340</w:t>
            </w:r>
          </w:p>
        </w:tc>
        <w:tc>
          <w:tcPr>
            <w:tcW w:w="15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230元/m</w:t>
            </w:r>
          </w:p>
        </w:tc>
        <w:tc>
          <w:tcPr>
            <w:tcW w:w="1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元/m</w:t>
            </w:r>
          </w:p>
        </w:tc>
        <w:tc>
          <w:tcPr>
            <w:tcW w:w="67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sz w:val="22"/>
                <w:szCs w:val="22"/>
              </w:rPr>
            </w:pPr>
            <w:r>
              <w:rPr>
                <w:rFonts w:hint="eastAsia" w:ascii="宋体" w:hAnsi="宋体" w:eastAsia="宋体" w:cs="宋体"/>
                <w:i w:val="0"/>
                <w:iCs w:val="0"/>
                <w:color w:val="000000"/>
                <w:kern w:val="0"/>
                <w:sz w:val="21"/>
                <w:szCs w:val="21"/>
                <w:u w:val="none"/>
                <w:lang w:val="en-US" w:eastAsia="zh-CN" w:bidi="ar"/>
              </w:rPr>
              <w:t>包括吊桩、插桩、沉桩、送桩、记录等图纸内相应做法全部工作内容及涉及的人工费、机械费、材料费、措施费、不可竞争费、税金、水电费等全部费用。工程量按图纸有效桩长计算。</w:t>
            </w:r>
          </w:p>
        </w:tc>
      </w:tr>
      <w:tr>
        <w:tblPrEx>
          <w:tblCellMar>
            <w:top w:w="0" w:type="dxa"/>
            <w:left w:w="108" w:type="dxa"/>
            <w:bottom w:w="0" w:type="dxa"/>
            <w:right w:w="108" w:type="dxa"/>
          </w:tblCellMar>
        </w:tblPrEx>
        <w:trPr>
          <w:trHeight w:val="655" w:hRule="atLeast"/>
        </w:trPr>
        <w:tc>
          <w:tcPr>
            <w:tcW w:w="716"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2</w:t>
            </w:r>
          </w:p>
        </w:tc>
        <w:tc>
          <w:tcPr>
            <w:tcW w:w="160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大型机械进出场费（管桩）</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台次</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50000 元/台次</w:t>
            </w:r>
          </w:p>
        </w:tc>
        <w:tc>
          <w:tcPr>
            <w:tcW w:w="1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元/台次</w:t>
            </w:r>
          </w:p>
        </w:tc>
        <w:tc>
          <w:tcPr>
            <w:tcW w:w="67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kern w:val="0"/>
                <w:sz w:val="22"/>
                <w:szCs w:val="22"/>
              </w:rPr>
            </w:pPr>
            <w:r>
              <w:rPr>
                <w:rFonts w:hint="eastAsia" w:ascii="宋体" w:hAnsi="宋体" w:eastAsia="宋体" w:cs="宋体"/>
                <w:i w:val="0"/>
                <w:iCs w:val="0"/>
                <w:color w:val="000000"/>
                <w:kern w:val="0"/>
                <w:sz w:val="21"/>
                <w:szCs w:val="21"/>
                <w:u w:val="none"/>
                <w:lang w:val="en-US" w:eastAsia="zh-CN" w:bidi="ar"/>
              </w:rPr>
              <w:t>包含：装、拆、卸、场外运输、税金等全部费用。</w:t>
            </w:r>
          </w:p>
        </w:tc>
      </w:tr>
      <w:tr>
        <w:tblPrEx>
          <w:tblCellMar>
            <w:top w:w="0" w:type="dxa"/>
            <w:left w:w="108" w:type="dxa"/>
            <w:bottom w:w="0" w:type="dxa"/>
            <w:right w:w="108" w:type="dxa"/>
          </w:tblCellMar>
        </w:tblPrEx>
        <w:trPr>
          <w:trHeight w:val="422"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φ600灌注桩</w:t>
            </w:r>
          </w:p>
        </w:tc>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m3</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116</w:t>
            </w:r>
          </w:p>
        </w:tc>
        <w:tc>
          <w:tcPr>
            <w:tcW w:w="15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815元/m3 </w:t>
            </w:r>
          </w:p>
        </w:tc>
        <w:tc>
          <w:tcPr>
            <w:tcW w:w="18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元/m3 </w:t>
            </w:r>
          </w:p>
        </w:tc>
        <w:tc>
          <w:tcPr>
            <w:tcW w:w="6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包含钻孔、泥浆运输、埋设钢护筒、砼浇筑等工序的人工费、材料费(不含钢筋、混凝土材料费)、机械费、水电费、税金等所有费用。</w:t>
            </w:r>
          </w:p>
        </w:tc>
      </w:tr>
      <w:tr>
        <w:tblPrEx>
          <w:tblCellMar>
            <w:top w:w="0" w:type="dxa"/>
            <w:left w:w="108" w:type="dxa"/>
            <w:bottom w:w="0" w:type="dxa"/>
            <w:right w:w="108" w:type="dxa"/>
          </w:tblCellMar>
        </w:tblPrEx>
        <w:trPr>
          <w:trHeight w:val="472"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c>
          <w:tcPr>
            <w:tcW w:w="16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大型机械进出场费（灌注桩）</w:t>
            </w:r>
          </w:p>
        </w:tc>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台次</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15000元/台次</w:t>
            </w:r>
          </w:p>
        </w:tc>
        <w:tc>
          <w:tcPr>
            <w:tcW w:w="18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元/台次</w:t>
            </w:r>
          </w:p>
        </w:tc>
        <w:tc>
          <w:tcPr>
            <w:tcW w:w="6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包含：装、拆、卸、场外运输、税金等全部费用。</w:t>
            </w:r>
          </w:p>
        </w:tc>
      </w:tr>
      <w:tr>
        <w:tblPrEx>
          <w:tblCellMar>
            <w:top w:w="0" w:type="dxa"/>
            <w:left w:w="108" w:type="dxa"/>
            <w:bottom w:w="0" w:type="dxa"/>
            <w:right w:w="108" w:type="dxa"/>
          </w:tblCellMar>
        </w:tblPrEx>
        <w:trPr>
          <w:trHeight w:val="422" w:hRule="atLeast"/>
        </w:trPr>
        <w:tc>
          <w:tcPr>
            <w:tcW w:w="1421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二、除综合单价外工作量</w:t>
            </w:r>
          </w:p>
        </w:tc>
      </w:tr>
      <w:tr>
        <w:tblPrEx>
          <w:tblCellMar>
            <w:top w:w="0" w:type="dxa"/>
            <w:left w:w="108" w:type="dxa"/>
            <w:bottom w:w="0" w:type="dxa"/>
            <w:right w:w="108" w:type="dxa"/>
          </w:tblCellMar>
        </w:tblPrEx>
        <w:trPr>
          <w:trHeight w:val="437"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72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暂估金额15000元</w:t>
            </w:r>
          </w:p>
        </w:tc>
        <w:tc>
          <w:tcPr>
            <w:tcW w:w="15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w:t>
            </w:r>
          </w:p>
        </w:tc>
        <w:tc>
          <w:tcPr>
            <w:tcW w:w="18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优惠</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c>
          <w:tcPr>
            <w:tcW w:w="6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 w:val="21"/>
                <w:szCs w:val="21"/>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w:t>
            </w:r>
          </w:p>
        </w:tc>
      </w:tr>
    </w:tbl>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rPr>
      </w:pPr>
      <w:bookmarkStart w:id="3" w:name="_GoBack"/>
      <w:bookmarkEnd w:id="3"/>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532887698"/>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CDA2242"/>
    <w:rsid w:val="0DFC1491"/>
    <w:rsid w:val="1DC136C9"/>
    <w:rsid w:val="214D2E1E"/>
    <w:rsid w:val="21F73AF2"/>
    <w:rsid w:val="22574413"/>
    <w:rsid w:val="23883F50"/>
    <w:rsid w:val="24C93CD8"/>
    <w:rsid w:val="24E835CF"/>
    <w:rsid w:val="282A37D0"/>
    <w:rsid w:val="2B7C00FD"/>
    <w:rsid w:val="326329B3"/>
    <w:rsid w:val="34481C4C"/>
    <w:rsid w:val="414F268B"/>
    <w:rsid w:val="466D1141"/>
    <w:rsid w:val="47614EF9"/>
    <w:rsid w:val="492349FE"/>
    <w:rsid w:val="52631A2B"/>
    <w:rsid w:val="529A772A"/>
    <w:rsid w:val="567534EE"/>
    <w:rsid w:val="59A06F0E"/>
    <w:rsid w:val="5D882CE0"/>
    <w:rsid w:val="64A26E4D"/>
    <w:rsid w:val="66296C18"/>
    <w:rsid w:val="6903317D"/>
    <w:rsid w:val="6A715D94"/>
    <w:rsid w:val="6C4E7007"/>
    <w:rsid w:val="6C7D1BC0"/>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2021-11-10T05:25:41Z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D1A0F34327A0413C96BBF0182386BB71</vt:lpwstr>
  </property>
</Properties>
</file>