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铸管部DN80-600特喷线项目地质勘察工程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铸管部铸造废砂再生利用管道安装工程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color w:val="FF0000"/>
          <w:sz w:val="24"/>
          <w:szCs w:val="24"/>
        </w:rPr>
        <w:t>地质勘察乙级以上资质（含乙级）</w:t>
      </w:r>
      <w:r>
        <w:rPr>
          <w:rFonts w:hint="eastAsia" w:ascii="宋体" w:hAnsi="宋体"/>
          <w:bCs/>
          <w:color w:val="auto"/>
          <w:sz w:val="24"/>
          <w:szCs w:val="24"/>
          <w:highlight w:val="none"/>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铸管部DN80-600特喷线项目地质勘察工程项目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铸管部厂房照明改造工程项目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
          <w:color w:val="auto"/>
        </w:rPr>
      </w:pPr>
      <w:r>
        <w:rPr>
          <w:rFonts w:hint="eastAsia" w:ascii="宋体" w:hAnsi="宋体"/>
          <w:bCs/>
          <w:color w:val="auto"/>
        </w:rPr>
        <w:t>帐    号：1307023219000109264</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包含铸管部DN80-600特喷线项目，拟对该项目地质进行详勘。该地勘工程需进行详细的地质勘察（岩土工程勘察、水文地质勘察（含凿井）工程测量、工程物勘探），并出具建设工程设计所需的勘察详勘报告</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19</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1</w:t>
      </w:r>
      <w:r>
        <w:rPr>
          <w:rFonts w:hint="eastAsia" w:ascii="宋体" w:hAnsi="宋体" w:cs="宋体"/>
          <w:color w:val="auto"/>
          <w:kern w:val="36"/>
        </w:rPr>
        <w:t>-</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04</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15</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exact"/>
        <w:rPr>
          <w:rFonts w:hint="eastAsia" w:ascii="宋体" w:hAnsi="宋体"/>
          <w:bCs/>
          <w:color w:val="auto"/>
        </w:rPr>
      </w:pPr>
      <w:r>
        <w:rPr>
          <w:rFonts w:hint="eastAsia" w:ascii="宋体" w:hAnsi="宋体"/>
          <w:bCs/>
          <w:color w:val="auto"/>
        </w:rPr>
        <w:t>本工程结算执行《建设工程结算管理暂行办法》。</w:t>
      </w:r>
    </w:p>
    <w:p>
      <w:pPr>
        <w:numPr>
          <w:ilvl w:val="0"/>
          <w:numId w:val="2"/>
        </w:numPr>
        <w:spacing w:line="360" w:lineRule="exact"/>
        <w:rPr>
          <w:rFonts w:hint="eastAsia" w:ascii="宋体" w:hAnsi="宋体"/>
          <w:bCs/>
          <w:color w:val="auto"/>
        </w:rPr>
      </w:pPr>
      <w:r>
        <w:rPr>
          <w:rFonts w:hint="eastAsia" w:ascii="宋体" w:hAnsi="宋体"/>
          <w:bCs/>
          <w:color w:val="auto"/>
        </w:rPr>
        <w:t>本工程按单价包干的方式进行报价。</w:t>
      </w:r>
    </w:p>
    <w:p>
      <w:pPr>
        <w:numPr>
          <w:ilvl w:val="0"/>
          <w:numId w:val="2"/>
        </w:numPr>
        <w:spacing w:line="360" w:lineRule="exact"/>
        <w:rPr>
          <w:rFonts w:hint="eastAsia" w:ascii="宋体" w:hAnsi="宋体"/>
          <w:bCs/>
          <w:color w:val="auto"/>
        </w:rPr>
      </w:pPr>
      <w:r>
        <w:rPr>
          <w:rFonts w:hint="eastAsia" w:ascii="宋体" w:hAnsi="宋体"/>
          <w:bCs/>
          <w:color w:val="auto"/>
          <w:lang w:eastAsia="zh-CN"/>
        </w:rPr>
        <w:t>该</w:t>
      </w:r>
      <w:r>
        <w:rPr>
          <w:rFonts w:hint="eastAsia" w:ascii="宋体" w:hAnsi="宋体"/>
          <w:bCs/>
          <w:color w:val="auto"/>
        </w:rPr>
        <w:t>工程所有材料由承包方提供。</w:t>
      </w:r>
    </w:p>
    <w:p>
      <w:pPr>
        <w:numPr>
          <w:ilvl w:val="0"/>
          <w:numId w:val="2"/>
        </w:numPr>
        <w:spacing w:line="360" w:lineRule="exact"/>
        <w:rPr>
          <w:rFonts w:hint="eastAsia" w:ascii="宋体" w:hAnsi="宋体"/>
          <w:bCs/>
          <w:color w:val="auto"/>
        </w:rPr>
      </w:pPr>
      <w:r>
        <w:rPr>
          <w:rFonts w:hint="eastAsia" w:ascii="宋体" w:hAnsi="宋体"/>
          <w:bCs/>
          <w:color w:val="auto"/>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line="360" w:lineRule="exact"/>
        <w:rPr>
          <w:rFonts w:hint="eastAsia" w:ascii="宋体" w:hAnsi="宋体"/>
          <w:bCs/>
          <w:color w:val="auto"/>
        </w:rPr>
      </w:pPr>
      <w:r>
        <w:rPr>
          <w:rFonts w:hint="eastAsia" w:ascii="宋体" w:hAnsi="宋体"/>
          <w:bCs/>
          <w:color w:val="auto"/>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line="360" w:lineRule="exact"/>
        <w:rPr>
          <w:rFonts w:hint="eastAsia" w:ascii="宋体" w:hAnsi="宋体"/>
          <w:bCs/>
          <w:color w:val="auto"/>
        </w:rPr>
      </w:pPr>
      <w:r>
        <w:rPr>
          <w:rFonts w:hint="eastAsia" w:ascii="宋体" w:hAnsi="宋体"/>
          <w:bCs/>
          <w:color w:val="auto"/>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line="360" w:lineRule="exact"/>
        <w:rPr>
          <w:rFonts w:hint="eastAsia" w:ascii="宋体" w:hAnsi="宋体"/>
          <w:bCs/>
          <w:color w:val="auto"/>
        </w:rPr>
      </w:pPr>
      <w:r>
        <w:rPr>
          <w:rFonts w:hint="eastAsia" w:ascii="宋体" w:hAnsi="宋体"/>
          <w:bCs/>
          <w:color w:val="auto"/>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numPr>
          <w:ilvl w:val="0"/>
          <w:numId w:val="2"/>
        </w:numPr>
        <w:spacing w:line="360" w:lineRule="exact"/>
        <w:rPr>
          <w:rFonts w:hint="eastAsia" w:ascii="宋体" w:hAnsi="宋体"/>
          <w:bCs/>
          <w:color w:val="auto"/>
        </w:rPr>
      </w:pPr>
      <w:r>
        <w:rPr>
          <w:rFonts w:hint="eastAsia" w:ascii="宋体" w:hAnsi="宋体"/>
          <w:bCs/>
          <w:color w:val="auto"/>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line="360" w:lineRule="exact"/>
        <w:rPr>
          <w:rFonts w:hint="eastAsia" w:ascii="宋体" w:hAnsi="宋体"/>
          <w:bCs/>
          <w:color w:val="auto"/>
        </w:rPr>
      </w:pPr>
      <w:r>
        <w:rPr>
          <w:rFonts w:hint="eastAsia" w:ascii="宋体" w:hAnsi="宋体"/>
          <w:bCs/>
          <w:color w:val="auto"/>
        </w:rPr>
        <w:t>因现场施工需要或为满足本项目正常投用的需要增加图纸之外的工作量以签证形式计取，按实确认，执行厂内定价，签证单办理相关签字手续后作为结算的依据。</w:t>
      </w:r>
    </w:p>
    <w:p>
      <w:pPr>
        <w:numPr>
          <w:ilvl w:val="0"/>
          <w:numId w:val="2"/>
        </w:numPr>
        <w:spacing w:line="360" w:lineRule="exact"/>
        <w:rPr>
          <w:rFonts w:hint="eastAsia" w:ascii="宋体" w:hAnsi="宋体"/>
          <w:bCs/>
          <w:color w:val="auto"/>
        </w:rPr>
      </w:pPr>
      <w:r>
        <w:rPr>
          <w:rFonts w:hint="eastAsia" w:ascii="宋体" w:hAnsi="宋体"/>
          <w:bCs/>
          <w:color w:val="auto"/>
        </w:rPr>
        <w:t>工程内容按合同约定执行，开具增值税发票执行</w:t>
      </w:r>
      <w:r>
        <w:rPr>
          <w:rFonts w:hint="eastAsia" w:ascii="宋体" w:hAnsi="宋体"/>
          <w:bCs/>
          <w:color w:val="auto"/>
          <w:lang w:val="en-US" w:eastAsia="zh-CN"/>
        </w:rPr>
        <w:t xml:space="preserve">6 </w:t>
      </w:r>
      <w:r>
        <w:rPr>
          <w:rFonts w:hint="eastAsia" w:ascii="宋体" w:hAnsi="宋体"/>
          <w:bCs/>
          <w:color w:val="auto"/>
        </w:rPr>
        <w:t>%</w:t>
      </w:r>
      <w:r>
        <w:rPr>
          <w:rFonts w:hint="eastAsia" w:ascii="宋体" w:hAnsi="宋体"/>
          <w:bCs/>
          <w:color w:val="auto"/>
          <w:lang w:val="en-US" w:eastAsia="zh-CN"/>
        </w:rPr>
        <w:t xml:space="preserve"> </w:t>
      </w:r>
      <w:r>
        <w:rPr>
          <w:rFonts w:hint="eastAsia" w:ascii="宋体" w:hAnsi="宋体"/>
          <w:bCs/>
          <w:color w:val="auto"/>
        </w:rPr>
        <w:t>新税率</w:t>
      </w:r>
    </w:p>
    <w:p>
      <w:pPr>
        <w:keepNext w:val="0"/>
        <w:keepLines w:val="0"/>
        <w:widowControl/>
        <w:numPr>
          <w:ilvl w:val="0"/>
          <w:numId w:val="2"/>
        </w:numPr>
        <w:suppressLineNumbers w:val="0"/>
        <w:ind w:left="425" w:leftChars="0" w:hanging="425"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numId w:val="0"/>
        </w:numPr>
        <w:spacing w:line="360" w:lineRule="exact"/>
        <w:ind w:leftChars="0"/>
        <w:rPr>
          <w:rFonts w:ascii="宋体" w:hAnsi="宋体"/>
          <w:bCs/>
          <w:color w:val="auto"/>
        </w:rPr>
      </w:pPr>
      <w:r>
        <w:rPr>
          <w:rFonts w:hint="eastAsia" w:ascii="宋体" w:hAnsi="宋体"/>
          <w:bCs/>
          <w:color w:val="auto"/>
          <w:lang w:val="en-US" w:eastAsia="zh-CN"/>
        </w:rPr>
        <w:t xml:space="preserve">1. </w:t>
      </w:r>
      <w:r>
        <w:rPr>
          <w:rFonts w:hint="eastAsia" w:ascii="宋体" w:hAnsi="宋体"/>
          <w:bCs/>
          <w:color w:val="auto"/>
        </w:rPr>
        <w:t>投标人必须具有独立法人资格，具有独立订立合同的能力。</w:t>
      </w:r>
    </w:p>
    <w:p>
      <w:pPr>
        <w:numPr>
          <w:numId w:val="0"/>
        </w:numPr>
        <w:spacing w:line="360" w:lineRule="exact"/>
        <w:ind w:leftChars="0"/>
        <w:rPr>
          <w:rFonts w:ascii="宋体" w:hAnsi="宋体"/>
          <w:bCs/>
          <w:color w:val="auto"/>
        </w:rPr>
      </w:pPr>
      <w:r>
        <w:rPr>
          <w:rFonts w:hint="eastAsia" w:ascii="宋体" w:hAnsi="宋体"/>
          <w:bCs/>
          <w:color w:val="auto"/>
          <w:lang w:val="en-US" w:eastAsia="zh-CN"/>
        </w:rPr>
        <w:t xml:space="preserve">2. </w:t>
      </w:r>
      <w:r>
        <w:rPr>
          <w:rFonts w:hint="eastAsia" w:ascii="宋体" w:hAnsi="宋体"/>
          <w:bCs/>
          <w:color w:val="auto"/>
        </w:rPr>
        <w:t>投标代表为法人代表或持有法人委托书的委托代理人。</w:t>
      </w:r>
    </w:p>
    <w:p>
      <w:pPr>
        <w:numPr>
          <w:numId w:val="0"/>
        </w:numPr>
        <w:spacing w:line="360" w:lineRule="exact"/>
        <w:ind w:leftChars="0"/>
        <w:rPr>
          <w:rFonts w:ascii="宋体" w:hAnsi="宋体"/>
          <w:bCs/>
          <w:color w:val="auto"/>
        </w:rPr>
      </w:pPr>
      <w:r>
        <w:rPr>
          <w:rFonts w:hint="eastAsia" w:ascii="宋体" w:hAnsi="宋体"/>
          <w:bCs/>
          <w:color w:val="auto"/>
          <w:lang w:val="en-US" w:eastAsia="zh-CN"/>
        </w:rPr>
        <w:t xml:space="preserve">3. </w:t>
      </w:r>
      <w:r>
        <w:rPr>
          <w:rFonts w:hint="eastAsia" w:ascii="宋体" w:hAnsi="宋体"/>
          <w:bCs/>
          <w:color w:val="auto"/>
        </w:rPr>
        <w:t>投标人未处于被责令停业、投标资格被取消或者财产被接管、冻结和破产状态。</w:t>
      </w:r>
    </w:p>
    <w:p>
      <w:pPr>
        <w:numPr>
          <w:numId w:val="0"/>
        </w:numPr>
        <w:spacing w:line="360" w:lineRule="exact"/>
        <w:ind w:leftChars="0"/>
        <w:rPr>
          <w:rFonts w:ascii="宋体" w:hAnsi="宋体"/>
          <w:bCs/>
          <w:color w:val="auto"/>
        </w:rPr>
      </w:pPr>
      <w:r>
        <w:rPr>
          <w:rFonts w:hint="eastAsia" w:ascii="宋体" w:hAnsi="宋体"/>
          <w:bCs/>
          <w:color w:val="auto"/>
          <w:lang w:val="en-US" w:eastAsia="zh-CN"/>
        </w:rPr>
        <w:t xml:space="preserve">4. </w:t>
      </w:r>
      <w:r>
        <w:rPr>
          <w:rFonts w:hint="eastAsia" w:ascii="宋体" w:hAnsi="宋体"/>
          <w:bCs/>
          <w:color w:val="auto"/>
        </w:rPr>
        <w:t>投标人企业没有因骗取中标或者严重违约以及发生重大工程质量、安全生产事故等问题被有关部门暂停投标资格并在暂停期内的。</w:t>
      </w:r>
    </w:p>
    <w:p>
      <w:pPr>
        <w:numPr>
          <w:numId w:val="0"/>
        </w:numPr>
        <w:spacing w:line="360" w:lineRule="exact"/>
        <w:ind w:leftChars="0"/>
        <w:rPr>
          <w:rFonts w:ascii="宋体" w:hAnsi="宋体"/>
          <w:bCs/>
          <w:color w:val="auto"/>
        </w:rPr>
      </w:pPr>
      <w:r>
        <w:rPr>
          <w:rFonts w:hint="eastAsia" w:ascii="宋体" w:hAnsi="宋体"/>
          <w:bCs/>
          <w:color w:val="auto"/>
          <w:lang w:val="en-US" w:eastAsia="zh-CN"/>
        </w:rPr>
        <w:t xml:space="preserve">5. </w:t>
      </w:r>
      <w:r>
        <w:rPr>
          <w:rFonts w:hint="eastAsia" w:ascii="宋体" w:hAnsi="宋体"/>
          <w:bCs/>
          <w:color w:val="auto"/>
        </w:rPr>
        <w:t>投标人所提供的所有证件及证明材料的内容没有失真或者弄虚作假。</w:t>
      </w:r>
    </w:p>
    <w:p>
      <w:pPr>
        <w:numPr>
          <w:numId w:val="0"/>
        </w:numPr>
        <w:spacing w:line="360" w:lineRule="exact"/>
        <w:ind w:leftChars="0"/>
        <w:rPr>
          <w:rFonts w:ascii="宋体" w:hAnsi="宋体"/>
          <w:bCs/>
          <w:color w:val="auto"/>
        </w:rPr>
      </w:pPr>
      <w:r>
        <w:rPr>
          <w:rFonts w:hint="eastAsia" w:ascii="宋体" w:hAnsi="宋体"/>
          <w:bCs/>
          <w:color w:val="auto"/>
          <w:lang w:val="en-US" w:eastAsia="zh-CN"/>
        </w:rPr>
        <w:t xml:space="preserve">6. </w:t>
      </w:r>
      <w:r>
        <w:rPr>
          <w:rFonts w:hint="eastAsia" w:ascii="宋体" w:hAnsi="宋体"/>
          <w:bCs/>
          <w:color w:val="auto"/>
        </w:rPr>
        <w:t>企业具备安全生产条件,并取得安全生产许可证。</w:t>
      </w:r>
    </w:p>
    <w:p>
      <w:pPr>
        <w:numPr>
          <w:numId w:val="0"/>
        </w:numPr>
        <w:spacing w:line="360" w:lineRule="exact"/>
        <w:ind w:leftChars="0"/>
        <w:rPr>
          <w:rFonts w:ascii="宋体" w:hAnsi="宋体"/>
          <w:bCs/>
          <w:color w:val="auto"/>
        </w:rPr>
      </w:pPr>
      <w:r>
        <w:rPr>
          <w:rFonts w:hint="eastAsia" w:ascii="宋体" w:hAnsi="宋体"/>
          <w:bCs/>
          <w:color w:val="auto"/>
          <w:lang w:val="en-US" w:eastAsia="zh-CN"/>
        </w:rPr>
        <w:t xml:space="preserve">7. </w:t>
      </w:r>
      <w:bookmarkStart w:id="3" w:name="_GoBack"/>
      <w:bookmarkEnd w:id="3"/>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4"/>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4"/>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4"/>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4"/>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4"/>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pStyle w:val="2"/>
        <w:numPr>
          <w:numId w:val="0"/>
        </w:numPr>
        <w:rPr>
          <w:rFonts w:hint="eastAsia" w:ascii="宋体" w:hAnsi="宋体" w:cstheme="minorBidi"/>
          <w:bCs/>
          <w:color w:val="auto"/>
          <w:kern w:val="2"/>
          <w:sz w:val="21"/>
          <w:szCs w:val="22"/>
          <w:lang w:val="en-US" w:eastAsia="zh-CN" w:bidi="ar-SA"/>
        </w:rPr>
      </w:pPr>
      <w:r>
        <w:rPr>
          <w:rFonts w:hint="eastAsia" w:ascii="宋体" w:hAnsi="宋体" w:cstheme="minorBidi"/>
          <w:bCs/>
          <w:color w:val="auto"/>
          <w:kern w:val="2"/>
          <w:sz w:val="21"/>
          <w:szCs w:val="22"/>
          <w:lang w:val="en-US" w:eastAsia="zh-CN" w:bidi="ar-SA"/>
        </w:rPr>
        <w:t>十一、技术要求</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按任务书给出的建（构）筑物位置基础（见总图）范围内进行勘察作业。</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探孔布置、勘察深度及提交资料应符合国家或地方所制定的地质勘查技术规范或标准的规定，孔深应至不可压缩层。</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查明不良地质现象的成因、类型、分布范围、发展趋势及危害程度，确定场地等级。</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查明建筑物范围各层岩土的类别、成因、结构、厚度、坡度、工程特性，并分析各层土（包括地表的老人工土及上部杂填土、强夯置换层）的物理、力学性质。</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对于地表强夯置换层采取现场剪切试验，取得强夯层的抗剪指标；同时辅助动力触探试验，便于进行抗剪强度指标对比。</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对抗震设防烈度大于或等于6度的场地，应划分场地土类别和场地类别，判定饱和砂土或饱和粉土的地震液化性，并计算液化指数。</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查明地下水埋藏情况、类型及其变化幅度与规律；查明土壤的渗透系数，如淤泥需作水平向渗透系数。</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判定环境水和土对建筑物材料和金属结构等有无腐蚀性。</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深基坑施工时，应判明深基坑的稳定性及其对相邻工程的影响，判定地基土及地下水在建筑物施工及使用期间可能产生的变化，论证其对周围已有建筑物和地下设施的影响及对工程的影响，并提出防治措施及建议。</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6、对可供采用的地基基础设计方案进行论证分析，提出经济合理、技术先进的方案建议，提供与设计要求相对应的地基承载力及变形计算参数，并对设计与施工注意的问题提出建议。</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7、提供边坡及基坑开挖计算和边坡设计所需的技术参数，论证其对周围环境的影响；基坑施工降水的有关技术参数及对地下水控制方法的建议，用于计算地下水浮力的设防水位。</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降水施工时，应提供降水设计所需的岩土技术参数和方案建议，必要时应提供水文地质测试及抽水试验数据。</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 xml:space="preserve">查明软弱土的深度、分布情况及其持力土层坡度，提供地基处理方案意见，并提供桩基设计所需设计参数。  </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勘察提交资料内容</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文字说明</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钻孔位置及钻孔坐标平面图</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地质剖面图</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柱状图或综合柱状图</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各土层物理、力学性能指标，包括各层（含地表的强夯置换层）地基承载力特征值fa、内粘聚力C、内摩擦角Φ和桩基有关参数等。</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水、土分析报告</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压缩曲线或Es参考指标</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场地类别及岩土地震稳定性结论</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场地地基土的工程性能分析与评价</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工程地形图（岩石等高线）</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基础类型或地基处理方案的专家建议</w:t>
      </w:r>
    </w:p>
    <w:p>
      <w:pPr>
        <w:keepNext w:val="0"/>
        <w:keepLines w:val="0"/>
        <w:widowControl/>
        <w:numPr>
          <w:ilvl w:val="0"/>
          <w:numId w:val="5"/>
        </w:numPr>
        <w:suppressLineNumbers w:val="0"/>
        <w:ind w:left="420" w:leftChars="0" w:hanging="420" w:firstLineChars="0"/>
        <w:jc w:val="left"/>
        <w:rPr>
          <w:rFonts w:hint="eastAsia" w:ascii="宋体" w:hAnsi="宋体" w:cs="宋体"/>
          <w:bCs/>
          <w:strike w:val="0"/>
          <w:dstrike w:val="0"/>
          <w:color w:val="auto"/>
          <w:lang w:val="en-US" w:eastAsia="zh-CN"/>
        </w:rPr>
      </w:pPr>
      <w:r>
        <w:rPr>
          <w:rFonts w:hint="eastAsia" w:ascii="宋体" w:hAnsi="宋体" w:cs="宋体"/>
          <w:bCs/>
          <w:strike w:val="0"/>
          <w:dstrike w:val="0"/>
          <w:color w:val="auto"/>
          <w:lang w:val="en-US" w:eastAsia="zh-CN"/>
        </w:rPr>
        <w:t>场地土的有关动力参数和场地覆盖层厚度（时程分析时提供）</w:t>
      </w:r>
    </w:p>
    <w:p>
      <w:pPr>
        <w:pStyle w:val="2"/>
        <w:numPr>
          <w:numId w:val="0"/>
        </w:numPr>
        <w:rPr>
          <w:rFonts w:hint="default" w:ascii="宋体" w:hAnsi="宋体" w:cstheme="minorBidi"/>
          <w:bCs/>
          <w:color w:val="auto"/>
          <w:kern w:val="2"/>
          <w:sz w:val="21"/>
          <w:szCs w:val="22"/>
          <w:lang w:val="en-US" w:eastAsia="zh-CN" w:bidi="ar-SA"/>
        </w:rPr>
      </w:pPr>
      <w:r>
        <w:rPr>
          <w:rFonts w:hint="eastAsia" w:ascii="宋体" w:hAnsi="宋体" w:cs="宋体"/>
          <w:bCs/>
          <w:strike w:val="0"/>
          <w:dstrike w:val="0"/>
          <w:color w:val="auto"/>
          <w:lang w:val="en-US" w:eastAsia="zh-CN"/>
        </w:rPr>
        <w:t>季节性冻土地区，提供场地土的标准冻结深度</w:t>
      </w:r>
      <w:r>
        <w:rPr>
          <w:rFonts w:hint="eastAsia" w:ascii="宋体" w:hAnsi="宋体" w:cs="宋体" w:eastAsiaTheme="minorEastAsia"/>
          <w:color w:val="auto"/>
          <w:kern w:val="36"/>
          <w:sz w:val="21"/>
          <w:szCs w:val="22"/>
          <w:lang w:val="en-US" w:eastAsia="zh-CN" w:bidi="ar-SA"/>
        </w:rPr>
        <w:t>。</w:t>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632" w:firstLineChars="300"/>
        <w:jc w:val="both"/>
        <w:rPr>
          <w:rFonts w:ascii="宋体" w:hAnsi="宋体"/>
          <w:b/>
          <w:bCs/>
          <w:sz w:val="36"/>
          <w:szCs w:val="36"/>
        </w:rPr>
      </w:pPr>
      <w:r>
        <w:rPr>
          <w:rFonts w:hint="eastAsia" w:ascii="宋体" w:hAnsi="宋体"/>
          <w:b/>
          <w:bCs/>
          <w:color w:val="auto"/>
          <w:sz w:val="21"/>
          <w:szCs w:val="21"/>
          <w:u w:val="none"/>
          <w:lang w:val="en-US" w:eastAsia="zh-CN"/>
        </w:rPr>
        <w:t xml:space="preserve">附件1                         </w:t>
      </w:r>
      <w:r>
        <w:rPr>
          <w:rFonts w:hint="eastAsia" w:ascii="宋体" w:hAnsi="宋体"/>
          <w:b/>
          <w:bCs/>
          <w:sz w:val="36"/>
          <w:szCs w:val="36"/>
          <w:u w:val="single"/>
          <w:lang w:val="en-US" w:eastAsia="zh-CN"/>
        </w:rPr>
        <w:t>铸管部DN80-600特喷线项目地质勘察</w:t>
      </w:r>
      <w:r>
        <w:rPr>
          <w:rFonts w:hint="eastAsia" w:ascii="宋体" w:hAnsi="宋体"/>
          <w:b/>
          <w:bCs/>
          <w:sz w:val="36"/>
          <w:szCs w:val="36"/>
          <w:lang w:val="en-US" w:eastAsia="zh-CN"/>
        </w:rPr>
        <w:t>报价单</w:t>
      </w:r>
    </w:p>
    <w:tbl>
      <w:tblPr>
        <w:tblStyle w:val="13"/>
        <w:tblpPr w:leftFromText="180" w:rightFromText="180" w:vertAnchor="text" w:horzAnchor="page" w:tblpX="1089" w:tblpY="345"/>
        <w:tblOverlap w:val="never"/>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61"/>
        <w:gridCol w:w="1311"/>
        <w:gridCol w:w="695"/>
        <w:gridCol w:w="1170"/>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7"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01"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分项名称</w:t>
            </w:r>
          </w:p>
        </w:tc>
        <w:tc>
          <w:tcPr>
            <w:tcW w:w="449" w:type="pct"/>
            <w:noWrap w:val="0"/>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图号</w:t>
            </w:r>
          </w:p>
        </w:tc>
        <w:tc>
          <w:tcPr>
            <w:tcW w:w="238"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401"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暂估工程量</w:t>
            </w:r>
          </w:p>
        </w:tc>
        <w:tc>
          <w:tcPr>
            <w:tcW w:w="3151"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57" w:type="pct"/>
            <w:noWrap/>
            <w:vAlign w:val="center"/>
          </w:tcPr>
          <w:p>
            <w:pPr>
              <w:widowControl/>
              <w:jc w:val="center"/>
              <w:rPr>
                <w:color w:val="000000"/>
                <w:kern w:val="0"/>
                <w:sz w:val="22"/>
                <w:szCs w:val="22"/>
              </w:rPr>
            </w:pPr>
            <w:r>
              <w:rPr>
                <w:rFonts w:hint="eastAsia"/>
                <w:color w:val="000000"/>
                <w:sz w:val="22"/>
                <w:szCs w:val="22"/>
              </w:rPr>
              <w:t>1</w:t>
            </w:r>
          </w:p>
        </w:tc>
        <w:tc>
          <w:tcPr>
            <w:tcW w:w="501" w:type="pct"/>
            <w:noWrap w:val="0"/>
            <w:vAlign w:val="center"/>
          </w:tcPr>
          <w:p>
            <w:pPr>
              <w:widowControl/>
              <w:jc w:val="left"/>
              <w:rPr>
                <w:color w:val="000000"/>
                <w:kern w:val="0"/>
                <w:szCs w:val="21"/>
              </w:rPr>
            </w:pPr>
            <w:r>
              <w:rPr>
                <w:rFonts w:hint="eastAsia"/>
                <w:color w:val="000000"/>
                <w:kern w:val="0"/>
                <w:szCs w:val="21"/>
                <w:lang w:val="en-US" w:eastAsia="zh-CN"/>
              </w:rPr>
              <w:t>地质</w:t>
            </w:r>
            <w:r>
              <w:rPr>
                <w:rFonts w:hint="eastAsia"/>
                <w:color w:val="000000"/>
                <w:kern w:val="0"/>
                <w:szCs w:val="21"/>
              </w:rPr>
              <w:t>勘察</w:t>
            </w:r>
          </w:p>
        </w:tc>
        <w:tc>
          <w:tcPr>
            <w:tcW w:w="449" w:type="pct"/>
            <w:noWrap w:val="0"/>
            <w:vAlign w:val="center"/>
          </w:tcPr>
          <w:p>
            <w:pPr>
              <w:widowControl/>
              <w:jc w:val="center"/>
              <w:rPr>
                <w:rFonts w:hint="default" w:eastAsia="宋体"/>
                <w:kern w:val="0"/>
                <w:sz w:val="24"/>
                <w:lang w:val="en-US" w:eastAsia="zh-CN"/>
              </w:rPr>
            </w:pPr>
            <w:r>
              <w:rPr>
                <w:rFonts w:hint="eastAsia"/>
                <w:kern w:val="0"/>
                <w:sz w:val="24"/>
                <w:lang w:val="en-US" w:eastAsia="zh-CN"/>
              </w:rPr>
              <w:t>21100247.00J01-1</w:t>
            </w:r>
          </w:p>
        </w:tc>
        <w:tc>
          <w:tcPr>
            <w:tcW w:w="238" w:type="pct"/>
            <w:noWrap w:val="0"/>
            <w:vAlign w:val="center"/>
          </w:tcPr>
          <w:p>
            <w:pPr>
              <w:widowControl/>
              <w:jc w:val="center"/>
              <w:rPr>
                <w:kern w:val="0"/>
                <w:sz w:val="24"/>
              </w:rPr>
            </w:pPr>
            <w:r>
              <w:rPr>
                <w:rFonts w:hint="eastAsia"/>
                <w:kern w:val="0"/>
                <w:sz w:val="24"/>
              </w:rPr>
              <w:t>m</w:t>
            </w:r>
          </w:p>
        </w:tc>
        <w:tc>
          <w:tcPr>
            <w:tcW w:w="401" w:type="pct"/>
            <w:noWrap w:val="0"/>
            <w:vAlign w:val="center"/>
          </w:tcPr>
          <w:p>
            <w:pPr>
              <w:widowControl/>
              <w:jc w:val="center"/>
            </w:pPr>
            <w:r>
              <w:rPr>
                <w:rFonts w:hint="eastAsia"/>
                <w:lang w:val="en-US" w:eastAsia="zh-CN"/>
              </w:rPr>
              <w:t>20</w:t>
            </w:r>
            <w:r>
              <w:rPr>
                <w:rFonts w:hint="eastAsia"/>
              </w:rPr>
              <w:t>00</w:t>
            </w:r>
          </w:p>
        </w:tc>
        <w:tc>
          <w:tcPr>
            <w:tcW w:w="3151" w:type="pct"/>
            <w:noWrap w:val="0"/>
            <w:vAlign w:val="top"/>
          </w:tcPr>
          <w:p>
            <w:r>
              <w:rPr>
                <w:rFonts w:hint="eastAsia"/>
                <w:lang w:val="en-US" w:eastAsia="zh-CN"/>
              </w:rPr>
              <w:t>拦标价：70元/m。</w:t>
            </w:r>
            <w:r>
              <w:t>包含</w:t>
            </w:r>
            <w:r>
              <w:rPr>
                <w:rFonts w:hint="eastAsia"/>
                <w:lang w:val="en-US" w:eastAsia="zh-CN"/>
              </w:rPr>
              <w:t>测量放点、工程地质测绘、勘探取样、原位测试、编制报告与</w:t>
            </w:r>
            <w:r>
              <w:t>后期验槽、验孔、</w:t>
            </w:r>
            <w:r>
              <w:rPr>
                <w:rFonts w:hint="eastAsia" w:ascii="宋体" w:hAnsi="宋体" w:eastAsia="宋体" w:cs="宋体"/>
                <w:i w:val="0"/>
                <w:iCs w:val="0"/>
                <w:color w:val="000000"/>
                <w:kern w:val="0"/>
                <w:sz w:val="21"/>
                <w:szCs w:val="21"/>
                <w:u w:val="none"/>
                <w:lang w:val="en-US" w:eastAsia="zh-CN" w:bidi="ar"/>
              </w:rPr>
              <w:t>等工序的人工费、材料费、机械费、水电费、税金等所有费用</w:t>
            </w:r>
            <w:r>
              <w:rPr>
                <w:rFonts w:hint="eastAsia"/>
                <w:color w:val="000000"/>
                <w:kern w:val="0"/>
                <w:szCs w:val="21"/>
              </w:rPr>
              <w:t>（按孔深延长米计算）</w:t>
            </w:r>
            <w:r>
              <w:rPr>
                <w:rFonts w:hint="eastAsia"/>
                <w:color w:val="000000"/>
                <w:kern w:val="0"/>
                <w:szCs w:val="21"/>
                <w:lang w:eastAsia="zh-CN"/>
              </w:rPr>
              <w:t>。</w:t>
            </w:r>
            <w:r>
              <w:rPr>
                <w:rFonts w:hint="eastAsia"/>
              </w:rPr>
              <w:t>以及</w:t>
            </w:r>
            <w:r>
              <w:t>因为场地限制造成设备人员窝工或需多次发生的搬迁、运输、安装等产生的额外费用。</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2"/>
  </w:num>
  <w:num w:numId="4">
    <w:abstractNumId w:val="5"/>
  </w:num>
  <w:num w:numId="5">
    <w:abstractNumId w:val="8"/>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0D80BE1"/>
    <w:rsid w:val="51233318"/>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E85B48"/>
    <w:rsid w:val="68BB783B"/>
    <w:rsid w:val="6998730F"/>
    <w:rsid w:val="6BD56C79"/>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2021-11-16T01:07:54Z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