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修建部顶管二期与打包机车间安装工程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12002JHLGSBJGC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修建部顶管二期与打包机车间安装工程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w:t>
      </w:r>
      <w:r>
        <w:rPr>
          <w:rFonts w:hint="eastAsia" w:ascii="宋体" w:hAnsi="宋体"/>
          <w:bCs/>
          <w:color w:val="FF0000"/>
          <w:sz w:val="24"/>
          <w:szCs w:val="24"/>
          <w:u w:val="none"/>
          <w:lang w:eastAsia="zh-CN"/>
        </w:rPr>
        <w:t>资质</w:t>
      </w:r>
      <w:r>
        <w:rPr>
          <w:rFonts w:hint="eastAsia" w:ascii="宋体" w:hAnsi="宋体"/>
          <w:bCs/>
          <w:color w:val="FF0000"/>
          <w:sz w:val="24"/>
          <w:szCs w:val="24"/>
          <w:u w:val="none"/>
          <w:lang w:val="en-US" w:eastAsia="zh-CN"/>
        </w:rPr>
        <w:t>证书</w:t>
      </w:r>
      <w:r>
        <w:rPr>
          <w:rFonts w:hint="eastAsia" w:ascii="宋体" w:hAnsi="宋体"/>
          <w:bCs/>
          <w:color w:val="FF0000"/>
          <w:sz w:val="24"/>
          <w:szCs w:val="24"/>
          <w:highlight w:val="none"/>
        </w:rPr>
        <w:t>。</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p>
    <w:p>
      <w:pPr>
        <w:widowControl/>
        <w:shd w:val="clear" w:color="auto" w:fill="FFFFFF"/>
        <w:spacing w:line="440" w:lineRule="exact"/>
        <w:ind w:left="482"/>
        <w:rPr>
          <w:rFonts w:ascii="宋体" w:hAnsi="宋体" w:eastAsia="宋体" w:cs="宋体"/>
          <w:bCs/>
          <w:color w:val="FF0000"/>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bookmarkStart w:id="3" w:name="_GoBack"/>
      <w:bookmarkEnd w:id="3"/>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r>
        <w:rPr>
          <w:rFonts w:hint="eastAsia" w:ascii="宋体" w:hAnsi="宋体" w:eastAsia="宋体" w:cs="宋体"/>
          <w:bCs/>
          <w:color w:val="FF0000"/>
          <w:kern w:val="0"/>
          <w:sz w:val="24"/>
          <w:szCs w:val="24"/>
        </w:rPr>
        <w:t>，</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修建部顶管二期与打包机车间安装工程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        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修建部顶管二期与打包机车间安装工程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修建部顶管二期与打包机车间安装工程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15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numPr>
          <w:ilvl w:val="0"/>
          <w:numId w:val="0"/>
        </w:numPr>
        <w:spacing w:line="360" w:lineRule="auto"/>
        <w:ind w:leftChars="0"/>
        <w:rPr>
          <w:rFonts w:hint="eastAsia" w:ascii="宋体" w:hAnsi="宋体"/>
        </w:rPr>
      </w:pPr>
      <w:r>
        <w:rPr>
          <w:rFonts w:hint="eastAsia" w:ascii="宋体" w:hAnsi="宋体"/>
          <w:lang w:val="en-US" w:eastAsia="zh-CN"/>
        </w:rPr>
        <w:t xml:space="preserve">2.1 </w:t>
      </w:r>
      <w:r>
        <w:rPr>
          <w:rFonts w:hint="eastAsia" w:ascii="宋体" w:hAnsi="宋体"/>
          <w:lang w:eastAsia="zh-CN"/>
        </w:rPr>
        <w:t>修建部顶管二期车间安装工程，包括钢架、墙柱、檩条、檩托、栏杆、走道平台、墙梁、天沟、拉条等钢构制安，</w:t>
      </w:r>
      <w:r>
        <w:rPr>
          <w:rFonts w:hint="eastAsia" w:ascii="宋体" w:hAnsi="宋体"/>
          <w:lang w:val="en-US" w:eastAsia="zh-CN"/>
        </w:rPr>
        <w:t>钢轨安装，彩钢瓦、采光瓦、门窗、成品天窗安装，配套电气安装</w:t>
      </w:r>
      <w:r>
        <w:rPr>
          <w:rFonts w:hint="eastAsia" w:ascii="宋体" w:hAnsi="宋体"/>
        </w:rPr>
        <w:t>等全部工程量。</w:t>
      </w:r>
    </w:p>
    <w:p>
      <w:pPr>
        <w:numPr>
          <w:ilvl w:val="0"/>
          <w:numId w:val="0"/>
        </w:numPr>
        <w:spacing w:line="360" w:lineRule="auto"/>
        <w:ind w:leftChars="0"/>
        <w:rPr>
          <w:rFonts w:hint="eastAsia" w:ascii="宋体" w:hAnsi="宋体"/>
        </w:rPr>
      </w:pPr>
      <w:r>
        <w:rPr>
          <w:rFonts w:hint="eastAsia" w:ascii="宋体" w:hAnsi="宋体"/>
          <w:lang w:val="en-US" w:eastAsia="zh-CN"/>
        </w:rPr>
        <w:t xml:space="preserve">2.2 </w:t>
      </w:r>
      <w:r>
        <w:rPr>
          <w:rFonts w:hint="eastAsia" w:ascii="宋体" w:hAnsi="宋体"/>
          <w:lang w:eastAsia="zh-CN"/>
        </w:rPr>
        <w:t>修建部打包机车间安装工程，包括钢架、墙柱、檩条、檩托、栏杆、走道平台、墙梁、天沟、拉条等钢构制安，</w:t>
      </w:r>
      <w:r>
        <w:rPr>
          <w:rFonts w:hint="eastAsia" w:ascii="宋体" w:hAnsi="宋体"/>
          <w:lang w:val="en-US" w:eastAsia="zh-CN"/>
        </w:rPr>
        <w:t>钢轨安装，彩钢瓦、采光瓦、门窗、成品天窗安装，配套电气安装</w:t>
      </w:r>
      <w:r>
        <w:rPr>
          <w:rFonts w:hint="eastAsia" w:ascii="宋体" w:hAnsi="宋体"/>
        </w:rPr>
        <w:t>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eastAsia="zh-CN"/>
        </w:rPr>
      </w:pPr>
      <w:r>
        <w:rPr>
          <w:rFonts w:hint="eastAsia" w:ascii="宋体" w:hAnsi="宋体"/>
          <w:lang w:eastAsia="zh-CN"/>
        </w:rPr>
        <w:t>开工日期： 2021-</w:t>
      </w:r>
      <w:r>
        <w:rPr>
          <w:rFonts w:hint="eastAsia" w:ascii="宋体" w:hAnsi="宋体"/>
          <w:lang w:val="en-US" w:eastAsia="zh-CN"/>
        </w:rPr>
        <w:t>12</w:t>
      </w:r>
      <w:r>
        <w:rPr>
          <w:rFonts w:hint="eastAsia" w:ascii="宋体" w:hAnsi="宋体"/>
          <w:lang w:eastAsia="zh-CN"/>
        </w:rPr>
        <w:t>-</w:t>
      </w:r>
      <w:r>
        <w:rPr>
          <w:rFonts w:hint="eastAsia" w:ascii="宋体" w:hAnsi="宋体"/>
          <w:lang w:val="en-US" w:eastAsia="zh-CN"/>
        </w:rPr>
        <w:t>29</w:t>
      </w:r>
      <w:r>
        <w:rPr>
          <w:rFonts w:hint="eastAsia" w:ascii="宋体" w:hAnsi="宋体"/>
          <w:lang w:eastAsia="zh-CN"/>
        </w:rPr>
        <w:t xml:space="preserve">         （暂定）                                          </w:t>
      </w:r>
    </w:p>
    <w:p>
      <w:pPr>
        <w:numPr>
          <w:ilvl w:val="0"/>
          <w:numId w:val="0"/>
        </w:numPr>
        <w:spacing w:line="360" w:lineRule="auto"/>
        <w:ind w:leftChars="0"/>
        <w:rPr>
          <w:rFonts w:hint="eastAsia" w:ascii="宋体" w:hAnsi="宋体"/>
          <w:lang w:eastAsia="zh-CN"/>
        </w:rPr>
      </w:pPr>
      <w:r>
        <w:rPr>
          <w:rFonts w:hint="eastAsia" w:ascii="宋体" w:hAnsi="宋体"/>
          <w:lang w:eastAsia="zh-CN"/>
        </w:rPr>
        <w:t>竣工日期： 202</w:t>
      </w:r>
      <w:r>
        <w:rPr>
          <w:rFonts w:hint="eastAsia" w:ascii="宋体" w:hAnsi="宋体"/>
          <w:lang w:val="en-US" w:eastAsia="zh-CN"/>
        </w:rPr>
        <w:t>2</w:t>
      </w:r>
      <w:r>
        <w:rPr>
          <w:rFonts w:hint="eastAsia" w:ascii="宋体" w:hAnsi="宋体"/>
          <w:lang w:eastAsia="zh-CN"/>
        </w:rPr>
        <w:t>-</w:t>
      </w:r>
      <w:r>
        <w:rPr>
          <w:rFonts w:hint="eastAsia" w:ascii="宋体" w:hAnsi="宋体"/>
          <w:lang w:val="en-US" w:eastAsia="zh-CN"/>
        </w:rPr>
        <w:t>03</w:t>
      </w:r>
      <w:r>
        <w:rPr>
          <w:rFonts w:hint="eastAsia" w:ascii="宋体" w:hAnsi="宋体"/>
          <w:lang w:eastAsia="zh-CN"/>
        </w:rPr>
        <w:t>-</w:t>
      </w:r>
      <w:r>
        <w:rPr>
          <w:rFonts w:hint="eastAsia" w:ascii="宋体" w:hAnsi="宋体"/>
          <w:lang w:val="en-US" w:eastAsia="zh-CN"/>
        </w:rPr>
        <w:t>19</w:t>
      </w:r>
      <w:r>
        <w:rPr>
          <w:rFonts w:hint="eastAsia" w:ascii="宋体" w:hAnsi="宋体"/>
          <w:lang w:eastAsia="zh-CN"/>
        </w:rPr>
        <w:t xml:space="preserve">                                                       </w:t>
      </w:r>
    </w:p>
    <w:p>
      <w:pPr>
        <w:numPr>
          <w:ilvl w:val="0"/>
          <w:numId w:val="0"/>
        </w:numPr>
        <w:spacing w:line="360" w:lineRule="auto"/>
        <w:ind w:leftChars="0"/>
        <w:rPr>
          <w:rFonts w:hint="eastAsia" w:ascii="宋体" w:hAnsi="宋体"/>
          <w:lang w:eastAsia="zh-CN"/>
        </w:rPr>
      </w:pPr>
      <w:r>
        <w:rPr>
          <w:rFonts w:hint="eastAsia" w:ascii="宋体" w:hAnsi="宋体"/>
          <w:lang w:eastAsia="zh-CN"/>
        </w:rPr>
        <w:t xml:space="preserve">合同工期总日历天数 </w:t>
      </w:r>
      <w:r>
        <w:rPr>
          <w:rFonts w:hint="eastAsia" w:ascii="宋体" w:hAnsi="宋体"/>
          <w:lang w:val="en-US" w:eastAsia="zh-CN"/>
        </w:rPr>
        <w:t>8</w:t>
      </w:r>
      <w:r>
        <w:rPr>
          <w:rFonts w:hint="eastAsia" w:ascii="宋体" w:hAnsi="宋体"/>
          <w:lang w:eastAsia="zh-CN"/>
        </w:rPr>
        <w:t>0 天</w:t>
      </w:r>
      <w:r>
        <w:rPr>
          <w:rFonts w:hint="eastAsia" w:ascii="宋体" w:hAnsi="宋体"/>
          <w:lang w:val="en-US" w:eastAsia="zh-CN"/>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w:t>
      </w:r>
      <w:r>
        <w:rPr>
          <w:rFonts w:hint="eastAsia" w:ascii="宋体" w:hAnsi="宋体" w:eastAsiaTheme="minorEastAsia" w:cstheme="minorBidi"/>
          <w:color w:val="FF0000"/>
          <w:kern w:val="2"/>
          <w:sz w:val="21"/>
          <w:szCs w:val="22"/>
          <w:lang w:val="en-US" w:eastAsia="zh-CN" w:bidi="ar-SA"/>
        </w:rPr>
        <w:t>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bCs/>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14.</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lang w:val="en-US" w:eastAsia="zh-CN"/>
        </w:rPr>
        <w:t>伍</w:t>
      </w:r>
      <w:r>
        <w:rPr>
          <w:rFonts w:hint="eastAsia" w:ascii="宋体" w:hAnsi="宋体" w:cs="宋体"/>
          <w:color w:val="FF0000"/>
        </w:rPr>
        <w:t>仟圆整（¥：</w:t>
      </w:r>
      <w:r>
        <w:rPr>
          <w:rFonts w:hint="eastAsia" w:ascii="宋体" w:hAnsi="宋体" w:cs="宋体"/>
          <w:color w:val="FF0000"/>
          <w:lang w:val="en-US" w:eastAsia="zh-CN"/>
        </w:rPr>
        <w:t>5</w:t>
      </w:r>
      <w:r>
        <w:rPr>
          <w:rFonts w:hint="eastAsia" w:ascii="宋体" w:hAnsi="宋体" w:cs="宋体"/>
          <w:color w:val="FF0000"/>
        </w:rPr>
        <w:t>0</w:t>
      </w:r>
      <w:r>
        <w:rPr>
          <w:rFonts w:hint="eastAsia" w:ascii="宋体" w:hAnsi="宋体" w:cs="宋体"/>
          <w:color w:val="FF0000"/>
          <w:lang w:val="en-US" w:eastAsia="zh-CN"/>
        </w:rPr>
        <w:t>0</w:t>
      </w:r>
      <w:r>
        <w:rPr>
          <w:rFonts w:hint="eastAsia" w:ascii="宋体" w:hAnsi="宋体" w:cs="宋体"/>
          <w:color w:val="FF0000"/>
        </w:rPr>
        <w:t>0元整）</w:t>
      </w:r>
      <w:r>
        <w:rPr>
          <w:rFonts w:hint="eastAsia" w:ascii="宋体" w:hAnsi="宋体" w:cs="宋体"/>
        </w:rPr>
        <w:t>。竣工工期每延误1天，承包人向发包人支付违约金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FF0000"/>
          <w:lang w:val="en-US" w:eastAsia="zh-CN"/>
        </w:rPr>
        <w:t>10</w:t>
      </w:r>
      <w:r>
        <w:rPr>
          <w:rFonts w:hint="eastAsia" w:ascii="宋体" w:hAnsi="宋体" w:cs="宋体"/>
          <w:color w:val="FF0000"/>
        </w:rPr>
        <w:t>000元整）</w:t>
      </w:r>
      <w:r>
        <w:rPr>
          <w:rFonts w:hint="eastAsia" w:ascii="宋体" w:hAnsi="宋体" w:cs="宋体"/>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00" w:lineRule="auto"/>
        <w:rPr>
          <w:rFonts w:hint="eastAsia" w:ascii="宋体" w:hAnsi="宋体" w:cs="宋体"/>
          <w:color w:val="000000"/>
          <w:lang w:eastAsia="zh-CN"/>
        </w:rPr>
      </w:pPr>
      <w:r>
        <w:rPr>
          <w:rFonts w:hint="eastAsia" w:ascii="宋体" w:hAnsi="宋体" w:cs="宋体"/>
          <w:color w:val="000000"/>
        </w:rPr>
        <w:t>2．双方约定的工程款（进度款）支付的方式：本工程无预付款</w:t>
      </w:r>
      <w:r>
        <w:rPr>
          <w:rFonts w:hint="eastAsia" w:ascii="宋体" w:hAnsi="宋体" w:cs="宋体"/>
          <w:color w:val="000000"/>
          <w:lang w:eastAsia="zh-CN"/>
        </w:rPr>
        <w:t>；焦化煤一路</w:t>
      </w:r>
      <w:r>
        <w:rPr>
          <w:rFonts w:hint="eastAsia" w:ascii="宋体" w:hAnsi="宋体" w:cs="宋体"/>
          <w:color w:val="000000"/>
        </w:rPr>
        <w:t>发包人次月按审定的上月进度的70%支付承包人工程款，付款前提供等额增值税专用发票</w:t>
      </w:r>
      <w:r>
        <w:rPr>
          <w:rFonts w:hint="eastAsia" w:ascii="宋体" w:hAnsi="宋体" w:cs="宋体"/>
          <w:color w:val="000000"/>
          <w:lang w:eastAsia="zh-CN"/>
        </w:rPr>
        <w:t>；焦化干雾抑尘设备间</w:t>
      </w:r>
      <w:r>
        <w:rPr>
          <w:rFonts w:hint="eastAsia" w:ascii="宋体" w:hAnsi="宋体" w:cs="宋体"/>
          <w:color w:val="000000"/>
        </w:rPr>
        <w:t>工程完工后付至已完工程量的 70%，付款前提供等额增值税专用发票</w:t>
      </w:r>
      <w:r>
        <w:rPr>
          <w:rFonts w:hint="eastAsia" w:ascii="宋体" w:hAnsi="宋体" w:cs="宋体"/>
          <w:color w:val="000000"/>
          <w:lang w:eastAsia="zh-CN"/>
        </w:rPr>
        <w:t>；炼钢干雾抑尘设备间：</w:t>
      </w:r>
      <w:r>
        <w:rPr>
          <w:rFonts w:hint="eastAsia" w:ascii="宋体" w:hAnsi="宋体" w:cs="宋体"/>
          <w:color w:val="000000"/>
        </w:rPr>
        <w:t>工程完工后付至已完工程量的 70%，付款前提供等额增值税专用发票</w:t>
      </w:r>
      <w:r>
        <w:rPr>
          <w:rFonts w:hint="eastAsia" w:ascii="宋体" w:hAnsi="宋体" w:cs="宋体"/>
          <w:color w:val="000000"/>
          <w:lang w:eastAsia="zh-CN"/>
        </w:rPr>
        <w:t>。</w:t>
      </w:r>
    </w:p>
    <w:p>
      <w:pPr>
        <w:spacing w:line="300" w:lineRule="auto"/>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00" w:lineRule="auto"/>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eastAsia="zh-CN"/>
        </w:rPr>
        <w:t>修建部顶管二期与打包机车间安装</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4743" w:type="pct"/>
        <w:tblInd w:w="0" w:type="dxa"/>
        <w:tblLayout w:type="fixed"/>
        <w:tblCellMar>
          <w:top w:w="0" w:type="dxa"/>
          <w:left w:w="108" w:type="dxa"/>
          <w:bottom w:w="0" w:type="dxa"/>
          <w:right w:w="108" w:type="dxa"/>
        </w:tblCellMar>
      </w:tblPr>
      <w:tblGrid>
        <w:gridCol w:w="673"/>
        <w:gridCol w:w="1688"/>
        <w:gridCol w:w="696"/>
        <w:gridCol w:w="799"/>
        <w:gridCol w:w="1226"/>
        <w:gridCol w:w="1432"/>
        <w:gridCol w:w="7902"/>
      </w:tblGrid>
      <w:tr>
        <w:tblPrEx>
          <w:tblCellMar>
            <w:top w:w="0" w:type="dxa"/>
            <w:left w:w="108" w:type="dxa"/>
            <w:bottom w:w="0" w:type="dxa"/>
            <w:right w:w="108" w:type="dxa"/>
          </w:tblCellMar>
        </w:tblPrEx>
        <w:trPr>
          <w:trHeight w:val="560" w:hRule="atLeas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6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7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工程量</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4"/>
                <w:szCs w:val="24"/>
                <w:u w:val="none"/>
                <w:lang w:val="en-US" w:eastAsia="zh-CN" w:bidi="ar"/>
              </w:rPr>
              <w:t>拦标价</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报价</w:t>
            </w:r>
          </w:p>
        </w:tc>
        <w:tc>
          <w:tcPr>
            <w:tcW w:w="79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rPr>
          <w:trHeight w:val="383" w:hRule="atLeast"/>
        </w:trPr>
        <w:tc>
          <w:tcPr>
            <w:tcW w:w="1441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733" w:hRule="atLeast"/>
        </w:trPr>
        <w:tc>
          <w:tcPr>
            <w:tcW w:w="673"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弧形成品天窗安装（3.5m喉口，高度2.85m）</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225</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2800元/m</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w:t>
            </w:r>
          </w:p>
        </w:tc>
        <w:tc>
          <w:tcPr>
            <w:tcW w:w="7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733" w:hRule="atLeast"/>
        </w:trPr>
        <w:tc>
          <w:tcPr>
            <w:tcW w:w="673"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钢结构制安</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t</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680</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11300元/t</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元/t</w:t>
            </w:r>
          </w:p>
        </w:tc>
        <w:tc>
          <w:tcPr>
            <w:tcW w:w="7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钢架、墙柱、檩条、檩托、栏杆、走道平台、墙梁、天沟、拉条等所有钢构制安，包括卸车、运输、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491" w:hRule="atLeast"/>
        </w:trPr>
        <w:tc>
          <w:tcPr>
            <w:tcW w:w="673"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钢轨</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684</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450元/m</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w:t>
            </w:r>
          </w:p>
        </w:tc>
        <w:tc>
          <w:tcPr>
            <w:tcW w:w="7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包括轨道、压轨器等卸车、运输、倒运、安装等涉及的全部工序及人工费、机械费、材料费、措施费、不可竞争费、税金、水电费等全部费用。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507"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4</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u w:val="single"/>
              </w:rPr>
            </w:pPr>
            <w:r>
              <w:rPr>
                <w:rFonts w:hint="eastAsia" w:ascii="宋体" w:hAnsi="宋体" w:eastAsia="宋体" w:cs="宋体"/>
                <w:i w:val="0"/>
                <w:iCs w:val="0"/>
                <w:color w:val="000000"/>
                <w:kern w:val="0"/>
                <w:sz w:val="21"/>
                <w:szCs w:val="21"/>
                <w:u w:val="none"/>
                <w:lang w:val="en-US" w:eastAsia="zh-CN" w:bidi="ar"/>
              </w:rPr>
              <w:t>彩钢瓦安装</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m2</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7230</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90元/m2</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元/m2</w:t>
            </w:r>
          </w:p>
        </w:tc>
        <w:tc>
          <w:tcPr>
            <w:tcW w:w="7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80"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采光瓦安装</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m2</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789</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90元/m2</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元/m2</w:t>
            </w:r>
          </w:p>
        </w:tc>
        <w:tc>
          <w:tcPr>
            <w:tcW w:w="7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336" w:hRule="atLeast"/>
        </w:trPr>
        <w:tc>
          <w:tcPr>
            <w:tcW w:w="1441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588"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暂估金额800000元</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优惠</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7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3360" w:firstLineChars="1400"/>
        <w:jc w:val="both"/>
        <w:rPr>
          <w:rFonts w:hint="default" w:ascii="宋体" w:hAnsi="宋体" w:cs="宋体" w:eastAsiaTheme="minorEastAsia"/>
          <w:sz w:val="24"/>
          <w:szCs w:val="24"/>
          <w:lang w:val="en-US" w:eastAsia="zh-CN"/>
        </w:rPr>
      </w:pPr>
      <w:r>
        <w:rPr>
          <w:rFonts w:hint="eastAsia" w:ascii="宋体" w:hAnsi="宋体" w:cs="宋体"/>
          <w:sz w:val="24"/>
          <w:szCs w:val="24"/>
        </w:rPr>
        <w:t>注</w:t>
      </w:r>
      <w:r>
        <w:rPr>
          <w:rFonts w:hint="eastAsia" w:ascii="宋体" w:hAnsi="宋体" w:cs="宋体"/>
          <w:sz w:val="24"/>
          <w:szCs w:val="24"/>
          <w:lang w:val="en-US" w:eastAsia="zh-CN"/>
        </w:rPr>
        <w:t xml:space="preserve">                                                                                                                                                  </w:t>
      </w: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sz w:val="24"/>
          <w:szCs w:val="24"/>
          <w:lang w:val="en-US" w:eastAsia="zh-CN"/>
        </w:rPr>
      </w:pPr>
      <w:r>
        <w:rPr>
          <w:rFonts w:hint="eastAsia" w:ascii="宋体" w:hAnsi="宋体" w:cs="宋体"/>
          <w:sz w:val="24"/>
          <w:szCs w:val="24"/>
        </w:rPr>
        <w:t>注</w:t>
      </w:r>
      <w:r>
        <w:rPr>
          <w:rFonts w:hint="eastAsia" w:ascii="宋体" w:hAnsi="宋体" w:cs="宋体"/>
          <w:sz w:val="24"/>
          <w:szCs w:val="24"/>
          <w:lang w:val="en-US" w:eastAsia="zh-CN"/>
        </w:rPr>
        <w:t xml:space="preserve">                                                     </w:t>
      </w:r>
    </w:p>
    <w:p>
      <w:pPr>
        <w:pStyle w:val="2"/>
        <w:widowControl w:val="0"/>
        <w:numPr>
          <w:ilvl w:val="0"/>
          <w:numId w:val="0"/>
        </w:numPr>
        <w:spacing w:after="120"/>
        <w:ind w:firstLine="3360" w:firstLineChars="1400"/>
        <w:jc w:val="both"/>
        <w:rPr>
          <w:rFonts w:hint="eastAsia" w:ascii="宋体" w:hAnsi="宋体" w:cs="宋体"/>
          <w:sz w:val="24"/>
          <w:szCs w:val="24"/>
          <w:lang w:val="en-US" w:eastAsia="zh-CN"/>
        </w:rPr>
      </w:pPr>
    </w:p>
    <w:p>
      <w:pPr>
        <w:pStyle w:val="2"/>
        <w:widowControl w:val="0"/>
        <w:numPr>
          <w:ilvl w:val="0"/>
          <w:numId w:val="0"/>
        </w:numPr>
        <w:spacing w:after="120"/>
        <w:ind w:firstLine="3360" w:firstLineChars="1400"/>
        <w:jc w:val="both"/>
        <w:rPr>
          <w:rFonts w:hint="eastAsia" w:ascii="宋体" w:hAnsi="宋体" w:cs="宋体"/>
          <w:sz w:val="24"/>
          <w:szCs w:val="24"/>
          <w:lang w:val="en-US" w:eastAsia="zh-CN"/>
        </w:rPr>
      </w:pPr>
    </w:p>
    <w:p>
      <w:pPr>
        <w:pStyle w:val="2"/>
        <w:widowControl w:val="0"/>
        <w:numPr>
          <w:ilvl w:val="0"/>
          <w:numId w:val="0"/>
        </w:numPr>
        <w:spacing w:after="120"/>
        <w:ind w:firstLine="3360" w:firstLineChars="1400"/>
        <w:jc w:val="both"/>
        <w:rPr>
          <w:rFonts w:hint="eastAsia" w:ascii="宋体" w:hAnsi="宋体" w:cs="宋体"/>
          <w:sz w:val="24"/>
          <w:szCs w:val="24"/>
          <w:lang w:val="en-US" w:eastAsia="zh-CN"/>
        </w:rPr>
      </w:pPr>
    </w:p>
    <w:p>
      <w:pPr>
        <w:pStyle w:val="2"/>
        <w:widowControl w:val="0"/>
        <w:numPr>
          <w:ilvl w:val="0"/>
          <w:numId w:val="0"/>
        </w:numPr>
        <w:spacing w:after="120"/>
        <w:ind w:firstLine="3360" w:firstLineChars="1400"/>
        <w:jc w:val="both"/>
        <w:rPr>
          <w:rFonts w:hint="eastAsia" w:ascii="宋体" w:hAnsi="宋体" w:cs="宋体"/>
          <w:sz w:val="24"/>
          <w:szCs w:val="24"/>
          <w:lang w:val="en-US" w:eastAsia="zh-CN"/>
        </w:rPr>
      </w:pPr>
    </w:p>
    <w:p>
      <w:pPr>
        <w:pStyle w:val="2"/>
        <w:widowControl w:val="0"/>
        <w:numPr>
          <w:ilvl w:val="0"/>
          <w:numId w:val="0"/>
        </w:numPr>
        <w:spacing w:after="120"/>
        <w:ind w:firstLine="3360" w:firstLineChars="1400"/>
        <w:jc w:val="both"/>
        <w:rPr>
          <w:rFonts w:hint="eastAsia" w:ascii="宋体" w:hAnsi="宋体" w:cs="宋体"/>
          <w:sz w:val="24"/>
          <w:szCs w:val="24"/>
          <w:lang w:val="en-US" w:eastAsia="zh-CN"/>
        </w:rPr>
      </w:pPr>
    </w:p>
    <w:p>
      <w:pPr>
        <w:pStyle w:val="2"/>
        <w:widowControl w:val="0"/>
        <w:numPr>
          <w:ilvl w:val="0"/>
          <w:numId w:val="0"/>
        </w:numPr>
        <w:spacing w:after="120"/>
        <w:ind w:firstLine="3360" w:firstLineChars="1400"/>
        <w:jc w:val="both"/>
        <w:rPr>
          <w:rFonts w:hint="eastAsia" w:ascii="宋体" w:hAnsi="宋体" w:cs="宋体" w:eastAsiaTheme="minorEastAsia"/>
          <w:b/>
          <w:sz w:val="24"/>
          <w:szCs w:val="24"/>
          <w:lang w:eastAsia="zh-CN"/>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r>
        <w:rPr>
          <w:rFonts w:hint="eastAsia"/>
          <w:sz w:val="24"/>
          <w:szCs w:val="24"/>
          <w:lang w:eastAsia="zh-CN"/>
        </w:rPr>
        <w:t>。</w:t>
      </w:r>
    </w:p>
    <w:p>
      <w:pPr>
        <w:pStyle w:val="2"/>
        <w:widowControl w:val="0"/>
        <w:numPr>
          <w:ilvl w:val="0"/>
          <w:numId w:val="0"/>
        </w:numPr>
        <w:spacing w:after="120"/>
        <w:jc w:val="both"/>
        <w:rPr>
          <w:rFonts w:hint="eastAsia" w:ascii="宋体" w:hAnsi="宋体" w:cs="宋体"/>
          <w:b/>
          <w:sz w:val="24"/>
          <w:szCs w:val="24"/>
        </w:rPr>
      </w:pP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5397436"/>
    <w:rsid w:val="19FE21FC"/>
    <w:rsid w:val="1A231135"/>
    <w:rsid w:val="1DC136C9"/>
    <w:rsid w:val="1F1A46FD"/>
    <w:rsid w:val="214D2E1E"/>
    <w:rsid w:val="21F73AF2"/>
    <w:rsid w:val="22574413"/>
    <w:rsid w:val="23883F50"/>
    <w:rsid w:val="238D0771"/>
    <w:rsid w:val="23E07D8F"/>
    <w:rsid w:val="24C93CD8"/>
    <w:rsid w:val="24E835CF"/>
    <w:rsid w:val="282A37D0"/>
    <w:rsid w:val="2B7C00FD"/>
    <w:rsid w:val="31F67A47"/>
    <w:rsid w:val="326329B3"/>
    <w:rsid w:val="34481C4C"/>
    <w:rsid w:val="414F268B"/>
    <w:rsid w:val="466D1141"/>
    <w:rsid w:val="47614EF9"/>
    <w:rsid w:val="492349FE"/>
    <w:rsid w:val="4D1D2055"/>
    <w:rsid w:val="50CC09F9"/>
    <w:rsid w:val="52631A2B"/>
    <w:rsid w:val="529A772A"/>
    <w:rsid w:val="567534EE"/>
    <w:rsid w:val="59A06F0E"/>
    <w:rsid w:val="5D882CE0"/>
    <w:rsid w:val="5E1427BC"/>
    <w:rsid w:val="61B627A2"/>
    <w:rsid w:val="64A26E4D"/>
    <w:rsid w:val="66296C18"/>
    <w:rsid w:val="6903317D"/>
    <w:rsid w:val="6A440E91"/>
    <w:rsid w:val="6A715D94"/>
    <w:rsid w:val="6C3D30CE"/>
    <w:rsid w:val="6C7D1BC0"/>
    <w:rsid w:val="724E1F86"/>
    <w:rsid w:val="77676C2F"/>
    <w:rsid w:val="7E18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41"/>
    <w:basedOn w:val="14"/>
    <w:qFormat/>
    <w:uiPriority w:val="0"/>
    <w:rPr>
      <w:rFonts w:hint="eastAsia" w:ascii="宋体" w:hAnsi="宋体" w:eastAsia="宋体" w:cs="宋体"/>
      <w:color w:val="000000"/>
      <w:sz w:val="24"/>
      <w:szCs w:val="24"/>
      <w:u w:val="none"/>
    </w:rPr>
  </w:style>
  <w:style w:type="character" w:customStyle="1" w:styleId="35">
    <w:name w:val="font151"/>
    <w:basedOn w:val="14"/>
    <w:qFormat/>
    <w:uiPriority w:val="0"/>
    <w:rPr>
      <w:rFonts w:hint="default" w:ascii="Times New Roman" w:hAnsi="Times New Roman" w:cs="Times New Roman"/>
      <w:color w:val="000000"/>
      <w:sz w:val="24"/>
      <w:szCs w:val="24"/>
      <w:u w:val="none"/>
    </w:rPr>
  </w:style>
  <w:style w:type="character" w:customStyle="1" w:styleId="36">
    <w:name w:val="font31"/>
    <w:basedOn w:val="14"/>
    <w:qFormat/>
    <w:uiPriority w:val="0"/>
    <w:rPr>
      <w:rFonts w:hint="eastAsia" w:ascii="宋体" w:hAnsi="宋体" w:eastAsia="宋体" w:cs="宋体"/>
      <w:color w:val="000000"/>
      <w:sz w:val="21"/>
      <w:szCs w:val="21"/>
      <w:u w:val="none"/>
    </w:rPr>
  </w:style>
  <w:style w:type="character" w:customStyle="1" w:styleId="37">
    <w:name w:val="font201"/>
    <w:basedOn w:val="14"/>
    <w:qFormat/>
    <w:uiPriority w:val="0"/>
    <w:rPr>
      <w:rFonts w:hint="eastAsia" w:ascii="宋体" w:hAnsi="宋体" w:eastAsia="宋体" w:cs="宋体"/>
      <w:color w:val="000000"/>
      <w:sz w:val="24"/>
      <w:szCs w:val="24"/>
      <w:u w:val="single"/>
    </w:rPr>
  </w:style>
  <w:style w:type="character" w:customStyle="1" w:styleId="38">
    <w:name w:val="font181"/>
    <w:basedOn w:val="14"/>
    <w:qFormat/>
    <w:uiPriority w:val="0"/>
    <w:rPr>
      <w:rFonts w:hint="eastAsia" w:ascii="宋体" w:hAnsi="宋体" w:eastAsia="宋体" w:cs="宋体"/>
      <w:color w:val="000000"/>
      <w:sz w:val="24"/>
      <w:szCs w:val="24"/>
      <w:u w:val="none"/>
    </w:rPr>
  </w:style>
  <w:style w:type="character" w:customStyle="1" w:styleId="39">
    <w:name w:val="font171"/>
    <w:basedOn w:val="14"/>
    <w:qFormat/>
    <w:uiPriority w:val="0"/>
    <w:rPr>
      <w:rFonts w:hint="default" w:ascii="Times New Roman" w:hAnsi="Times New Roman" w:cs="Times New Roman"/>
      <w:color w:val="000000"/>
      <w:sz w:val="21"/>
      <w:szCs w:val="21"/>
      <w:u w:val="none"/>
    </w:rPr>
  </w:style>
  <w:style w:type="character" w:customStyle="1" w:styleId="40">
    <w:name w:val="font101"/>
    <w:basedOn w:val="14"/>
    <w:qFormat/>
    <w:uiPriority w:val="0"/>
    <w:rPr>
      <w:rFonts w:hint="eastAsia" w:ascii="宋体" w:hAnsi="宋体" w:eastAsia="宋体" w:cs="宋体"/>
      <w:color w:val="000000"/>
      <w:sz w:val="21"/>
      <w:szCs w:val="21"/>
      <w:u w:val="none"/>
    </w:rPr>
  </w:style>
  <w:style w:type="character" w:customStyle="1" w:styleId="41">
    <w:name w:val="font212"/>
    <w:basedOn w:val="1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200</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2021-11-26T09:07:50Z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