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炼钢部连铸定重定尺称重系统改造工程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炼钢部连铸定重定尺称重系统改造工程</w:t>
      </w:r>
      <w:r>
        <w:rPr>
          <w:rFonts w:hint="eastAsia" w:ascii="宋体" w:hAnsi="宋体"/>
          <w:color w:val="auto"/>
          <w:sz w:val="24"/>
          <w:szCs w:val="22"/>
          <w:lang w:val="en-US" w:eastAsia="zh-CN"/>
        </w:rPr>
        <w:t>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炼钢部连铸定重定尺称重系统改造工程</w:t>
      </w:r>
      <w:r>
        <w:rPr>
          <w:rFonts w:hint="eastAsia" w:ascii="宋体" w:hAnsi="宋体" w:cs="宋体"/>
          <w:color w:val="auto"/>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炼钢部连铸定重定尺称重系统改造工程项目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包含：设备安装约110t，利旧设备安装约15t，保护性拆除设备及钢结构约90t，钢梁拆除分解约10t，打孔预埋螺栓约48个，钢格板拆除、安装约60m2，电气安装</w:t>
      </w:r>
      <w:r>
        <w:rPr>
          <w:rFonts w:hint="eastAsia" w:ascii="宋体" w:hAnsi="宋体"/>
          <w:color w:val="auto"/>
        </w:rPr>
        <w:t>等</w:t>
      </w:r>
      <w:r>
        <w:rPr>
          <w:rFonts w:hint="eastAsia" w:ascii="宋体" w:hAnsi="宋体"/>
          <w:color w:val="auto"/>
          <w:lang w:eastAsia="zh-CN"/>
        </w:rPr>
        <w:t>工程量</w:t>
      </w:r>
      <w:r>
        <w:rPr>
          <w:rFonts w:hint="eastAsia" w:ascii="宋体" w:hAnsi="宋体"/>
          <w:color w:val="auto"/>
        </w:rPr>
        <w:t>。</w:t>
      </w:r>
      <w:r>
        <w:rPr>
          <w:rFonts w:hint="eastAsia" w:ascii="宋体" w:hAnsi="宋体"/>
          <w:color w:val="auto"/>
          <w:lang w:eastAsia="zh-CN"/>
        </w:rPr>
        <w:t>主体工程必须一连铸检修时间</w:t>
      </w:r>
      <w:r>
        <w:rPr>
          <w:rFonts w:hint="eastAsia" w:ascii="宋体" w:hAnsi="宋体"/>
          <w:color w:val="auto"/>
          <w:lang w:val="en-US" w:eastAsia="zh-CN"/>
        </w:rPr>
        <w:t>9天内完工。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29</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1</w:t>
      </w:r>
      <w:r>
        <w:rPr>
          <w:rFonts w:hint="eastAsia" w:ascii="宋体" w:hAnsi="宋体" w:cs="宋体"/>
          <w:color w:val="auto"/>
          <w:kern w:val="36"/>
        </w:rPr>
        <w:t>-</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20</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21</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该工程</w:t>
      </w:r>
      <w:r>
        <w:rPr>
          <w:rFonts w:hint="eastAsia" w:ascii="宋体" w:hAnsi="宋体" w:eastAsiaTheme="minorEastAsia" w:cstheme="minorBidi"/>
          <w:bCs/>
          <w:color w:val="FF0000"/>
          <w:kern w:val="2"/>
          <w:sz w:val="21"/>
          <w:szCs w:val="22"/>
          <w:lang w:val="en-US" w:eastAsia="zh-CN" w:bidi="ar-SA"/>
        </w:rPr>
        <w:t>所有材料由承包人提供</w:t>
      </w:r>
      <w:r>
        <w:rPr>
          <w:rFonts w:hint="eastAsia" w:ascii="宋体" w:hAnsi="宋体" w:eastAsiaTheme="minorEastAsia" w:cstheme="minorBidi"/>
          <w:bCs/>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bookmarkStart w:id="0" w:name="_Hlk67732197"/>
      <w:r>
        <w:rPr>
          <w:rFonts w:hint="eastAsia" w:ascii="宋体" w:hAnsi="宋体" w:eastAsiaTheme="minorEastAsia" w:cstheme="minorBidi"/>
          <w:bCs/>
          <w:color w:val="FF0000"/>
          <w:kern w:val="2"/>
          <w:sz w:val="21"/>
          <w:szCs w:val="22"/>
          <w:lang w:val="en-US" w:eastAsia="zh-CN" w:bidi="ar-SA"/>
        </w:rPr>
        <w:t>单价包干部分材料价差除钢材外不予调整，钢材价格以2021年第10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bCs/>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w:t>
      </w:r>
      <w:r>
        <w:rPr>
          <w:rFonts w:hint="eastAsia" w:ascii="宋体" w:hAnsi="宋体" w:cs="宋体" w:eastAsiaTheme="minorEastAsia"/>
          <w:color w:val="FF0000"/>
          <w:kern w:val="2"/>
          <w:sz w:val="21"/>
          <w:szCs w:val="22"/>
          <w:lang w:val="en-US" w:eastAsia="zh-CN" w:bidi="ar-SA"/>
        </w:rPr>
        <w:t>伍仟元整（¥：5000元整）</w:t>
      </w:r>
      <w:r>
        <w:rPr>
          <w:rFonts w:hint="eastAsia" w:ascii="宋体" w:hAnsi="宋体" w:cs="宋体" w:eastAsiaTheme="minorEastAsia"/>
          <w:color w:val="auto"/>
          <w:kern w:val="2"/>
          <w:sz w:val="21"/>
          <w:szCs w:val="22"/>
          <w:lang w:val="en-US" w:eastAsia="zh-CN" w:bidi="ar-SA"/>
        </w:rPr>
        <w:t>。竣工工期每延误1天，承包人向发包人支付违约金</w:t>
      </w:r>
      <w:r>
        <w:rPr>
          <w:rFonts w:hint="eastAsia" w:ascii="宋体" w:hAnsi="宋体" w:cs="宋体" w:eastAsiaTheme="minorEastAsia"/>
          <w:color w:val="FF0000"/>
          <w:kern w:val="2"/>
          <w:sz w:val="21"/>
          <w:szCs w:val="22"/>
          <w:lang w:val="en-US" w:eastAsia="zh-CN" w:bidi="ar-SA"/>
        </w:rPr>
        <w:t>壹万元整（¥：10000元整）</w:t>
      </w:r>
      <w:r>
        <w:rPr>
          <w:rFonts w:hint="eastAsia" w:ascii="宋体" w:hAnsi="宋体" w:cs="宋体" w:eastAsiaTheme="minorEastAsia"/>
          <w:color w:val="auto"/>
          <w:kern w:val="2"/>
          <w:sz w:val="21"/>
          <w:szCs w:val="22"/>
          <w:lang w:val="en-US" w:eastAsia="zh-CN" w:bidi="ar-SA"/>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工程完工后付至已完工程量的 70%，付款前提供等额增值税专用发票。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w:t>
      </w:r>
      <w:r>
        <w:rPr>
          <w:rFonts w:hint="eastAsia" w:ascii="宋体" w:hAnsi="宋体"/>
          <w:bCs/>
          <w:color w:val="auto"/>
          <w:lang w:eastAsia="zh-CN"/>
        </w:rPr>
        <w:t>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r>
        <w:rPr>
          <w:rFonts w:hint="eastAsia" w:eastAsiaTheme="minorEastAsia"/>
          <w:color w:val="auto"/>
          <w:lang w:eastAsia="zh-CN"/>
        </w:rPr>
        <w:drawing>
          <wp:inline distT="0" distB="0" distL="114300" distR="114300">
            <wp:extent cx="5276850" cy="3162935"/>
            <wp:effectExtent l="0" t="0" r="0" b="18415"/>
            <wp:docPr id="1" name="图片 1" descr="f77e69e28a915beb00f4fb8731ff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7e69e28a915beb00f4fb8731ff315"/>
                    <pic:cNvPicPr>
                      <a:picLocks noChangeAspect="1"/>
                    </pic:cNvPicPr>
                  </pic:nvPicPr>
                  <pic:blipFill>
                    <a:blip r:embed="rId5"/>
                    <a:stretch>
                      <a:fillRect/>
                    </a:stretch>
                  </pic:blipFill>
                  <pic:spPr>
                    <a:xfrm>
                      <a:off x="0" y="0"/>
                      <a:ext cx="5276850" cy="3162935"/>
                    </a:xfrm>
                    <a:prstGeom prst="rect">
                      <a:avLst/>
                    </a:prstGeom>
                  </pic:spPr>
                </pic:pic>
              </a:graphicData>
            </a:graphic>
          </wp:inline>
        </w:drawing>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485"/>
        <w:gridCol w:w="1200"/>
        <w:gridCol w:w="1020"/>
        <w:gridCol w:w="1560"/>
        <w:gridCol w:w="10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炼钢部连铸定重定尺称重系统改造工程报价单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利旧设备安装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bookmarkStart w:id="4" w:name="_GoBack"/>
            <w:bookmarkEnd w:id="4"/>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包括吹扫、倒运、检验、安装、调试、标识等涉及的全部工序及人工费、机械费、材料费、措施费、不可竞争费、税金、水电费等全部费用。（含润滑油管、冷却水系统安装）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保护性拆除设备及钢结构</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拆除、运输、倒运等涉及的全部工序及人工费、机械费、材料费、措施费、不可竞争费、税金、水电费等全部费用。（含辊道架、传动辊、传动装置、传动轴、万向联轴器、链条、燕尾槽、润滑系统、冷却水系统、零散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钢梁拆除分解</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包括拆除、分解成块（600mm以内）、运输、倒运等涉及的全部工序及人工费、机械费、材料费、措施费、不可竞争费、税金、水电费等全部费用。由施工现场送至芜湖新兴铸管厂内指定地点（以磅单为结算依据）</w:t>
            </w:r>
            <w:r>
              <w:rPr>
                <w:rFonts w:hint="eastAsia" w:ascii="宋体" w:hAnsi="宋体" w:eastAsia="宋体" w:cs="宋体"/>
                <w:i w:val="0"/>
                <w:iCs w:val="0"/>
                <w:color w:val="FF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打孔预埋螺栓</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包括卸车、运输、倒运、制作打眼、植筋、灌浆等涉及的全部工序及人工费、机械费、材料费、措施费、不可竞争费、税金、水电费等全部费用。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钢格板拆除、安装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包括保护性拆除、运输、倒运、安装等涉及的全部工序及人工费、机械费、材料费、措施费、不可竞争费、税金、水电费等全部费用。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 100000元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执行2018版安徽省建设工程计价定额及配套费用定额，材料费不参与总价优惠。措施费以签证形式据实计取，二次搬运费不计取。（含电气安装等）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91886"/>
      <w:bookmarkStart w:id="2" w:name="_Toc532887698"/>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EF74CAD"/>
    <w:rsid w:val="0F454D3F"/>
    <w:rsid w:val="104501EF"/>
    <w:rsid w:val="121B22D6"/>
    <w:rsid w:val="133E6E16"/>
    <w:rsid w:val="13B43725"/>
    <w:rsid w:val="140F383A"/>
    <w:rsid w:val="14197C48"/>
    <w:rsid w:val="16367436"/>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4B1212"/>
    <w:rsid w:val="47807B49"/>
    <w:rsid w:val="4786146B"/>
    <w:rsid w:val="49806F97"/>
    <w:rsid w:val="4A1D777A"/>
    <w:rsid w:val="4BEB70CE"/>
    <w:rsid w:val="4C2439BA"/>
    <w:rsid w:val="4C6D4D7D"/>
    <w:rsid w:val="4C6F1F1E"/>
    <w:rsid w:val="4D79318C"/>
    <w:rsid w:val="4DF81BD7"/>
    <w:rsid w:val="4E3B4EB2"/>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2021-11-29T07:21:34Z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