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sz w:val="30"/>
          <w:szCs w:val="30"/>
          <w:u w:val="none"/>
          <w:lang w:eastAsia="zh-CN"/>
        </w:rPr>
        <w:t>炼钢新增尾渣仓及废钢池桩基工程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2002LGZJGC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lang w:eastAsia="zh-CN"/>
        </w:rPr>
        <w:t>炼钢新建废钢池及尾渣仓桩基工程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rPr>
        <w:t>地基基础工程专业承包叁级及以上资质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02</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08</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bookmarkStart w:id="4" w:name="_GoBack"/>
      <w:bookmarkEnd w:id="4"/>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widowControl/>
        <w:shd w:val="clear" w:color="auto" w:fill="FFFFFF"/>
        <w:spacing w:line="440" w:lineRule="exact"/>
        <w:ind w:left="482"/>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lang w:eastAsia="zh-CN"/>
        </w:rPr>
        <w:t>炼钢新建废钢池及尾渣仓桩基工程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孙星超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lang w:eastAsia="zh-CN"/>
        </w:rPr>
        <w:t>炼钢新建废钢池及尾渣仓桩基工程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lang w:eastAsia="zh-CN"/>
        </w:rPr>
        <w:t>炼钢新建废钢池及尾渣仓桩基工程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12</w:t>
      </w:r>
      <w:r>
        <w:rPr>
          <w:rFonts w:hint="eastAsia" w:ascii="宋体" w:hAnsi="宋体" w:cs="宋体"/>
          <w:bCs/>
          <w:color w:val="FF0000"/>
          <w:kern w:val="36"/>
        </w:rPr>
        <w:t>月</w:t>
      </w:r>
      <w:r>
        <w:rPr>
          <w:rFonts w:hint="eastAsia" w:ascii="宋体" w:hAnsi="宋体" w:cs="宋体"/>
          <w:bCs/>
          <w:color w:val="FF0000"/>
          <w:kern w:val="36"/>
          <w:u w:val="single"/>
          <w:lang w:val="en-US" w:eastAsia="zh-CN"/>
        </w:rPr>
        <w:t>08</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numPr>
          <w:ilvl w:val="0"/>
          <w:numId w:val="0"/>
        </w:numPr>
        <w:spacing w:line="360" w:lineRule="auto"/>
        <w:ind w:leftChars="0"/>
        <w:rPr>
          <w:rFonts w:hint="eastAsia" w:ascii="宋体" w:hAnsi="宋体"/>
        </w:rPr>
      </w:pPr>
      <w:r>
        <w:rPr>
          <w:rFonts w:hint="eastAsia" w:ascii="宋体" w:hAnsi="宋体"/>
          <w:lang w:val="en-US" w:eastAsia="zh-CN"/>
        </w:rPr>
        <w:t xml:space="preserve">2.1  </w:t>
      </w:r>
      <w:r>
        <w:rPr>
          <w:rFonts w:hint="eastAsia" w:ascii="宋体" w:hAnsi="宋体"/>
          <w:lang w:eastAsia="zh-CN"/>
        </w:rPr>
        <w:t>废钢池桩基</w:t>
      </w:r>
      <w:r>
        <w:rPr>
          <w:rFonts w:hint="eastAsia" w:ascii="宋体" w:hAnsi="宋体"/>
        </w:rPr>
        <w:t>包含</w:t>
      </w:r>
      <w:r>
        <w:rPr>
          <w:rFonts w:hint="eastAsia" w:ascii="宋体" w:hAnsi="宋体"/>
          <w:lang w:val="en-US" w:eastAsia="zh-CN"/>
        </w:rPr>
        <w:t xml:space="preserve">桩尖采用十字型钢桩尖，桩型：PHC </w:t>
      </w:r>
      <w:r>
        <w:rPr>
          <w:rFonts w:hint="eastAsia" w:ascii="宋体" w:hAnsi="宋体"/>
        </w:rPr>
        <w:t>500</w:t>
      </w:r>
      <w:r>
        <w:rPr>
          <w:rFonts w:hint="eastAsia" w:ascii="宋体" w:hAnsi="宋体"/>
          <w:lang w:val="en-US" w:eastAsia="zh-CN"/>
        </w:rPr>
        <w:t xml:space="preserve"> AB125，桩长32米</w:t>
      </w:r>
      <w:r>
        <w:rPr>
          <w:rFonts w:hint="eastAsia" w:ascii="宋体" w:hAnsi="宋体"/>
          <w:lang w:eastAsia="zh-CN"/>
        </w:rPr>
        <w:t>，</w:t>
      </w:r>
      <w:r>
        <w:rPr>
          <w:rFonts w:hint="eastAsia" w:ascii="宋体" w:hAnsi="宋体"/>
          <w:lang w:val="en-US" w:eastAsia="zh-CN"/>
        </w:rPr>
        <w:t>数量约104 根，总桩长</w:t>
      </w:r>
      <w:r>
        <w:rPr>
          <w:rFonts w:hint="eastAsia" w:ascii="宋体" w:hAnsi="宋体"/>
        </w:rPr>
        <w:t>约</w:t>
      </w:r>
      <w:r>
        <w:rPr>
          <w:rFonts w:hint="eastAsia" w:ascii="宋体" w:hAnsi="宋体"/>
          <w:lang w:val="en-US" w:eastAsia="zh-CN"/>
        </w:rPr>
        <w:t>3328</w:t>
      </w:r>
      <w:r>
        <w:rPr>
          <w:rFonts w:hint="eastAsia" w:ascii="宋体" w:hAnsi="宋体"/>
        </w:rPr>
        <w:t>米</w:t>
      </w:r>
      <w:r>
        <w:rPr>
          <w:rFonts w:hint="eastAsia" w:ascii="宋体" w:hAnsi="宋体"/>
          <w:lang w:eastAsia="zh-CN"/>
        </w:rPr>
        <w:t>，桩顶标高</w:t>
      </w:r>
      <w:r>
        <w:rPr>
          <w:rFonts w:hint="eastAsia" w:ascii="宋体" w:hAnsi="宋体"/>
          <w:lang w:val="en-US" w:eastAsia="zh-CN"/>
        </w:rPr>
        <w:t>-3.9米</w:t>
      </w:r>
      <w:r>
        <w:rPr>
          <w:rFonts w:hint="eastAsia" w:ascii="宋体" w:hAnsi="宋体"/>
        </w:rPr>
        <w:t>。</w:t>
      </w:r>
    </w:p>
    <w:p>
      <w:pPr>
        <w:numPr>
          <w:ilvl w:val="0"/>
          <w:numId w:val="0"/>
        </w:numPr>
        <w:spacing w:line="360" w:lineRule="auto"/>
        <w:ind w:leftChars="0"/>
        <w:rPr>
          <w:rFonts w:hint="eastAsia" w:ascii="宋体" w:hAnsi="宋体"/>
        </w:rPr>
      </w:pPr>
      <w:r>
        <w:rPr>
          <w:rFonts w:hint="eastAsia" w:ascii="宋体" w:hAnsi="宋体"/>
          <w:lang w:val="en-US" w:eastAsia="zh-CN"/>
        </w:rPr>
        <w:t xml:space="preserve">2.2  </w:t>
      </w:r>
      <w:r>
        <w:rPr>
          <w:rFonts w:hint="eastAsia" w:ascii="宋体" w:hAnsi="宋体"/>
          <w:lang w:eastAsia="zh-CN"/>
        </w:rPr>
        <w:t>尾渣仓桩基</w:t>
      </w:r>
      <w:r>
        <w:rPr>
          <w:rFonts w:hint="eastAsia" w:ascii="宋体" w:hAnsi="宋体"/>
        </w:rPr>
        <w:t>包含</w:t>
      </w:r>
      <w:r>
        <w:rPr>
          <w:rFonts w:hint="eastAsia" w:ascii="宋体" w:hAnsi="宋体"/>
          <w:lang w:val="en-US" w:eastAsia="zh-CN"/>
        </w:rPr>
        <w:t>桩尖采用十字型钢桩尖，桩型：PHC 400 AB95，桩长33米</w:t>
      </w:r>
      <w:r>
        <w:rPr>
          <w:rFonts w:hint="eastAsia" w:ascii="宋体" w:hAnsi="宋体"/>
          <w:lang w:eastAsia="zh-CN"/>
        </w:rPr>
        <w:t>，</w:t>
      </w:r>
      <w:r>
        <w:rPr>
          <w:rFonts w:hint="eastAsia" w:ascii="宋体" w:hAnsi="宋体"/>
          <w:lang w:val="en-US" w:eastAsia="zh-CN"/>
        </w:rPr>
        <w:t>数量约8 根，总桩长</w:t>
      </w:r>
      <w:r>
        <w:rPr>
          <w:rFonts w:hint="eastAsia" w:ascii="宋体" w:hAnsi="宋体"/>
        </w:rPr>
        <w:t>约</w:t>
      </w:r>
      <w:r>
        <w:rPr>
          <w:rFonts w:hint="eastAsia" w:ascii="宋体" w:hAnsi="宋体"/>
          <w:lang w:val="en-US" w:eastAsia="zh-CN"/>
        </w:rPr>
        <w:t>264</w:t>
      </w:r>
      <w:r>
        <w:rPr>
          <w:rFonts w:hint="eastAsia" w:ascii="宋体" w:hAnsi="宋体"/>
        </w:rPr>
        <w:t>米</w:t>
      </w:r>
      <w:r>
        <w:rPr>
          <w:rFonts w:hint="eastAsia" w:ascii="宋体" w:hAnsi="宋体"/>
          <w:lang w:eastAsia="zh-CN"/>
        </w:rPr>
        <w:t>，桩顶标高</w:t>
      </w:r>
      <w:r>
        <w:rPr>
          <w:rFonts w:hint="eastAsia" w:ascii="宋体" w:hAnsi="宋体"/>
          <w:lang w:val="en-US" w:eastAsia="zh-CN"/>
        </w:rPr>
        <w:t>-1.4米</w:t>
      </w:r>
      <w:r>
        <w:rPr>
          <w:rFonts w:hint="eastAsia" w:ascii="宋体" w:hAnsi="宋体"/>
        </w:rPr>
        <w:t>。</w:t>
      </w:r>
    </w:p>
    <w:p>
      <w:pPr>
        <w:numPr>
          <w:ilvl w:val="0"/>
          <w:numId w:val="0"/>
        </w:numPr>
        <w:spacing w:line="360" w:lineRule="auto"/>
        <w:ind w:leftChars="0"/>
        <w:rPr>
          <w:rFonts w:hint="eastAsia" w:ascii="宋体" w:hAnsi="宋体"/>
          <w:sz w:val="24"/>
          <w:szCs w:val="22"/>
          <w:lang w:eastAsia="zh-CN"/>
        </w:rPr>
      </w:pPr>
      <w:r>
        <w:rPr>
          <w:rFonts w:hint="eastAsia" w:ascii="宋体" w:hAnsi="宋体"/>
          <w:lang w:val="en-US" w:eastAsia="zh-CN"/>
        </w:rPr>
        <w:t xml:space="preserve">2.3  </w:t>
      </w:r>
      <w:r>
        <w:rPr>
          <w:rFonts w:hint="eastAsia" w:ascii="宋体" w:hAnsi="宋体"/>
          <w:lang w:eastAsia="zh-CN"/>
        </w:rPr>
        <w:t>此次招标为合并招标，需分别签合同</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废钢池桩基</w:t>
      </w:r>
    </w:p>
    <w:p>
      <w:pPr>
        <w:numPr>
          <w:numId w:val="0"/>
        </w:numPr>
        <w:spacing w:before="156" w:beforeLines="50" w:after="156" w:afterLines="50"/>
        <w:ind w:left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 xml:space="preserve">开工日期： 2021年12月18日（暂定）                                          </w:t>
      </w:r>
    </w:p>
    <w:p>
      <w:pPr>
        <w:numPr>
          <w:numId w:val="0"/>
        </w:numPr>
        <w:spacing w:before="156" w:beforeLines="50" w:after="156" w:afterLines="50"/>
        <w:ind w:left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 xml:space="preserve">竣工日期： 2022年1 月17日                                             </w:t>
      </w:r>
    </w:p>
    <w:p>
      <w:pPr>
        <w:numPr>
          <w:numId w:val="0"/>
        </w:numPr>
        <w:spacing w:before="156" w:beforeLines="50" w:after="156" w:afterLines="50"/>
        <w:ind w:left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合同工期总日历天数  30 天。</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尾渣仓桩基</w:t>
      </w:r>
    </w:p>
    <w:p>
      <w:pPr>
        <w:numPr>
          <w:numId w:val="0"/>
        </w:numPr>
        <w:spacing w:before="156" w:beforeLines="50" w:after="156" w:afterLines="50"/>
        <w:ind w:left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 xml:space="preserve">开工日期： 2021年12月18日（暂定）                                          </w:t>
      </w:r>
    </w:p>
    <w:p>
      <w:pPr>
        <w:numPr>
          <w:numId w:val="0"/>
        </w:numPr>
        <w:spacing w:before="156" w:beforeLines="50" w:after="156" w:afterLines="50"/>
        <w:ind w:left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 xml:space="preserve">竣工日期： 2022年12 月31日                                             </w:t>
      </w:r>
    </w:p>
    <w:p>
      <w:pPr>
        <w:numPr>
          <w:numId w:val="0"/>
        </w:numPr>
        <w:spacing w:before="156" w:beforeLines="50" w:after="156" w:afterLines="50"/>
        <w:ind w:leftChars="0"/>
        <w:rPr>
          <w:rFonts w:hint="eastAsia" w:ascii="宋体" w:hAnsi="宋体" w:cs="宋体"/>
          <w:kern w:val="36"/>
        </w:rPr>
      </w:pPr>
      <w:r>
        <w:rPr>
          <w:rFonts w:hint="eastAsia" w:ascii="宋体" w:hAnsi="宋体" w:cs="宋体" w:eastAsiaTheme="minorEastAsia"/>
          <w:kern w:val="36"/>
          <w:sz w:val="21"/>
          <w:szCs w:val="22"/>
          <w:lang w:val="en-US" w:eastAsia="zh-CN" w:bidi="ar-SA"/>
        </w:rPr>
        <w:t>合同工期总日历天数  13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numId w:val="0"/>
        </w:numPr>
        <w:ind w:left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1.</w:t>
      </w:r>
      <w:r>
        <w:rPr>
          <w:rFonts w:hint="eastAsia" w:ascii="宋体" w:hAnsi="宋体" w:cs="宋体"/>
          <w:kern w:val="36"/>
          <w:sz w:val="21"/>
          <w:szCs w:val="22"/>
          <w:lang w:val="en-US" w:eastAsia="zh-CN" w:bidi="ar-SA"/>
        </w:rPr>
        <w:t xml:space="preserve"> </w:t>
      </w:r>
      <w:r>
        <w:rPr>
          <w:rFonts w:hint="eastAsia" w:ascii="宋体" w:hAnsi="宋体" w:cs="宋体" w:eastAsiaTheme="minorEastAsia"/>
          <w:kern w:val="36"/>
          <w:sz w:val="21"/>
          <w:szCs w:val="22"/>
          <w:lang w:val="en-US" w:eastAsia="zh-CN" w:bidi="ar-SA"/>
        </w:rPr>
        <w:t>本工程结算执行《建设工程结算管理暂行办法》。</w:t>
      </w:r>
    </w:p>
    <w:p>
      <w:pPr>
        <w:numPr>
          <w:numId w:val="0"/>
        </w:numPr>
        <w:spacing w:before="156" w:beforeLines="50" w:after="156" w:afterLines="50"/>
        <w:ind w:left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2.</w:t>
      </w:r>
      <w:r>
        <w:rPr>
          <w:rFonts w:hint="eastAsia" w:ascii="宋体" w:hAnsi="宋体" w:cs="宋体"/>
          <w:kern w:val="36"/>
          <w:sz w:val="21"/>
          <w:szCs w:val="22"/>
          <w:lang w:val="en-US" w:eastAsia="zh-CN" w:bidi="ar-SA"/>
        </w:rPr>
        <w:t xml:space="preserve"> </w:t>
      </w:r>
      <w:r>
        <w:rPr>
          <w:rFonts w:hint="eastAsia" w:ascii="宋体" w:hAnsi="宋体" w:cs="宋体" w:eastAsiaTheme="minorEastAsia"/>
          <w:kern w:val="36"/>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所有材料由承包人提供</w:t>
      </w:r>
      <w:r>
        <w:rPr>
          <w:rFonts w:hint="eastAsia" w:ascii="宋体" w:hAnsi="宋体" w:cs="宋体" w:eastAsiaTheme="minorEastAsia"/>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bookmarkStart w:id="0" w:name="_Hlk67732197"/>
      <w:r>
        <w:rPr>
          <w:rFonts w:hint="eastAsia" w:ascii="宋体" w:hAnsi="宋体" w:cs="宋体" w:eastAsiaTheme="minorEastAsia"/>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Theme="minorHAnsi" w:hAnsiTheme="minorHAnsi" w:eastAsiaTheme="minorEastAsia" w:cstheme="minorBidi"/>
          <w:bCs/>
          <w:kern w:val="36"/>
          <w:sz w:val="21"/>
          <w:szCs w:val="21"/>
          <w:lang w:val="en-US" w:eastAsia="zh-CN" w:bidi="ar-SA"/>
        </w:rPr>
        <w:t>12. 本次招标采取综合评分的方式进行评标，评分标准按以下</w:t>
      </w:r>
      <w:r>
        <w:rPr>
          <w:rFonts w:hint="eastAsia"/>
          <w:bCs/>
          <w:kern w:val="36"/>
          <w:szCs w:val="21"/>
        </w:rPr>
        <w:t>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60" w:lineRule="exact"/>
        <w:ind w:firstLine="420" w:firstLineChars="200"/>
        <w:rPr>
          <w:rFonts w:hint="eastAsia" w:ascii="宋体" w:hAnsi="宋体" w:cs="宋体" w:eastAsiaTheme="minorEastAsia"/>
          <w:color w:val="000000"/>
          <w:lang w:eastAsia="zh-CN"/>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eastAsia="zh-CN"/>
        </w:rPr>
        <w:t>贰仟元整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eastAsia="zh-CN"/>
        </w:rPr>
        <w:t>伍仟元整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2．双方约定的工程款（进度款）支付的方式：本工程无预付款</w:t>
      </w:r>
      <w:r>
        <w:rPr>
          <w:rFonts w:hint="eastAsia" w:ascii="宋体" w:hAnsi="宋体" w:cs="宋体"/>
          <w:color w:val="000000"/>
          <w:lang w:eastAsia="zh-CN"/>
        </w:rPr>
        <w:t>；</w:t>
      </w:r>
      <w:r>
        <w:rPr>
          <w:rFonts w:hint="eastAsia" w:ascii="宋体" w:hAnsi="宋体" w:cs="宋体"/>
          <w:color w:val="FF0000"/>
          <w:lang w:eastAsia="zh-CN"/>
        </w:rPr>
        <w:t>废钢池桩基</w:t>
      </w:r>
      <w:r>
        <w:rPr>
          <w:rFonts w:hint="eastAsia" w:ascii="宋体" w:hAnsi="宋体" w:cs="宋体"/>
          <w:color w:val="000000"/>
        </w:rPr>
        <w:t>发包人次月按审定的上月进度的70%支付承包人工程款，付款前提供等额增值税专用发票</w:t>
      </w:r>
      <w:r>
        <w:rPr>
          <w:rFonts w:hint="eastAsia" w:ascii="宋体" w:hAnsi="宋体" w:cs="宋体"/>
          <w:color w:val="000000"/>
          <w:lang w:eastAsia="zh-CN"/>
        </w:rPr>
        <w:t>；</w:t>
      </w:r>
      <w:r>
        <w:rPr>
          <w:rFonts w:hint="eastAsia" w:ascii="宋体" w:hAnsi="宋体" w:cs="宋体"/>
          <w:color w:val="FF0000"/>
          <w:lang w:eastAsia="zh-CN"/>
        </w:rPr>
        <w:t>尾渣仓桩基</w:t>
      </w:r>
      <w:r>
        <w:rPr>
          <w:rFonts w:hint="eastAsia" w:ascii="宋体" w:hAnsi="宋体" w:cs="宋体"/>
          <w:color w:val="000000"/>
        </w:rPr>
        <w:t>工程完工后付至已完工程量的 70%，付款前提供等额增值税专用发票。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eastAsia="zh-CN"/>
        </w:rPr>
        <w:t>炼钢新建废钢池及尾渣仓桩基</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015" w:type="pct"/>
        <w:tblInd w:w="0" w:type="dxa"/>
        <w:tblLayout w:type="fixed"/>
        <w:tblCellMar>
          <w:top w:w="0" w:type="dxa"/>
          <w:left w:w="108" w:type="dxa"/>
          <w:bottom w:w="0" w:type="dxa"/>
          <w:right w:w="108" w:type="dxa"/>
        </w:tblCellMar>
      </w:tblPr>
      <w:tblGrid>
        <w:gridCol w:w="768"/>
        <w:gridCol w:w="1725"/>
        <w:gridCol w:w="1110"/>
        <w:gridCol w:w="1180"/>
        <w:gridCol w:w="1520"/>
        <w:gridCol w:w="1835"/>
        <w:gridCol w:w="7105"/>
      </w:tblGrid>
      <w:tr>
        <w:tblPrEx>
          <w:tblCellMar>
            <w:top w:w="0" w:type="dxa"/>
            <w:left w:w="108" w:type="dxa"/>
            <w:bottom w:w="0" w:type="dxa"/>
            <w:right w:w="108" w:type="dxa"/>
          </w:tblCellMar>
        </w:tblPrEx>
        <w:trPr>
          <w:trHeight w:val="416" w:hRule="atLeast"/>
        </w:trPr>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7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分项名称</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1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工程量</w:t>
            </w:r>
          </w:p>
        </w:tc>
        <w:tc>
          <w:tcPr>
            <w:tcW w:w="1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拦标价</w:t>
            </w:r>
          </w:p>
        </w:tc>
        <w:tc>
          <w:tcPr>
            <w:tcW w:w="1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报价</w:t>
            </w:r>
          </w:p>
        </w:tc>
        <w:tc>
          <w:tcPr>
            <w:tcW w:w="7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476" w:hRule="atLeast"/>
        </w:trPr>
        <w:tc>
          <w:tcPr>
            <w:tcW w:w="1524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一、综合单价部分</w:t>
            </w:r>
          </w:p>
        </w:tc>
      </w:tr>
      <w:tr>
        <w:tblPrEx>
          <w:tblCellMar>
            <w:top w:w="0" w:type="dxa"/>
            <w:left w:w="108" w:type="dxa"/>
            <w:bottom w:w="0" w:type="dxa"/>
            <w:right w:w="108" w:type="dxa"/>
          </w:tblCellMar>
        </w:tblPrEx>
        <w:trPr>
          <w:trHeight w:val="680"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1"/>
                <w:szCs w:val="21"/>
                <w:u w:val="none"/>
                <w:lang w:val="en-US" w:eastAsia="zh-CN" w:bidi="ar"/>
              </w:rPr>
              <w:t>φ500管桩</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米</w:t>
            </w:r>
          </w:p>
        </w:tc>
        <w:tc>
          <w:tcPr>
            <w:tcW w:w="11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2"/>
                <w:szCs w:val="22"/>
                <w:lang w:val="en-US" w:eastAsia="zh-CN"/>
              </w:rPr>
            </w:pPr>
            <w:r>
              <w:rPr>
                <w:rFonts w:hint="eastAsia" w:ascii="宋体" w:hAnsi="宋体" w:cs="宋体"/>
                <w:i w:val="0"/>
                <w:iCs w:val="0"/>
                <w:color w:val="000000"/>
                <w:kern w:val="0"/>
                <w:sz w:val="22"/>
                <w:szCs w:val="22"/>
                <w:u w:val="none"/>
                <w:lang w:val="en-US" w:eastAsia="zh-CN" w:bidi="ar"/>
              </w:rPr>
              <w:t>3328</w:t>
            </w:r>
          </w:p>
        </w:tc>
        <w:tc>
          <w:tcPr>
            <w:tcW w:w="1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4"/>
              </w:rPr>
            </w:pPr>
            <w:r>
              <w:rPr>
                <w:rFonts w:hint="eastAsia" w:ascii="宋体" w:hAnsi="宋体" w:cs="宋体"/>
                <w:i w:val="0"/>
                <w:iCs w:val="0"/>
                <w:color w:val="000000"/>
                <w:kern w:val="0"/>
                <w:sz w:val="24"/>
                <w:szCs w:val="24"/>
                <w:u w:val="none"/>
                <w:lang w:val="en-US" w:eastAsia="zh-CN" w:bidi="ar"/>
              </w:rPr>
              <w:t>300</w:t>
            </w:r>
            <w:r>
              <w:rPr>
                <w:rFonts w:hint="eastAsia" w:ascii="宋体" w:hAnsi="宋体" w:eastAsia="宋体" w:cs="宋体"/>
                <w:i w:val="0"/>
                <w:iCs w:val="0"/>
                <w:color w:val="000000"/>
                <w:kern w:val="0"/>
                <w:sz w:val="24"/>
                <w:szCs w:val="24"/>
                <w:u w:val="none"/>
                <w:lang w:val="en-US" w:eastAsia="zh-CN" w:bidi="ar"/>
              </w:rPr>
              <w:t>元/ 米</w:t>
            </w:r>
          </w:p>
        </w:tc>
        <w:tc>
          <w:tcPr>
            <w:tcW w:w="1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元/米</w:t>
            </w:r>
          </w:p>
        </w:tc>
        <w:tc>
          <w:tcPr>
            <w:tcW w:w="7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包括吊桩、插桩、沉桩、送桩、记录等图纸内相应做法全部工作内容及涉及的人工费、机械费、材料费、措施费、不可竞争费、税金、水电费等全部费用。工程量按图纸有效桩长计算。</w:t>
            </w:r>
            <w:r>
              <w:rPr>
                <w:rFonts w:hint="eastAsia" w:ascii="宋体" w:hAnsi="宋体" w:cs="宋体"/>
                <w:i w:val="0"/>
                <w:iCs w:val="0"/>
                <w:color w:val="000000"/>
                <w:kern w:val="0"/>
                <w:sz w:val="21"/>
                <w:szCs w:val="21"/>
                <w:u w:val="none"/>
                <w:lang w:val="en-US" w:eastAsia="zh-CN" w:bidi="ar"/>
              </w:rPr>
              <w:t>（含桩尖）</w:t>
            </w:r>
          </w:p>
        </w:tc>
      </w:tr>
      <w:tr>
        <w:tblPrEx>
          <w:tblCellMar>
            <w:top w:w="0" w:type="dxa"/>
            <w:left w:w="108" w:type="dxa"/>
            <w:bottom w:w="0" w:type="dxa"/>
            <w:right w:w="108" w:type="dxa"/>
          </w:tblCellMar>
        </w:tblPrEx>
        <w:trPr>
          <w:trHeight w:val="680" w:hRule="atLeast"/>
        </w:trPr>
        <w:tc>
          <w:tcPr>
            <w:tcW w:w="768"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c>
          <w:tcPr>
            <w:tcW w:w="17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φ400管桩</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米</w:t>
            </w:r>
          </w:p>
        </w:tc>
        <w:tc>
          <w:tcPr>
            <w:tcW w:w="11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sz w:val="22"/>
                <w:szCs w:val="22"/>
                <w:lang w:val="en-US"/>
              </w:rPr>
            </w:pPr>
            <w:r>
              <w:rPr>
                <w:rFonts w:hint="eastAsia" w:ascii="宋体" w:hAnsi="宋体" w:cs="宋体"/>
                <w:i w:val="0"/>
                <w:iCs w:val="0"/>
                <w:color w:val="000000"/>
                <w:kern w:val="0"/>
                <w:sz w:val="22"/>
                <w:szCs w:val="22"/>
                <w:u w:val="none"/>
                <w:lang w:val="en-US" w:eastAsia="zh-CN" w:bidi="ar"/>
              </w:rPr>
              <w:t>264</w:t>
            </w:r>
          </w:p>
        </w:tc>
        <w:tc>
          <w:tcPr>
            <w:tcW w:w="1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4"/>
                <w:szCs w:val="24"/>
                <w:u w:val="none"/>
                <w:lang w:val="en-US" w:eastAsia="zh-CN" w:bidi="ar"/>
              </w:rPr>
              <w:t>235元/米</w:t>
            </w:r>
          </w:p>
        </w:tc>
        <w:tc>
          <w:tcPr>
            <w:tcW w:w="18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2"/>
                <w:szCs w:val="22"/>
                <w:u w:val="none"/>
                <w:lang w:val="en-US" w:eastAsia="zh-CN" w:bidi="ar"/>
              </w:rPr>
              <w:t>元/米</w:t>
            </w:r>
          </w:p>
        </w:tc>
        <w:tc>
          <w:tcPr>
            <w:tcW w:w="7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包括吊桩、插桩、沉桩、送桩、记录等图纸内相应做法全部工作内容及涉及的人工费、机械费、材料费、措施费、不可竞争费、税金、水电费等全部费用。工程量按图纸有效桩长计算。</w:t>
            </w:r>
            <w:r>
              <w:rPr>
                <w:rFonts w:hint="eastAsia" w:ascii="宋体" w:hAnsi="宋体" w:cs="宋体"/>
                <w:i w:val="0"/>
                <w:iCs w:val="0"/>
                <w:color w:val="000000"/>
                <w:kern w:val="0"/>
                <w:sz w:val="21"/>
                <w:szCs w:val="21"/>
                <w:u w:val="none"/>
                <w:lang w:val="en-US" w:eastAsia="zh-CN" w:bidi="ar"/>
              </w:rPr>
              <w:t>（含桩尖）</w:t>
            </w:r>
          </w:p>
        </w:tc>
      </w:tr>
      <w:tr>
        <w:tblPrEx>
          <w:tblCellMar>
            <w:top w:w="0" w:type="dxa"/>
            <w:left w:w="108" w:type="dxa"/>
            <w:bottom w:w="0" w:type="dxa"/>
            <w:right w:w="108" w:type="dxa"/>
          </w:tblCellMar>
        </w:tblPrEx>
        <w:trPr>
          <w:trHeight w:val="42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2"/>
                <w:szCs w:val="22"/>
                <w:u w:val="none"/>
                <w:lang w:val="en-US" w:eastAsia="zh-CN" w:bidi="ar"/>
              </w:rPr>
              <w:t>3</w:t>
            </w:r>
          </w:p>
        </w:tc>
        <w:tc>
          <w:tcPr>
            <w:tcW w:w="17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大型机械进出场费</w:t>
            </w:r>
          </w:p>
        </w:tc>
        <w:tc>
          <w:tcPr>
            <w:tcW w:w="11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台次</w:t>
            </w: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cs="宋体"/>
                <w:i w:val="0"/>
                <w:iCs w:val="0"/>
                <w:color w:val="000000"/>
                <w:kern w:val="0"/>
                <w:sz w:val="21"/>
                <w:szCs w:val="21"/>
                <w:u w:val="none"/>
                <w:lang w:val="en-US" w:eastAsia="zh-CN" w:bidi="ar"/>
              </w:rPr>
              <w:t>2</w:t>
            </w:r>
          </w:p>
        </w:tc>
        <w:tc>
          <w:tcPr>
            <w:tcW w:w="1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50000 元/台次</w:t>
            </w:r>
          </w:p>
        </w:tc>
        <w:tc>
          <w:tcPr>
            <w:tcW w:w="18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元/台次</w:t>
            </w:r>
          </w:p>
        </w:tc>
        <w:tc>
          <w:tcPr>
            <w:tcW w:w="7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包含：装、拆、卸、场外运输、税金等全部费用。</w:t>
            </w:r>
          </w:p>
        </w:tc>
      </w:tr>
      <w:tr>
        <w:tblPrEx>
          <w:tblCellMar>
            <w:top w:w="0" w:type="dxa"/>
            <w:left w:w="108" w:type="dxa"/>
            <w:bottom w:w="0" w:type="dxa"/>
            <w:right w:w="108" w:type="dxa"/>
          </w:tblCellMar>
        </w:tblPrEx>
        <w:trPr>
          <w:trHeight w:val="472" w:hRule="atLeast"/>
        </w:trPr>
        <w:tc>
          <w:tcPr>
            <w:tcW w:w="15243"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Cs w:val="21"/>
              </w:rPr>
            </w:pPr>
            <w:r>
              <w:rPr>
                <w:rFonts w:hint="eastAsia" w:ascii="宋体" w:hAnsi="宋体" w:eastAsia="宋体" w:cs="宋体"/>
                <w:i w:val="0"/>
                <w:iCs w:val="0"/>
                <w:color w:val="000000"/>
                <w:kern w:val="0"/>
                <w:sz w:val="24"/>
                <w:szCs w:val="24"/>
                <w:u w:val="none"/>
                <w:lang w:val="en-US" w:eastAsia="zh-CN" w:bidi="ar"/>
              </w:rPr>
              <w:t>二、除综合单价外工作量</w:t>
            </w:r>
          </w:p>
        </w:tc>
      </w:tr>
      <w:tr>
        <w:tblPrEx>
          <w:tblCellMar>
            <w:top w:w="0" w:type="dxa"/>
            <w:left w:w="108" w:type="dxa"/>
            <w:bottom w:w="0" w:type="dxa"/>
            <w:right w:w="108" w:type="dxa"/>
          </w:tblCellMar>
        </w:tblPrEx>
        <w:trPr>
          <w:trHeight w:val="97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优惠率（不包含材料费）</w:t>
            </w:r>
            <w:r>
              <w:rPr>
                <w:rFonts w:hint="eastAsia" w:ascii="宋体" w:hAnsi="宋体" w:cs="宋体"/>
                <w:i w:val="0"/>
                <w:iCs w:val="0"/>
                <w:color w:val="000000"/>
                <w:kern w:val="0"/>
                <w:sz w:val="24"/>
                <w:szCs w:val="24"/>
                <w:u w:val="none"/>
                <w:lang w:val="en-US" w:eastAsia="zh-CN" w:bidi="ar"/>
              </w:rPr>
              <w:t>（废钢池桩基）</w:t>
            </w:r>
          </w:p>
        </w:tc>
        <w:tc>
          <w:tcPr>
            <w:tcW w:w="22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暂列金额</w:t>
            </w:r>
            <w:r>
              <w:rPr>
                <w:rFonts w:hint="eastAsia" w:ascii="宋体" w:hAnsi="宋体" w:cs="宋体"/>
                <w:i w:val="0"/>
                <w:iCs w:val="0"/>
                <w:color w:val="000000"/>
                <w:kern w:val="0"/>
                <w:sz w:val="24"/>
                <w:szCs w:val="24"/>
                <w:u w:val="single"/>
                <w:lang w:val="en-US" w:eastAsia="zh-CN" w:bidi="ar"/>
              </w:rPr>
              <w:t>80</w:t>
            </w:r>
            <w:r>
              <w:rPr>
                <w:rFonts w:hint="eastAsia" w:ascii="宋体" w:hAnsi="宋体" w:eastAsia="宋体" w:cs="宋体"/>
                <w:i w:val="0"/>
                <w:iCs w:val="0"/>
                <w:color w:val="000000"/>
                <w:kern w:val="0"/>
                <w:sz w:val="24"/>
                <w:szCs w:val="24"/>
                <w:u w:val="single"/>
                <w:lang w:val="en-US" w:eastAsia="zh-CN" w:bidi="ar"/>
              </w:rPr>
              <w:t>000</w:t>
            </w:r>
            <w:r>
              <w:rPr>
                <w:rFonts w:hint="eastAsia" w:ascii="宋体" w:hAnsi="宋体" w:eastAsia="宋体" w:cs="宋体"/>
                <w:i w:val="0"/>
                <w:iCs w:val="0"/>
                <w:color w:val="000000"/>
                <w:kern w:val="0"/>
                <w:sz w:val="24"/>
                <w:szCs w:val="24"/>
                <w:u w:val="none"/>
                <w:lang w:val="en-US" w:eastAsia="zh-CN" w:bidi="ar"/>
              </w:rPr>
              <w:t>元</w:t>
            </w:r>
          </w:p>
        </w:tc>
        <w:tc>
          <w:tcPr>
            <w:tcW w:w="1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18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优惠</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w:t>
            </w:r>
          </w:p>
        </w:tc>
        <w:tc>
          <w:tcPr>
            <w:tcW w:w="7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r>
        <w:tblPrEx>
          <w:tblCellMar>
            <w:top w:w="0" w:type="dxa"/>
            <w:left w:w="108" w:type="dxa"/>
            <w:bottom w:w="0" w:type="dxa"/>
            <w:right w:w="108" w:type="dxa"/>
          </w:tblCellMar>
        </w:tblPrEx>
        <w:trPr>
          <w:trHeight w:val="97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7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olor w:val="000000"/>
                <w:kern w:val="0"/>
                <w:sz w:val="24"/>
                <w:szCs w:val="24"/>
                <w:u w:val="none"/>
                <w:lang w:val="en-US" w:eastAsia="zh-CN" w:bidi="ar"/>
              </w:rPr>
              <w:t>优惠率（不包含材料费）</w:t>
            </w:r>
            <w:r>
              <w:rPr>
                <w:rFonts w:hint="eastAsia" w:ascii="宋体" w:hAnsi="宋体" w:cs="宋体"/>
                <w:i w:val="0"/>
                <w:iCs w:val="0"/>
                <w:color w:val="000000"/>
                <w:kern w:val="0"/>
                <w:sz w:val="24"/>
                <w:szCs w:val="24"/>
                <w:u w:val="none"/>
                <w:lang w:val="en-US" w:eastAsia="zh-CN" w:bidi="ar"/>
              </w:rPr>
              <w:t>（尾渣仓桩基）</w:t>
            </w:r>
          </w:p>
        </w:tc>
        <w:tc>
          <w:tcPr>
            <w:tcW w:w="229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olor w:val="000000"/>
                <w:kern w:val="0"/>
                <w:sz w:val="24"/>
                <w:szCs w:val="24"/>
                <w:u w:val="none"/>
                <w:lang w:val="en-US" w:eastAsia="zh-CN" w:bidi="ar"/>
              </w:rPr>
              <w:t>暂列金额</w:t>
            </w:r>
            <w:r>
              <w:rPr>
                <w:rFonts w:hint="eastAsia" w:ascii="宋体" w:hAnsi="宋体" w:cs="宋体"/>
                <w:i w:val="0"/>
                <w:iCs w:val="0"/>
                <w:color w:val="000000"/>
                <w:kern w:val="0"/>
                <w:sz w:val="24"/>
                <w:szCs w:val="24"/>
                <w:u w:val="single"/>
                <w:lang w:val="en-US" w:eastAsia="zh-CN" w:bidi="ar"/>
              </w:rPr>
              <w:t>20</w:t>
            </w:r>
            <w:r>
              <w:rPr>
                <w:rFonts w:hint="eastAsia" w:ascii="宋体" w:hAnsi="宋体" w:eastAsia="宋体" w:cs="宋体"/>
                <w:i w:val="0"/>
                <w:iCs w:val="0"/>
                <w:color w:val="000000"/>
                <w:kern w:val="0"/>
                <w:sz w:val="24"/>
                <w:szCs w:val="24"/>
                <w:u w:val="single"/>
                <w:lang w:val="en-US" w:eastAsia="zh-CN" w:bidi="ar"/>
              </w:rPr>
              <w:t>000</w:t>
            </w:r>
            <w:r>
              <w:rPr>
                <w:rFonts w:hint="eastAsia" w:ascii="宋体" w:hAnsi="宋体" w:eastAsia="宋体" w:cs="宋体"/>
                <w:i w:val="0"/>
                <w:iCs w:val="0"/>
                <w:color w:val="000000"/>
                <w:kern w:val="0"/>
                <w:sz w:val="24"/>
                <w:szCs w:val="24"/>
                <w:u w:val="none"/>
                <w:lang w:val="en-US" w:eastAsia="zh-CN" w:bidi="ar"/>
              </w:rPr>
              <w:t>元</w:t>
            </w:r>
          </w:p>
        </w:tc>
        <w:tc>
          <w:tcPr>
            <w:tcW w:w="1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8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olor w:val="000000"/>
                <w:kern w:val="0"/>
                <w:sz w:val="24"/>
                <w:szCs w:val="24"/>
                <w:u w:val="none"/>
                <w:lang w:val="en-US" w:eastAsia="zh-CN" w:bidi="ar"/>
              </w:rPr>
              <w:t>优惠</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w:t>
            </w:r>
          </w:p>
        </w:tc>
        <w:tc>
          <w:tcPr>
            <w:tcW w:w="7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ind w:firstLine="3360" w:firstLineChars="1400"/>
        <w:jc w:val="both"/>
        <w:rPr>
          <w:rFonts w:hint="eastAsia" w:ascii="宋体" w:hAnsi="宋体" w:cs="宋体"/>
          <w:sz w:val="24"/>
          <w:szCs w:val="24"/>
        </w:rPr>
      </w:pPr>
      <w:r>
        <w:rPr>
          <w:rFonts w:hint="eastAsia" w:ascii="宋体" w:hAnsi="宋体" w:cs="宋体"/>
          <w:sz w:val="24"/>
          <w:szCs w:val="24"/>
        </w:rPr>
        <w:t>注</w:t>
      </w: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rPr>
      </w:pPr>
      <w:r>
        <w:rPr>
          <w:rFonts w:hint="eastAsia" w:ascii="宋体" w:hAnsi="宋体" w:cs="宋体"/>
          <w:sz w:val="24"/>
          <w:szCs w:val="24"/>
          <w:lang w:val="en-US" w:eastAsia="zh-CN"/>
        </w:rPr>
        <w:t>注</w:t>
      </w:r>
      <w:r>
        <w:rPr>
          <w:rFonts w:hint="eastAsia" w:ascii="宋体" w:hAnsi="宋体" w:cs="宋体"/>
          <w:sz w:val="24"/>
          <w:szCs w:val="24"/>
        </w:rPr>
        <w:t>：本报价单需加盖投标单位公章和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73C0EA2"/>
    <w:rsid w:val="0CDA2242"/>
    <w:rsid w:val="0DFC1491"/>
    <w:rsid w:val="1DC136C9"/>
    <w:rsid w:val="20127775"/>
    <w:rsid w:val="214D2E1E"/>
    <w:rsid w:val="21745BF5"/>
    <w:rsid w:val="217F74DF"/>
    <w:rsid w:val="21F73AF2"/>
    <w:rsid w:val="22574413"/>
    <w:rsid w:val="23883F50"/>
    <w:rsid w:val="24C93CD8"/>
    <w:rsid w:val="24E835CF"/>
    <w:rsid w:val="282A37D0"/>
    <w:rsid w:val="2B7C00FD"/>
    <w:rsid w:val="2FF764CB"/>
    <w:rsid w:val="326329B3"/>
    <w:rsid w:val="34481C4C"/>
    <w:rsid w:val="38067ECE"/>
    <w:rsid w:val="414F268B"/>
    <w:rsid w:val="466D1141"/>
    <w:rsid w:val="47614EF9"/>
    <w:rsid w:val="492349FE"/>
    <w:rsid w:val="52631A2B"/>
    <w:rsid w:val="529A772A"/>
    <w:rsid w:val="567534EE"/>
    <w:rsid w:val="59A06F0E"/>
    <w:rsid w:val="5D882CE0"/>
    <w:rsid w:val="620A21E9"/>
    <w:rsid w:val="64A26E4D"/>
    <w:rsid w:val="66296C18"/>
    <w:rsid w:val="6903317D"/>
    <w:rsid w:val="6A715D94"/>
    <w:rsid w:val="6C4E7007"/>
    <w:rsid w:val="6C7D1BC0"/>
    <w:rsid w:val="724E1F86"/>
    <w:rsid w:val="73E62FB9"/>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44</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2021-12-01T08:06:23Z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