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炼钢部新建尾渣仓及尾渣库环保改造工程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12004LGHBGZGC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default" w:ascii="宋体" w:hAnsi="宋体" w:cs="Times New Roman"/>
          <w:color w:val="FF0000"/>
          <w:sz w:val="24"/>
          <w:szCs w:val="22"/>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eastAsia="zh-CN"/>
        </w:rPr>
        <w:t>机电工程施工总承包叁级及以上资质</w:t>
      </w:r>
      <w:r>
        <w:rPr>
          <w:rFonts w:hint="eastAsia" w:ascii="宋体" w:hAnsi="宋体"/>
          <w:bCs/>
          <w:color w:val="FF0000"/>
          <w:sz w:val="24"/>
          <w:szCs w:val="24"/>
          <w:u w:val="none"/>
          <w:lang w:val="en-US" w:eastAsia="zh-CN"/>
        </w:rPr>
        <w:t>证书</w:t>
      </w:r>
      <w:r>
        <w:rPr>
          <w:rFonts w:hint="eastAsia" w:ascii="宋体" w:hAnsi="宋体"/>
          <w:bCs/>
          <w:color w:val="FF0000"/>
          <w:sz w:val="24"/>
          <w:szCs w:val="24"/>
          <w:highlight w:val="none"/>
        </w:rPr>
        <w:t>。</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p>
    <w:p>
      <w:pPr>
        <w:widowControl/>
        <w:shd w:val="clear" w:color="auto" w:fill="FFFFFF"/>
        <w:spacing w:line="440" w:lineRule="exact"/>
        <w:ind w:left="482"/>
        <w:rPr>
          <w:rFonts w:ascii="宋体" w:hAnsi="宋体" w:eastAsia="宋体" w:cs="宋体"/>
          <w:bCs/>
          <w:color w:val="FF0000"/>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r>
        <w:rPr>
          <w:rFonts w:hint="eastAsia" w:ascii="宋体" w:hAnsi="宋体" w:eastAsia="宋体" w:cs="宋体"/>
          <w:bCs/>
          <w:color w:val="FF0000"/>
          <w:kern w:val="0"/>
          <w:sz w:val="24"/>
          <w:szCs w:val="24"/>
        </w:rPr>
        <w:t>，</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炼钢部新建尾渣仓及尾渣库环保改造工程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        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bookmarkStart w:id="4" w:name="_GoBack"/>
      <w:bookmarkEnd w:id="4"/>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炼钢部新建尾渣仓及尾渣库环保改造工程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炼钢部新建尾渣仓及尾渣库环保改造工程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rPr>
          <w:rFonts w:hint="eastAsia" w:ascii="宋体" w:hAnsi="宋体"/>
          <w:lang w:val="en-US" w:eastAsia="zh-CN"/>
        </w:rPr>
      </w:pPr>
      <w:r>
        <w:rPr>
          <w:rFonts w:hint="eastAsia" w:ascii="宋体" w:hAnsi="宋体"/>
          <w:lang w:val="en-US" w:eastAsia="zh-CN"/>
        </w:rPr>
        <w:t>2.1 新建尾渣仓工程包含：钢结构制安约95t，彩钢瓦安装约670m2，设备安装约13t，电气安装、设备基础、桩头破除等工程量</w:t>
      </w:r>
    </w:p>
    <w:p>
      <w:pPr>
        <w:spacing w:line="360" w:lineRule="auto"/>
        <w:rPr>
          <w:rFonts w:hint="eastAsia" w:ascii="宋体" w:hAnsi="宋体"/>
          <w:lang w:val="en-US" w:eastAsia="zh-CN"/>
        </w:rPr>
      </w:pPr>
      <w:r>
        <w:rPr>
          <w:rFonts w:hint="eastAsia" w:ascii="宋体" w:hAnsi="宋体"/>
          <w:lang w:val="en-US" w:eastAsia="zh-CN"/>
        </w:rPr>
        <w:t>2.2 尾渣库环保改造工程包含：钢结构制安约12t，钢结构拆除分解约10t，设备安装约17t，DN100及以下管道安装约0.5t，DN200-DN500（含）管道安装约3t，DN500以上管道安装约5t，DN100及以下阀门安装约7套，DN350电动阀门安装约6套，彩钢瓦安装约2200m2，采光瓦安装约100m2，彩钢瓦拆除约2000m2，混凝土破除等工程量。</w:t>
      </w:r>
    </w:p>
    <w:p>
      <w:pPr>
        <w:spacing w:line="360" w:lineRule="auto"/>
        <w:rPr>
          <w:rFonts w:hint="eastAsia" w:ascii="宋体" w:hAnsi="宋体"/>
          <w:lang w:val="en-US" w:eastAsia="zh-CN"/>
        </w:rPr>
      </w:pPr>
      <w:r>
        <w:rPr>
          <w:rFonts w:hint="eastAsia" w:ascii="宋体" w:hAnsi="宋体"/>
          <w:lang w:val="en-US" w:eastAsia="zh-CN"/>
        </w:rPr>
        <w:t>2.3 此次招标为合并招标，需分别签订合同。</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开工日期： 2021年12月25日（暂定）                                          </w:t>
      </w:r>
    </w:p>
    <w:p>
      <w:pPr>
        <w:numPr>
          <w:ilvl w:val="0"/>
          <w:numId w:val="0"/>
        </w:numPr>
        <w:spacing w:line="360" w:lineRule="auto"/>
        <w:ind w:leftChars="0"/>
        <w:rPr>
          <w:rFonts w:hint="eastAsia" w:ascii="宋体" w:hAnsi="宋体"/>
          <w:sz w:val="21"/>
          <w:szCs w:val="21"/>
          <w:lang w:val="en-US" w:eastAsia="zh-CN"/>
        </w:rPr>
      </w:pPr>
      <w:r>
        <w:rPr>
          <w:rFonts w:hint="eastAsia" w:ascii="宋体" w:hAnsi="宋体"/>
          <w:sz w:val="21"/>
          <w:szCs w:val="21"/>
          <w:lang w:val="en-US" w:eastAsia="zh-CN"/>
        </w:rPr>
        <w:t xml:space="preserve">    竣工日期： 2022年03月25日                                              </w:t>
      </w:r>
    </w:p>
    <w:p>
      <w:pPr>
        <w:numPr>
          <w:ilvl w:val="0"/>
          <w:numId w:val="0"/>
        </w:numPr>
        <w:spacing w:line="360" w:lineRule="auto"/>
        <w:ind w:leftChars="0"/>
        <w:rPr>
          <w:rFonts w:ascii="宋体" w:hAnsi="宋体"/>
        </w:rPr>
      </w:pPr>
      <w:r>
        <w:rPr>
          <w:rFonts w:hint="eastAsia" w:ascii="宋体" w:hAnsi="宋体"/>
          <w:sz w:val="21"/>
          <w:szCs w:val="21"/>
          <w:lang w:val="en-US" w:eastAsia="zh-CN"/>
        </w:rPr>
        <w:t>合同工期总日历天数   90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所有材料（除钢筋、阀门外）由承包人提供</w:t>
      </w:r>
      <w:r>
        <w:rPr>
          <w:rFonts w:hint="eastAsia" w:ascii="宋体" w:hAnsi="宋体" w:eastAsiaTheme="minorEastAsia" w:cstheme="minorBidi"/>
          <w:bCs/>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FF0000"/>
          <w:kern w:val="2"/>
          <w:sz w:val="21"/>
          <w:szCs w:val="22"/>
          <w:lang w:val="en-US" w:eastAsia="zh-CN" w:bidi="ar-SA"/>
        </w:rPr>
      </w:pPr>
      <w:bookmarkStart w:id="0" w:name="_Hlk67732197"/>
      <w:r>
        <w:rPr>
          <w:rFonts w:hint="eastAsia" w:ascii="宋体" w:hAnsi="宋体" w:eastAsiaTheme="minorEastAsia" w:cstheme="minorBidi"/>
          <w:bCs/>
          <w:color w:val="FF0000"/>
          <w:kern w:val="2"/>
          <w:sz w:val="21"/>
          <w:szCs w:val="22"/>
          <w:lang w:val="en-US" w:eastAsia="zh-CN" w:bidi="ar-SA"/>
        </w:rPr>
        <w:t>单价包干部分材料价差除钢材外不予调整，钢材价格以2021年第11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000000"/>
          <w:lang w:eastAsia="zh-CN"/>
        </w:rPr>
        <w:t>贰仟元整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000000"/>
          <w:lang w:eastAsia="zh-CN"/>
        </w:rPr>
        <w:t>伍仟元整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00" w:lineRule="auto"/>
        <w:rPr>
          <w:rFonts w:hint="eastAsia" w:ascii="宋体" w:hAnsi="宋体" w:cs="宋体"/>
          <w:color w:val="000000"/>
          <w:lang w:eastAsia="zh-CN"/>
        </w:rPr>
      </w:pPr>
      <w:r>
        <w:rPr>
          <w:rFonts w:hint="eastAsia" w:ascii="宋体" w:hAnsi="宋体" w:cs="宋体"/>
          <w:color w:val="000000"/>
        </w:rPr>
        <w:t>2．双方约定的工程款（进度款）支付的方式：</w:t>
      </w:r>
      <w:r>
        <w:rPr>
          <w:rFonts w:hint="eastAsia" w:ascii="宋体" w:hAnsi="宋体" w:cs="宋体"/>
          <w:color w:val="000000"/>
          <w:lang w:eastAsia="zh-CN"/>
        </w:rPr>
        <w:t>本工程无预付款，发包人次月按审定的上月进度的70%支付承包人工程款，付款前提供等额增值税专用发票。</w:t>
      </w:r>
    </w:p>
    <w:p>
      <w:pPr>
        <w:spacing w:line="300" w:lineRule="auto"/>
        <w:rPr>
          <w:rFonts w:hint="eastAsia" w:ascii="宋体" w:hAnsi="宋体" w:cs="宋体"/>
          <w:color w:val="000000"/>
          <w:lang w:eastAsia="zh-CN"/>
        </w:rPr>
      </w:pPr>
      <w:r>
        <w:rPr>
          <w:rFonts w:hint="eastAsia" w:ascii="宋体" w:hAnsi="宋体" w:cs="宋体"/>
          <w:color w:val="000000"/>
          <w:lang w:eastAsia="zh-CN"/>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00" w:lineRule="auto"/>
        <w:rPr>
          <w:rFonts w:hint="eastAsia" w:ascii="宋体" w:hAnsi="宋体" w:cs="宋体"/>
          <w:color w:val="000000"/>
          <w:lang w:eastAsia="zh-CN"/>
        </w:rPr>
      </w:pPr>
      <w:r>
        <w:rPr>
          <w:rFonts w:hint="eastAsia" w:ascii="宋体" w:hAnsi="宋体" w:cs="宋体"/>
          <w:color w:val="000000"/>
          <w:lang w:eastAsia="zh-CN"/>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炼钢部新建尾渣仓及尾渣库环保改造</w:t>
      </w:r>
      <w:r>
        <w:rPr>
          <w:rFonts w:hint="eastAsia" w:ascii="宋体" w:hAnsi="宋体"/>
          <w:b/>
          <w:bCs/>
          <w:sz w:val="36"/>
          <w:szCs w:val="36"/>
        </w:rPr>
        <w:t>工程报价单</w:t>
      </w:r>
    </w:p>
    <w:tbl>
      <w:tblPr>
        <w:tblStyle w:val="13"/>
        <w:tblW w:w="15900"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388"/>
        <w:gridCol w:w="600"/>
        <w:gridCol w:w="1012"/>
        <w:gridCol w:w="779"/>
        <w:gridCol w:w="1095"/>
        <w:gridCol w:w="10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6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1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77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0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102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5900" w:type="dxa"/>
            <w:gridSpan w:val="7"/>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一、综合单价部分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22"/>
              </w:tabs>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钢仓、钢柱、檩条、檩托、拉条、平台、梯子、栏杆、墙梁、轨道梁、天沟、除尘罩、管托、管道支架等所有钢构制安，包括卸车、运输、倒运、制作、安装、除锈、刷漆（含油漆）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钢结构拆除分解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2"/>
                <w:rFonts w:hint="eastAsia" w:ascii="宋体" w:hAnsi="宋体" w:eastAsia="宋体" w:cs="宋体"/>
                <w:sz w:val="18"/>
                <w:szCs w:val="18"/>
                <w:lang w:val="en-US" w:eastAsia="zh-CN" w:bidi="ar"/>
              </w:rPr>
              <w:t>包括拆除、分解成块（600mm以内）、运输、倒运等涉及的全部工序及人工费、机械费、材料费、措施费、不可竞争费、税金、水电费等全部费用。由施工现场送至厂内指定地点（以磅单为结算依</w:t>
            </w:r>
            <w:r>
              <w:rPr>
                <w:rStyle w:val="36"/>
                <w:rFonts w:hint="eastAsia" w:ascii="宋体" w:hAnsi="宋体" w:eastAsia="宋体" w:cs="宋体"/>
                <w:sz w:val="18"/>
                <w:szCs w:val="18"/>
                <w:lang w:val="en-US" w:eastAsia="zh-CN" w:bidi="ar"/>
              </w:rPr>
              <w:t>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皮带机、电液扇形闸门、仓壁振动器、电动葫芦、电液动三通分料器、布袋除尘器等所有设备卸车、运输、倒运、安装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DN500以上管道安装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/套</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DN350电动阀门安装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/套</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彩钢瓦安装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采光瓦安装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彩钢瓦拆除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包括拆除、分解成块（600mm以内）、运输、倒运等涉及的全部工序及人工费、机械费、材料费、措施费、不可竞争费、税金、水电费等全部费用。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59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二、除综合单价外工程量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优惠率（新建尾渣仓）（不包含材料费）</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1"/>
                <w:rFonts w:hint="eastAsia" w:ascii="宋体" w:hAnsi="宋体" w:eastAsia="宋体" w:cs="宋体"/>
                <w:sz w:val="18"/>
                <w:szCs w:val="18"/>
                <w:lang w:val="en-US" w:eastAsia="zh-CN" w:bidi="ar"/>
              </w:rPr>
              <w:t xml:space="preserve">  120000    </w:t>
            </w:r>
            <w:r>
              <w:rPr>
                <w:rStyle w:val="30"/>
                <w:rFonts w:hint="eastAsia" w:ascii="宋体" w:hAnsi="宋体" w:eastAsia="宋体" w:cs="宋体"/>
                <w:sz w:val="18"/>
                <w:szCs w:val="18"/>
                <w:lang w:val="en-US" w:eastAsia="zh-CN" w:bidi="ar"/>
              </w:rPr>
              <w:t>元</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执行2018版安徽省建设工程计价定额及配套费用定额，材料费不参与总价优惠。措施项目费以签证形式据实计取，二次搬运费不计取。（含电气安装、设备基础</w:t>
            </w:r>
            <w:r>
              <w:rPr>
                <w:rFonts w:hint="eastAsia" w:ascii="宋体" w:hAnsi="宋体" w:cs="宋体"/>
                <w:i w:val="0"/>
                <w:iCs w:val="0"/>
                <w:color w:val="000000"/>
                <w:kern w:val="0"/>
                <w:sz w:val="18"/>
                <w:szCs w:val="18"/>
                <w:u w:val="none"/>
                <w:lang w:val="en-US" w:eastAsia="zh-CN" w:bidi="ar"/>
              </w:rPr>
              <w:t>、桩头破除</w:t>
            </w:r>
            <w:r>
              <w:rPr>
                <w:rFonts w:hint="eastAsia" w:ascii="宋体" w:hAnsi="宋体" w:eastAsia="宋体" w:cs="宋体"/>
                <w:i w:val="0"/>
                <w:iCs w:val="0"/>
                <w:color w:val="000000"/>
                <w:kern w:val="0"/>
                <w:sz w:val="18"/>
                <w:szCs w:val="18"/>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优惠率（尾渣库环保改造）（不包含材料费）</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1"/>
                <w:rFonts w:hint="eastAsia" w:ascii="宋体" w:hAnsi="宋体" w:eastAsia="宋体" w:cs="宋体"/>
                <w:sz w:val="18"/>
                <w:szCs w:val="18"/>
                <w:lang w:val="en-US" w:eastAsia="zh-CN" w:bidi="ar"/>
              </w:rPr>
              <w:t xml:space="preserve">  50000 </w:t>
            </w:r>
            <w:r>
              <w:rPr>
                <w:rStyle w:val="30"/>
                <w:rFonts w:hint="eastAsia" w:ascii="宋体" w:hAnsi="宋体" w:eastAsia="宋体" w:cs="宋体"/>
                <w:sz w:val="18"/>
                <w:szCs w:val="18"/>
                <w:lang w:val="en-US" w:eastAsia="zh-CN" w:bidi="ar"/>
              </w:rPr>
              <w:t>元</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执行2018版安徽省建设工程计价定额及配套费用定额，材料费不参与总价优惠。措施项目费以签证形式据实计取，二次搬运费不计取。（含混凝土破除等）</w:t>
            </w:r>
          </w:p>
        </w:tc>
      </w:tr>
    </w:tbl>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ascii="宋体" w:hAnsi="宋体" w:cs="宋体" w:eastAsiaTheme="minorEastAsia"/>
          <w:b/>
          <w:sz w:val="24"/>
          <w:szCs w:val="24"/>
          <w:lang w:eastAsia="zh-CN"/>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891503"/>
    <w:rsid w:val="15397436"/>
    <w:rsid w:val="1A231135"/>
    <w:rsid w:val="1DC136C9"/>
    <w:rsid w:val="1F1A46FD"/>
    <w:rsid w:val="214D2E1E"/>
    <w:rsid w:val="21F73AF2"/>
    <w:rsid w:val="22574413"/>
    <w:rsid w:val="23883F50"/>
    <w:rsid w:val="23E07D8F"/>
    <w:rsid w:val="24C93CD8"/>
    <w:rsid w:val="24E835CF"/>
    <w:rsid w:val="282A37D0"/>
    <w:rsid w:val="2B7C00FD"/>
    <w:rsid w:val="316D5590"/>
    <w:rsid w:val="31F67A47"/>
    <w:rsid w:val="326329B3"/>
    <w:rsid w:val="34481C4C"/>
    <w:rsid w:val="414F268B"/>
    <w:rsid w:val="466D1141"/>
    <w:rsid w:val="47614EF9"/>
    <w:rsid w:val="492349FE"/>
    <w:rsid w:val="52631A2B"/>
    <w:rsid w:val="529A772A"/>
    <w:rsid w:val="567534EE"/>
    <w:rsid w:val="59A06F0E"/>
    <w:rsid w:val="5D882CE0"/>
    <w:rsid w:val="5D931CB2"/>
    <w:rsid w:val="5E1427BC"/>
    <w:rsid w:val="61B627A2"/>
    <w:rsid w:val="634A6CB9"/>
    <w:rsid w:val="64A26E4D"/>
    <w:rsid w:val="66296C18"/>
    <w:rsid w:val="6903317D"/>
    <w:rsid w:val="6A440E91"/>
    <w:rsid w:val="6A715D94"/>
    <w:rsid w:val="6C3D30CE"/>
    <w:rsid w:val="6C7D1BC0"/>
    <w:rsid w:val="6D90094A"/>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41"/>
    <w:basedOn w:val="14"/>
    <w:qFormat/>
    <w:uiPriority w:val="0"/>
    <w:rPr>
      <w:rFonts w:hint="eastAsia" w:ascii="宋体" w:hAnsi="宋体" w:eastAsia="宋体" w:cs="宋体"/>
      <w:color w:val="000000"/>
      <w:sz w:val="24"/>
      <w:szCs w:val="24"/>
      <w:u w:val="none"/>
    </w:rPr>
  </w:style>
  <w:style w:type="character" w:customStyle="1" w:styleId="35">
    <w:name w:val="font151"/>
    <w:basedOn w:val="14"/>
    <w:qFormat/>
    <w:uiPriority w:val="0"/>
    <w:rPr>
      <w:rFonts w:hint="default" w:ascii="Times New Roman" w:hAnsi="Times New Roman" w:cs="Times New Roman"/>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01"/>
    <w:basedOn w:val="14"/>
    <w:qFormat/>
    <w:uiPriority w:val="0"/>
    <w:rPr>
      <w:rFonts w:hint="eastAsia" w:ascii="宋体" w:hAnsi="宋体" w:eastAsia="宋体" w:cs="宋体"/>
      <w:color w:val="000000"/>
      <w:sz w:val="24"/>
      <w:szCs w:val="24"/>
      <w:u w:val="single"/>
    </w:rPr>
  </w:style>
  <w:style w:type="character" w:customStyle="1" w:styleId="38">
    <w:name w:val="font181"/>
    <w:basedOn w:val="14"/>
    <w:qFormat/>
    <w:uiPriority w:val="0"/>
    <w:rPr>
      <w:rFonts w:hint="eastAsia" w:ascii="宋体" w:hAnsi="宋体" w:eastAsia="宋体" w:cs="宋体"/>
      <w:color w:val="000000"/>
      <w:sz w:val="24"/>
      <w:szCs w:val="24"/>
      <w:u w:val="none"/>
    </w:rPr>
  </w:style>
  <w:style w:type="character" w:customStyle="1" w:styleId="39">
    <w:name w:val="font171"/>
    <w:basedOn w:val="14"/>
    <w:qFormat/>
    <w:uiPriority w:val="0"/>
    <w:rPr>
      <w:rFonts w:hint="default" w:ascii="Times New Roman" w:hAnsi="Times New Roman" w:cs="Times New Roman"/>
      <w:color w:val="000000"/>
      <w:sz w:val="21"/>
      <w:szCs w:val="21"/>
      <w:u w:val="none"/>
    </w:rPr>
  </w:style>
  <w:style w:type="character" w:customStyle="1" w:styleId="40">
    <w:name w:val="font101"/>
    <w:basedOn w:val="14"/>
    <w:qFormat/>
    <w:uiPriority w:val="0"/>
    <w:rPr>
      <w:rFonts w:hint="eastAsia" w:ascii="宋体" w:hAnsi="宋体" w:eastAsia="宋体" w:cs="宋体"/>
      <w:color w:val="000000"/>
      <w:sz w:val="21"/>
      <w:szCs w:val="21"/>
      <w:u w:val="none"/>
    </w:rPr>
  </w:style>
  <w:style w:type="character" w:customStyle="1" w:styleId="41">
    <w:name w:val="font2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24</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2021-12-08T08:05:27Z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