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搭临区改造项目新建制作车间钢结构工程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12005DLQCJGJGGC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建筑工程施工总承包贰级及以上资质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rPr>
        <w:t>一级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11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搭临区改造项目新建制作车间钢结构工程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周剑波        </w:t>
      </w:r>
      <w:r>
        <w:rPr>
          <w:rFonts w:hint="eastAsia" w:ascii="宋体" w:hAnsi="宋体" w:eastAsia="宋体" w:cs="宋体"/>
          <w:color w:val="2A2A2A"/>
          <w:kern w:val="0"/>
          <w:sz w:val="24"/>
          <w:szCs w:val="24"/>
        </w:rPr>
        <w:t>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w:t>
      </w:r>
      <w:bookmarkStart w:id="4" w:name="_GoBack"/>
      <w:r>
        <w:rPr>
          <w:rFonts w:hint="eastAsia" w:ascii="宋体" w:hAnsi="宋体" w:eastAsia="宋体" w:cs="宋体"/>
          <w:color w:val="2A2A2A"/>
          <w:kern w:val="0"/>
          <w:sz w:val="24"/>
          <w:szCs w:val="24"/>
        </w:rPr>
        <w:t>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w:t>
      </w:r>
      <w:bookmarkEnd w:id="4"/>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搭临区改造项目新建制作车间钢结构工程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搭临区改造项目新建制作车间钢结构工程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29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2.  </w:t>
      </w:r>
      <w:r>
        <w:rPr>
          <w:rFonts w:hint="eastAsia" w:ascii="宋体" w:hAnsi="宋体"/>
        </w:rPr>
        <w:t>工程概况和估算工作量：</w:t>
      </w:r>
      <w:r>
        <w:rPr>
          <w:rFonts w:hint="eastAsia" w:ascii="宋体" w:hAnsi="宋体"/>
          <w:lang w:val="en-US" w:eastAsia="zh-CN"/>
        </w:rPr>
        <w:t>本工程为搭临区新建制作车间钢结构工程，车间总建筑面积14679m2。主要工程量：钢结构制安约1170t，轨道制安约1420m，彩钢瓦约10000m2，采光瓦约5500m2、防火涂料及电气照明等</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 xml:space="preserve">开工日期： 2022年1月11日 （暂定）                                          </w:t>
      </w:r>
    </w:p>
    <w:p>
      <w:pPr>
        <w:spacing w:line="360" w:lineRule="auto"/>
        <w:rPr>
          <w:rFonts w:hint="eastAsia" w:ascii="宋体" w:hAnsi="宋体"/>
          <w:lang w:eastAsia="zh-CN"/>
        </w:rPr>
      </w:pPr>
      <w:r>
        <w:rPr>
          <w:rFonts w:hint="eastAsia" w:ascii="宋体" w:hAnsi="宋体"/>
          <w:lang w:eastAsia="zh-CN"/>
        </w:rPr>
        <w:t xml:space="preserve">竣工日期： 2022年4月30日                                              </w:t>
      </w:r>
    </w:p>
    <w:p>
      <w:pPr>
        <w:spacing w:line="360" w:lineRule="auto"/>
        <w:rPr>
          <w:rFonts w:ascii="宋体" w:hAnsi="宋体"/>
        </w:rPr>
      </w:pPr>
      <w:r>
        <w:rPr>
          <w:rFonts w:hint="eastAsia" w:ascii="宋体" w:hAnsi="宋体"/>
          <w:lang w:eastAsia="zh-CN"/>
        </w:rPr>
        <w:t>合同工期总日历天数   110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本工程结算执行《建设工程结算管理暂行办法》。</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 xml:space="preserve">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 </w:t>
      </w:r>
    </w:p>
    <w:p>
      <w:pPr>
        <w:pStyle w:val="18"/>
        <w:numPr>
          <w:ilvl w:val="0"/>
          <w:numId w:val="2"/>
        </w:numPr>
        <w:spacing w:beforeLines="50" w:afterLines="50"/>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该</w:t>
      </w:r>
      <w:r>
        <w:rPr>
          <w:rFonts w:hint="eastAsia" w:ascii="宋体" w:hAnsi="宋体" w:eastAsiaTheme="minorEastAsia" w:cstheme="minorBidi"/>
          <w:bCs/>
          <w:color w:val="auto"/>
          <w:kern w:val="2"/>
          <w:sz w:val="21"/>
          <w:szCs w:val="22"/>
          <w:lang w:val="en-US" w:eastAsia="zh-CN" w:bidi="ar-SA"/>
        </w:rPr>
        <w:t>工程材料</w:t>
      </w:r>
      <w:r>
        <w:rPr>
          <w:rFonts w:hint="eastAsia" w:ascii="宋体" w:hAnsi="宋体" w:eastAsiaTheme="minorEastAsia" w:cstheme="minorBidi"/>
          <w:bCs/>
          <w:color w:val="FF0000"/>
          <w:kern w:val="2"/>
          <w:sz w:val="21"/>
          <w:szCs w:val="22"/>
          <w:lang w:val="en-US" w:eastAsia="zh-CN" w:bidi="ar-SA"/>
        </w:rPr>
        <w:t>（除钢材、轨道、压轨器、彩钢瓦、采光瓦外）由承包人提供</w:t>
      </w:r>
      <w:r>
        <w:rPr>
          <w:rFonts w:hint="eastAsia" w:ascii="宋体" w:hAnsi="宋体" w:eastAsiaTheme="minorEastAsia" w:cstheme="minorBidi"/>
          <w:bCs/>
          <w:kern w:val="2"/>
          <w:sz w:val="21"/>
          <w:szCs w:val="22"/>
          <w:lang w:val="en-US" w:eastAsia="zh-CN" w:bidi="ar-SA"/>
        </w:rPr>
        <w:t>。</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hint="eastAsia" w:ascii="宋体" w:hAnsi="宋体" w:eastAsiaTheme="minorEastAsia" w:cstheme="minorBidi"/>
          <w:bCs/>
          <w:color w:val="FF0000"/>
          <w:kern w:val="2"/>
          <w:sz w:val="21"/>
          <w:szCs w:val="22"/>
          <w:lang w:val="en-US" w:eastAsia="zh-CN" w:bidi="ar-SA"/>
        </w:rPr>
      </w:pPr>
      <w:bookmarkStart w:id="0" w:name="_Hlk67732197"/>
      <w:r>
        <w:rPr>
          <w:rFonts w:hint="eastAsia" w:ascii="宋体" w:hAnsi="宋体" w:eastAsiaTheme="minorEastAsia" w:cstheme="minorBidi"/>
          <w:bCs/>
          <w:color w:val="FF0000"/>
          <w:kern w:val="2"/>
          <w:sz w:val="21"/>
          <w:szCs w:val="22"/>
          <w:lang w:val="en-US" w:eastAsia="zh-CN" w:bidi="ar-SA"/>
        </w:rPr>
        <w:t>本工程钢材价格以</w:t>
      </w:r>
      <w:r>
        <w:rPr>
          <w:rFonts w:hint="eastAsia" w:ascii="宋体" w:hAnsi="宋体" w:eastAsiaTheme="minorEastAsia" w:cstheme="minorBidi"/>
          <w:bCs/>
          <w:color w:val="FF0000"/>
          <w:kern w:val="2"/>
          <w:sz w:val="21"/>
          <w:szCs w:val="22"/>
          <w:lang w:val="en-US" w:eastAsia="zh-CN" w:bidi="ar-SA"/>
        </w:rPr>
        <w:t>2021年第10期芜湖市市场信息价为基准，芜湖市市场信息价没有的以合肥市市场信息价为基准，若施工期间材料单价涨跌幅超过±5%时，其超过部分据实调整钢材价格，芜湖和合肥市场信息价查询不到的不予调整。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rPr>
        <w:t>壹万圆整</w:t>
      </w:r>
      <w:r>
        <w:rPr>
          <w:rFonts w:hint="eastAsia" w:ascii="宋体" w:hAnsi="宋体"/>
          <w:bCs/>
        </w:rPr>
        <w:t>（¥：10000元整）。竣工工期每延误1天，承包人向发包人支付违约金</w:t>
      </w:r>
      <w:r>
        <w:rPr>
          <w:rFonts w:hint="eastAsia" w:ascii="宋体" w:hAnsi="宋体"/>
          <w:bCs/>
          <w:color w:val="FF0000"/>
        </w:rPr>
        <w:t>贰万圆整</w:t>
      </w:r>
      <w:r>
        <w:rPr>
          <w:rFonts w:hint="eastAsia" w:ascii="宋体" w:hAnsi="宋体"/>
          <w:bCs/>
        </w:rPr>
        <w:t>（¥：20000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0"/>
          <w:szCs w:val="30"/>
        </w:rPr>
      </w:pPr>
      <w:r>
        <w:rPr>
          <w:rFonts w:hint="eastAsia" w:ascii="宋体" w:hAnsi="宋体" w:cs="宋体"/>
          <w:b/>
          <w:sz w:val="30"/>
          <w:szCs w:val="30"/>
        </w:rPr>
        <w:t>搭临区改造项目新建制作车间钢结构</w:t>
      </w:r>
      <w:r>
        <w:rPr>
          <w:rFonts w:hint="eastAsia" w:ascii="宋体" w:hAnsi="宋体"/>
          <w:b/>
          <w:bCs/>
          <w:sz w:val="30"/>
          <w:szCs w:val="30"/>
        </w:rPr>
        <w:t>工程报价单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138"/>
        <w:gridCol w:w="1460"/>
        <w:gridCol w:w="1786"/>
        <w:gridCol w:w="6793"/>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钢结构制安</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t</w:t>
            </w:r>
          </w:p>
        </w:tc>
        <w:tc>
          <w:tcPr>
            <w:tcW w:w="373" w:type="pct"/>
            <w:tcBorders>
              <w:top w:val="nil"/>
              <w:left w:val="nil"/>
              <w:bottom w:val="single" w:color="auto" w:sz="4" w:space="0"/>
              <w:right w:val="single" w:color="auto" w:sz="4" w:space="0"/>
            </w:tcBorders>
            <w:vAlign w:val="center"/>
          </w:tcPr>
          <w:p>
            <w:pPr>
              <w:widowControl/>
              <w:jc w:val="center"/>
              <w:rPr>
                <w:rFonts w:ascii="宋体" w:hAnsi="宋体"/>
              </w:rPr>
            </w:pPr>
            <w:r>
              <w:rPr>
                <w:rFonts w:hint="eastAsia" w:ascii="宋体" w:hAnsi="宋体"/>
              </w:rPr>
              <w:t>1170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rPr>
            </w:pPr>
            <w:r>
              <w:rPr>
                <w:rFonts w:hint="eastAsia" w:ascii="宋体" w:hAnsi="宋体"/>
                <w:kern w:val="0"/>
                <w:sz w:val="24"/>
              </w:rPr>
              <w:t>5500元/</w:t>
            </w:r>
            <w:r>
              <w:rPr>
                <w:rFonts w:ascii="宋体" w:hAnsi="宋体"/>
                <w:kern w:val="0"/>
                <w:sz w:val="24"/>
              </w:rPr>
              <w:t>t</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22"/>
                <w:szCs w:val="22"/>
              </w:rPr>
            </w:pPr>
            <w:r>
              <w:rPr>
                <w:rFonts w:hint="eastAsia" w:ascii="宋体" w:hAnsi="宋体"/>
                <w:kern w:val="0"/>
                <w:sz w:val="24"/>
              </w:rPr>
              <w:t>元/</w:t>
            </w:r>
            <w:r>
              <w:rPr>
                <w:rFonts w:ascii="宋体" w:hAnsi="宋体"/>
                <w:kern w:val="0"/>
                <w:sz w:val="24"/>
              </w:rPr>
              <w:t>t</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括厂房柱、吊车梁、滑线支架、屋面梁、制动板、天沟、檩条、桁架、支架、平台、梯子、栏杆、螺栓等所有钢构制安，包括卸车、运输、倒运、除锈、刷漆（不含面漆工序）、制作、安装等涉及的全部工序及人工费、机械费、材料费（</w:t>
            </w:r>
            <w:r>
              <w:rPr>
                <w:rFonts w:hint="eastAsia" w:ascii="宋体" w:hAnsi="宋体" w:cs="宋体"/>
                <w:b/>
                <w:color w:val="000000"/>
                <w:kern w:val="0"/>
                <w:sz w:val="18"/>
                <w:szCs w:val="18"/>
              </w:rPr>
              <w:t>不含钢材材料费</w:t>
            </w:r>
            <w:r>
              <w:rPr>
                <w:rFonts w:hint="eastAsia" w:ascii="宋体" w:hAnsi="宋体" w:cs="宋体"/>
                <w:color w:val="000000"/>
                <w:kern w:val="0"/>
                <w:sz w:val="18"/>
                <w:szCs w:val="18"/>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rFonts w:ascii="宋体" w:hAnsi="宋体"/>
                <w:color w:val="000000"/>
                <w:sz w:val="22"/>
                <w:szCs w:val="22"/>
              </w:rPr>
            </w:pPr>
            <w:r>
              <w:rPr>
                <w:rFonts w:hint="eastAsia" w:ascii="宋体" w:hAnsi="宋体"/>
                <w:color w:val="000000"/>
                <w:sz w:val="22"/>
                <w:szCs w:val="22"/>
              </w:rPr>
              <w:t>2</w:t>
            </w:r>
          </w:p>
        </w:tc>
        <w:tc>
          <w:tcPr>
            <w:tcW w:w="809" w:type="pct"/>
            <w:tcBorders>
              <w:top w:val="nil"/>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轨道制安</w:t>
            </w:r>
          </w:p>
        </w:tc>
        <w:tc>
          <w:tcPr>
            <w:tcW w:w="259" w:type="pct"/>
            <w:tcBorders>
              <w:top w:val="nil"/>
              <w:left w:val="nil"/>
              <w:bottom w:val="single" w:color="auto" w:sz="4" w:space="0"/>
              <w:right w:val="single" w:color="auto" w:sz="4" w:space="0"/>
            </w:tcBorders>
            <w:vAlign w:val="center"/>
          </w:tcPr>
          <w:p>
            <w:pPr>
              <w:jc w:val="center"/>
              <w:rPr>
                <w:rFonts w:ascii="宋体" w:hAnsi="宋体"/>
              </w:rPr>
            </w:pPr>
            <w:r>
              <w:rPr>
                <w:rFonts w:ascii="宋体" w:hAnsi="宋体"/>
              </w:rPr>
              <w:t>m</w:t>
            </w:r>
          </w:p>
        </w:tc>
        <w:tc>
          <w:tcPr>
            <w:tcW w:w="373" w:type="pc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1420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szCs w:val="22"/>
              </w:rPr>
              <w:t>130元/</w:t>
            </w:r>
            <w:r>
              <w:rPr>
                <w:rFonts w:ascii="宋体" w:hAnsi="宋体"/>
              </w:rPr>
              <w:t>m</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szCs w:val="22"/>
              </w:rPr>
              <w:t>元/</w:t>
            </w:r>
            <w:r>
              <w:rPr>
                <w:rFonts w:ascii="宋体" w:hAnsi="宋体"/>
              </w:rPr>
              <w:t>m</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包括轨道、压轨器等卸车、运输、倒运、安装等涉及的全部工序及人工费、机械费、材料费（</w:t>
            </w:r>
            <w:r>
              <w:rPr>
                <w:rFonts w:hint="eastAsia" w:ascii="宋体" w:hAnsi="宋体" w:cs="宋体"/>
                <w:b/>
                <w:color w:val="000000"/>
                <w:kern w:val="0"/>
                <w:sz w:val="18"/>
                <w:szCs w:val="18"/>
              </w:rPr>
              <w:t>不含轨道及压轨器材料费</w:t>
            </w:r>
            <w:r>
              <w:rPr>
                <w:rFonts w:hint="eastAsia" w:ascii="宋体" w:hAnsi="宋体" w:cs="宋体"/>
                <w:color w:val="000000"/>
                <w:kern w:val="0"/>
                <w:sz w:val="18"/>
                <w:szCs w:val="18"/>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22"/>
                <w:szCs w:val="22"/>
              </w:rPr>
            </w:pPr>
            <w:r>
              <w:rPr>
                <w:rFonts w:hint="eastAsia" w:ascii="宋体" w:hAnsi="宋体"/>
                <w:color w:val="000000"/>
                <w:sz w:val="22"/>
                <w:szCs w:val="22"/>
              </w:rPr>
              <w:t>3</w:t>
            </w:r>
          </w:p>
        </w:tc>
        <w:tc>
          <w:tcPr>
            <w:tcW w:w="809" w:type="pct"/>
            <w:tcBorders>
              <w:top w:val="nil"/>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彩钢瓦</w:t>
            </w:r>
          </w:p>
        </w:tc>
        <w:tc>
          <w:tcPr>
            <w:tcW w:w="259" w:type="pct"/>
            <w:tcBorders>
              <w:top w:val="nil"/>
              <w:left w:val="nil"/>
              <w:bottom w:val="single" w:color="auto" w:sz="4" w:space="0"/>
              <w:right w:val="single" w:color="auto" w:sz="4" w:space="0"/>
            </w:tcBorders>
            <w:vAlign w:val="center"/>
          </w:tcPr>
          <w:p>
            <w:pPr>
              <w:jc w:val="center"/>
              <w:rPr>
                <w:rFonts w:ascii="宋体" w:hAnsi="宋体"/>
                <w:vertAlign w:val="superscript"/>
              </w:rPr>
            </w:pPr>
            <w:r>
              <w:rPr>
                <w:rFonts w:ascii="宋体" w:hAnsi="宋体"/>
              </w:rPr>
              <w:t>m</w:t>
            </w:r>
            <w:r>
              <w:rPr>
                <w:rFonts w:hint="eastAsia" w:ascii="宋体" w:hAnsi="宋体"/>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10000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szCs w:val="22"/>
              </w:rPr>
              <w:t>50元/</w:t>
            </w:r>
            <w:r>
              <w:rPr>
                <w:rFonts w:ascii="宋体" w:hAnsi="宋体"/>
              </w:rPr>
              <w:t>m</w:t>
            </w:r>
            <w:r>
              <w:rPr>
                <w:rFonts w:hint="eastAsia" w:ascii="宋体" w:hAnsi="宋体"/>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szCs w:val="22"/>
              </w:rPr>
              <w:t>元/</w:t>
            </w:r>
            <w:r>
              <w:rPr>
                <w:rFonts w:ascii="宋体" w:hAnsi="宋体"/>
              </w:rPr>
              <w:t>m</w:t>
            </w:r>
            <w:r>
              <w:rPr>
                <w:rFonts w:hint="eastAsia" w:ascii="宋体" w:hAnsi="宋体"/>
                <w:vertAlign w:val="superscript"/>
              </w:rPr>
              <w:t>2</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包括卸车、运输、倒运、安装等涉及的全部工序及人工费、机械费、材料费（</w:t>
            </w:r>
            <w:r>
              <w:rPr>
                <w:rFonts w:hint="eastAsia" w:ascii="宋体" w:hAnsi="宋体" w:cs="宋体"/>
                <w:b/>
                <w:color w:val="000000"/>
                <w:kern w:val="0"/>
                <w:sz w:val="18"/>
                <w:szCs w:val="18"/>
              </w:rPr>
              <w:t>不含彩钢瓦材料费</w:t>
            </w:r>
            <w:r>
              <w:rPr>
                <w:rFonts w:hint="eastAsia" w:ascii="宋体" w:hAnsi="宋体" w:cs="宋体"/>
                <w:color w:val="000000"/>
                <w:kern w:val="0"/>
                <w:sz w:val="18"/>
                <w:szCs w:val="18"/>
              </w:rPr>
              <w:t xml:space="preserve">）、措施费、不可竞争费、税金、水电费等全部费用。 </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22"/>
                <w:szCs w:val="22"/>
              </w:rPr>
            </w:pPr>
            <w:r>
              <w:rPr>
                <w:rFonts w:hint="eastAsia" w:ascii="宋体" w:hAnsi="宋体"/>
                <w:color w:val="000000"/>
                <w:sz w:val="22"/>
                <w:szCs w:val="22"/>
              </w:rPr>
              <w:t>4</w:t>
            </w:r>
          </w:p>
        </w:tc>
        <w:tc>
          <w:tcPr>
            <w:tcW w:w="809" w:type="pct"/>
            <w:tcBorders>
              <w:top w:val="nil"/>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采光瓦</w:t>
            </w:r>
          </w:p>
        </w:tc>
        <w:tc>
          <w:tcPr>
            <w:tcW w:w="259" w:type="pct"/>
            <w:tcBorders>
              <w:top w:val="nil"/>
              <w:left w:val="nil"/>
              <w:bottom w:val="single" w:color="auto" w:sz="4" w:space="0"/>
              <w:right w:val="single" w:color="auto" w:sz="4" w:space="0"/>
            </w:tcBorders>
            <w:vAlign w:val="center"/>
          </w:tcPr>
          <w:p>
            <w:pPr>
              <w:jc w:val="center"/>
              <w:rPr>
                <w:rFonts w:ascii="宋体" w:hAnsi="宋体"/>
              </w:rPr>
            </w:pPr>
            <w:r>
              <w:rPr>
                <w:rFonts w:ascii="宋体" w:hAnsi="宋体"/>
              </w:rPr>
              <w:t>m</w:t>
            </w:r>
            <w:r>
              <w:rPr>
                <w:rFonts w:hint="eastAsia" w:ascii="宋体" w:hAnsi="宋体"/>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5500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szCs w:val="22"/>
              </w:rPr>
              <w:t>50元/</w:t>
            </w:r>
            <w:r>
              <w:rPr>
                <w:rFonts w:ascii="宋体" w:hAnsi="宋体"/>
              </w:rPr>
              <w:t>m</w:t>
            </w:r>
            <w:r>
              <w:rPr>
                <w:rFonts w:hint="eastAsia" w:ascii="宋体" w:hAnsi="宋体"/>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szCs w:val="22"/>
              </w:rPr>
              <w:t>元/</w:t>
            </w:r>
            <w:r>
              <w:rPr>
                <w:rFonts w:ascii="宋体" w:hAnsi="宋体"/>
              </w:rPr>
              <w:t>m</w:t>
            </w:r>
            <w:r>
              <w:rPr>
                <w:rFonts w:hint="eastAsia" w:ascii="宋体" w:hAnsi="宋体"/>
                <w:vertAlign w:val="superscript"/>
              </w:rPr>
              <w:t>2</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包括卸车、运输、倒运、安装等涉及的全部工序及人工费、机械费、材料费（</w:t>
            </w:r>
            <w:r>
              <w:rPr>
                <w:rFonts w:hint="eastAsia" w:ascii="宋体" w:hAnsi="宋体" w:cs="宋体"/>
                <w:b/>
                <w:color w:val="000000"/>
                <w:kern w:val="0"/>
                <w:sz w:val="18"/>
                <w:szCs w:val="18"/>
              </w:rPr>
              <w:t>不含采光瓦材料费</w:t>
            </w:r>
            <w:r>
              <w:rPr>
                <w:rFonts w:hint="eastAsia" w:ascii="宋体" w:hAnsi="宋体" w:cs="宋体"/>
                <w:color w:val="000000"/>
                <w:kern w:val="0"/>
                <w:sz w:val="18"/>
                <w:szCs w:val="18"/>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22"/>
                <w:szCs w:val="22"/>
              </w:rPr>
            </w:pPr>
            <w:r>
              <w:rPr>
                <w:rFonts w:hint="eastAsia" w:ascii="宋体" w:hAnsi="宋体"/>
                <w:color w:val="000000"/>
                <w:sz w:val="22"/>
                <w:szCs w:val="22"/>
              </w:rPr>
              <w:t>5</w:t>
            </w:r>
          </w:p>
        </w:tc>
        <w:tc>
          <w:tcPr>
            <w:tcW w:w="809" w:type="pct"/>
            <w:tcBorders>
              <w:top w:val="nil"/>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防火涂料</w:t>
            </w:r>
          </w:p>
        </w:tc>
        <w:tc>
          <w:tcPr>
            <w:tcW w:w="259" w:type="pct"/>
            <w:tcBorders>
              <w:top w:val="nil"/>
              <w:left w:val="nil"/>
              <w:bottom w:val="single" w:color="auto" w:sz="4" w:space="0"/>
              <w:right w:val="single" w:color="auto" w:sz="4" w:space="0"/>
            </w:tcBorders>
            <w:vAlign w:val="center"/>
          </w:tcPr>
          <w:p>
            <w:pPr>
              <w:jc w:val="center"/>
              <w:rPr>
                <w:rFonts w:ascii="宋体" w:hAnsi="宋体"/>
              </w:rPr>
            </w:pPr>
            <w:r>
              <w:rPr>
                <w:rFonts w:ascii="宋体" w:hAnsi="宋体"/>
                <w:kern w:val="0"/>
                <w:sz w:val="24"/>
              </w:rPr>
              <w:t>t</w:t>
            </w:r>
          </w:p>
        </w:tc>
        <w:tc>
          <w:tcPr>
            <w:tcW w:w="373" w:type="pc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1170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rPr>
              <w:t>1900元/</w:t>
            </w:r>
            <w:r>
              <w:rPr>
                <w:rFonts w:ascii="宋体" w:hAnsi="宋体"/>
                <w:kern w:val="0"/>
                <w:sz w:val="24"/>
              </w:rPr>
              <w:t>t</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2"/>
              </w:rPr>
            </w:pPr>
            <w:r>
              <w:rPr>
                <w:rFonts w:hint="eastAsia" w:ascii="宋体" w:hAnsi="宋体"/>
                <w:kern w:val="0"/>
                <w:sz w:val="24"/>
              </w:rPr>
              <w:t>元/</w:t>
            </w:r>
            <w:r>
              <w:rPr>
                <w:rFonts w:ascii="宋体" w:hAnsi="宋体"/>
                <w:kern w:val="0"/>
                <w:sz w:val="24"/>
              </w:rPr>
              <w:t>t</w:t>
            </w:r>
          </w:p>
        </w:tc>
        <w:tc>
          <w:tcPr>
            <w:tcW w:w="2228"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cs="宋体"/>
                <w:color w:val="000000"/>
                <w:kern w:val="0"/>
                <w:sz w:val="18"/>
                <w:szCs w:val="18"/>
              </w:rPr>
              <w:t>包括卸车、运输、倒运、喷涂等涉及的全部工序及人工费、机械费、材料费、措施费、不可竞争费、税金、水电费等全部费用。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r>
              <w:rPr>
                <w:rFonts w:hint="eastAsia" w:ascii="宋体" w:hAnsi="宋体"/>
                <w:color w:val="000000"/>
                <w:sz w:val="24"/>
                <w:szCs w:val="24"/>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 w:val="22"/>
                <w:szCs w:val="22"/>
              </w:rPr>
            </w:pPr>
            <w:r>
              <w:rPr>
                <w:rFonts w:hint="eastAsia" w:ascii="宋体" w:hAnsi="宋体"/>
                <w:color w:val="000000"/>
                <w:sz w:val="22"/>
                <w:szCs w:val="22"/>
              </w:rPr>
              <w:t>6</w:t>
            </w:r>
          </w:p>
        </w:tc>
        <w:tc>
          <w:tcPr>
            <w:tcW w:w="809" w:type="pct"/>
            <w:tcBorders>
              <w:top w:val="nil"/>
              <w:left w:val="nil"/>
              <w:bottom w:val="single" w:color="auto" w:sz="4" w:space="0"/>
              <w:right w:val="single" w:color="auto" w:sz="4" w:space="0"/>
            </w:tcBorders>
            <w:vAlign w:val="center"/>
          </w:tcPr>
          <w:p>
            <w:pPr>
              <w:jc w:val="left"/>
              <w:rPr>
                <w:rFonts w:ascii="宋体" w:hAnsi="宋体"/>
                <w:color w:val="000000"/>
                <w:sz w:val="22"/>
                <w:szCs w:val="22"/>
                <w:u w:val="single"/>
              </w:rPr>
            </w:pPr>
            <w:r>
              <w:rPr>
                <w:rFonts w:hint="eastAsia" w:ascii="宋体" w:hAnsi="宋体"/>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ind w:left="240" w:hanging="240" w:hangingChars="100"/>
              <w:jc w:val="left"/>
              <w:rPr>
                <w:rFonts w:ascii="宋体" w:hAnsi="宋体"/>
                <w:sz w:val="22"/>
                <w:szCs w:val="22"/>
              </w:rPr>
            </w:pPr>
            <w:r>
              <w:rPr>
                <w:rFonts w:hint="eastAsia" w:ascii="宋体" w:hAnsi="宋体"/>
                <w:bCs/>
                <w:sz w:val="24"/>
                <w:szCs w:val="24"/>
              </w:rPr>
              <w:t>暂估</w:t>
            </w:r>
            <w:r>
              <w:rPr>
                <w:rFonts w:hint="eastAsia" w:ascii="宋体" w:hAnsi="宋体"/>
                <w:sz w:val="24"/>
                <w:szCs w:val="24"/>
              </w:rPr>
              <w:t>金额400000元</w:t>
            </w:r>
          </w:p>
        </w:tc>
        <w:tc>
          <w:tcPr>
            <w:tcW w:w="479" w:type="pct"/>
            <w:tcBorders>
              <w:top w:val="nil"/>
              <w:left w:val="nil"/>
              <w:bottom w:val="single" w:color="auto" w:sz="4" w:space="0"/>
              <w:right w:val="single" w:color="auto" w:sz="4" w:space="0"/>
            </w:tcBorders>
            <w:vAlign w:val="center"/>
          </w:tcPr>
          <w:p>
            <w:pPr>
              <w:widowControl/>
              <w:jc w:val="center"/>
              <w:rPr>
                <w:rFonts w:ascii="宋体" w:hAnsi="宋体"/>
                <w:kern w:val="0"/>
                <w:sz w:val="24"/>
                <w:szCs w:val="22"/>
              </w:rPr>
            </w:pPr>
            <w:r>
              <w:rPr>
                <w:rFonts w:hint="eastAsia" w:ascii="宋体" w:hAnsi="宋体"/>
                <w:kern w:val="0"/>
                <w:sz w:val="24"/>
                <w:szCs w:val="22"/>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szCs w:val="22"/>
              </w:rPr>
            </w:pPr>
            <w:r>
              <w:rPr>
                <w:rFonts w:hint="eastAsia" w:ascii="宋体" w:hAnsi="宋体"/>
                <w:kern w:val="0"/>
                <w:sz w:val="24"/>
                <w:szCs w:val="22"/>
              </w:rPr>
              <w:t>优惠</w:t>
            </w:r>
            <w:r>
              <w:rPr>
                <w:rFonts w:hint="eastAsia" w:ascii="宋体" w:hAnsi="宋体"/>
                <w:kern w:val="0"/>
                <w:sz w:val="24"/>
                <w:szCs w:val="22"/>
                <w:u w:val="single"/>
              </w:rPr>
              <w:t xml:space="preserve">      </w:t>
            </w:r>
            <w:r>
              <w:rPr>
                <w:rFonts w:hint="eastAsia" w:ascii="宋体" w:hAnsi="宋体"/>
                <w:kern w:val="0"/>
                <w:sz w:val="24"/>
                <w:szCs w:val="22"/>
              </w:rPr>
              <w:t>%</w:t>
            </w:r>
          </w:p>
        </w:tc>
        <w:tc>
          <w:tcPr>
            <w:tcW w:w="2228" w:type="pct"/>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执行2018版安徽省建设工程计价定额及配套费用定额，材料费不参与总价优惠。措施项目费以现场确认形式据实计取，二次搬运费不计取。</w:t>
            </w:r>
          </w:p>
        </w:tc>
      </w:tr>
    </w:tbl>
    <w:p>
      <w:pPr>
        <w:spacing w:line="360" w:lineRule="auto"/>
        <w:rPr>
          <w:rFonts w:ascii="宋体" w:hAnsi="宋体" w:cs="宋体"/>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ind w:firstLine="964" w:firstLineChars="400"/>
        <w:jc w:val="both"/>
        <w:rPr>
          <w:rFonts w:hint="eastAsia"/>
        </w:rPr>
      </w:pPr>
      <w:r>
        <w:rPr>
          <w:rFonts w:hint="eastAsia" w:ascii="宋体" w:hAnsi="宋体" w:cs="宋体"/>
          <w:b/>
          <w:sz w:val="24"/>
          <w:szCs w:val="24"/>
          <w:lang w:val="en-US" w:eastAsia="zh-CN"/>
        </w:rPr>
        <w:t>注</w:t>
      </w:r>
      <w:r>
        <w:rPr>
          <w:rFonts w:hint="eastAsia" w:ascii="宋体" w:hAnsi="宋体" w:cs="宋体"/>
          <w:b/>
          <w:sz w:val="24"/>
          <w:szCs w:val="24"/>
        </w:rPr>
        <w:t>：本报价单需加盖投标单位公章和</w:t>
      </w:r>
      <w:r>
        <w:rPr>
          <w:rFonts w:hint="eastAsia"/>
          <w:b/>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15291886"/>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9C74F5E"/>
    <w:rsid w:val="0CDA2242"/>
    <w:rsid w:val="0DFC1491"/>
    <w:rsid w:val="0F5072FB"/>
    <w:rsid w:val="1DC136C9"/>
    <w:rsid w:val="1F240430"/>
    <w:rsid w:val="214D2E1E"/>
    <w:rsid w:val="21F73AF2"/>
    <w:rsid w:val="22574413"/>
    <w:rsid w:val="23883F50"/>
    <w:rsid w:val="24C93CD8"/>
    <w:rsid w:val="24E835CF"/>
    <w:rsid w:val="282A37D0"/>
    <w:rsid w:val="2B7C00FD"/>
    <w:rsid w:val="326329B3"/>
    <w:rsid w:val="34481C4C"/>
    <w:rsid w:val="414F268B"/>
    <w:rsid w:val="42BD7D8D"/>
    <w:rsid w:val="466D1141"/>
    <w:rsid w:val="47614EF9"/>
    <w:rsid w:val="492349FE"/>
    <w:rsid w:val="4F9F6F3E"/>
    <w:rsid w:val="52631A2B"/>
    <w:rsid w:val="529A772A"/>
    <w:rsid w:val="567534EE"/>
    <w:rsid w:val="582A7EEA"/>
    <w:rsid w:val="59A06F0E"/>
    <w:rsid w:val="5D882CE0"/>
    <w:rsid w:val="64A26E4D"/>
    <w:rsid w:val="66296C18"/>
    <w:rsid w:val="6903317D"/>
    <w:rsid w:val="6A715D94"/>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25</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2021-12-10T08:44:15Z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