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4" w:name="_GoBack"/>
      <w:r>
        <w:rPr>
          <w:rFonts w:hint="eastAsia" w:ascii="宋体" w:hAnsi="宋体"/>
          <w:color w:val="auto"/>
          <w:sz w:val="36"/>
          <w:szCs w:val="32"/>
          <w:lang w:eastAsia="zh-CN"/>
        </w:rPr>
        <w:t>铁前事业部焦区皮带通廊环境改善工程</w:t>
      </w:r>
      <w:r>
        <w:rPr>
          <w:rFonts w:hint="eastAsia" w:ascii="宋体" w:hAnsi="宋体"/>
          <w:color w:val="auto"/>
          <w:sz w:val="36"/>
          <w:szCs w:val="32"/>
          <w:lang w:val="en-US" w:eastAsia="zh-CN"/>
        </w:rPr>
        <w:t>项目</w:t>
      </w:r>
      <w:bookmarkEnd w:id="4"/>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铁前事业部焦区皮带通廊环境改善工程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15</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铁前事业部焦区皮带通廊环境改善工程</w:t>
      </w:r>
      <w:r>
        <w:rPr>
          <w:rFonts w:hint="eastAsia" w:ascii="宋体" w:hAnsi="宋体" w:cs="宋体"/>
          <w:color w:val="auto"/>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铁前事业部焦区皮带通廊环境改善工程项目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DN100及以下镀锌钢管安装约25t，DN100及以下焊接钢管安装约0.5t，DN100及以下阀门安装约187套，水泵安装约2台，软管盘卷安装约168盘，小于100KG以下的管道支架制安约0.3t，卸料装置安装约100t，卸料装置拆除约50t，新建水泵间、电气安装</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部分设备安装在地下通廊，需做好安全施工方案</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28</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03</w:t>
      </w:r>
      <w:r>
        <w:rPr>
          <w:rFonts w:hint="eastAsia" w:ascii="宋体" w:hAnsi="宋体" w:cs="宋体"/>
          <w:color w:val="auto"/>
          <w:kern w:val="36"/>
        </w:rPr>
        <w:t>-</w:t>
      </w:r>
      <w:r>
        <w:rPr>
          <w:rFonts w:hint="eastAsia" w:ascii="宋体" w:hAnsi="宋体" w:cs="宋体"/>
          <w:color w:val="auto"/>
          <w:kern w:val="36"/>
          <w:lang w:val="en-US" w:eastAsia="zh-CN"/>
        </w:rPr>
        <w:t>28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90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keepNext w:val="0"/>
        <w:keepLines w:val="0"/>
        <w:pageBreakBefore w:val="0"/>
        <w:numPr>
          <w:ilvl w:val="0"/>
          <w:numId w:val="2"/>
        </w:numPr>
        <w:kinsoku/>
        <w:wordWrap/>
        <w:overflowPunct/>
        <w:topLinePunct w:val="0"/>
        <w:autoSpaceDE/>
        <w:autoSpaceDN/>
        <w:bidi w:val="0"/>
        <w:adjustRightInd/>
        <w:spacing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该工程所有材料（除钢筋、阀门外）由承包人提供。</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外不予调整，钢材价格以2021年第10期芜湖市市场信息价为基准，芜湖市市场信息价没有的以合肥市市场信息价为基准，若施工期间材料单价涨跌幅超过±5%时，其超过部分据实调整钢材价格，芜湖和合肥市场信息价查询不到的不予调整。</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020"/>
        <w:gridCol w:w="1560"/>
        <w:gridCol w:w="10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铁前事业部焦区皮带通廊环境改善工程报价单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DN100及以下镀锌钢管安装</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21000元/t，包括管道、管件及保温材料的卸车、运输、倒运、管道管件安装、试压、吹扫、标识，岩棉安装、外包彩钢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DN100及以下焊接钢管安装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管件及保温材料的卸车、运输、倒运、管道管件安装、试压、吹扫、除锈刷漆（含油漆）、标识，岩棉安装、外包彩钢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拦标价：900元/台，包括水泵及配套电机的卸车、运输、倒运、检验、安装、调试、标识等涉及的全部工序及人工费、机械费、材料费、措施费、不可竞争费、税金、水电费等全部费用。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软管盘卷安装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拦标价：100元/盘，包括卸车、运输、倒运、检验、安装、调试、标识等涉及的全部工序及人工费、机械费、材料费、措施费、不可竞争费、税金、水电费等全部费用。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卸料装置安装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拦标价：2000元/t，包括卸车、运输、倒运、检验、安装、调试、标识等涉及的全部工序及人工费、机械费、材料费、措施费、不可竞争费、税金、水电费等全部费用。（含防尘罩、卸料装置等）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卸料装置拆除</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t，包括拆除、分解成块（600mm以内）、运输、倒运等涉及的全部工序及人工费、机械费、材料费、措施费、不可竞争费、税金、水电费等全部费用。由施工现场送至芜湖新兴铸管厂内指定地点（以磅单为结算依据），包含保温材料的拆除，不再单独计取费用。（含防尘罩、卸料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小于100KG以下的管道支架制安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托、支吊架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暂列金额 100000元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5"/>
                <w:bdr w:val="none" w:color="auto" w:sz="0" w:space="0"/>
                <w:lang w:val="en-US" w:eastAsia="zh-CN" w:bidi="ar"/>
              </w:rPr>
              <w:t>拦标价：99000元，执行2018版安徽省建设工程计价定额及配套费用定额，材料费不参与总价优惠。措施费以签证形式据实计取，二次搬运费不计取。（</w:t>
            </w:r>
            <w:r>
              <w:rPr>
                <w:rFonts w:hint="eastAsia" w:ascii="宋体" w:hAnsi="宋体" w:eastAsia="宋体" w:cs="宋体"/>
                <w:i w:val="0"/>
                <w:iCs w:val="0"/>
                <w:color w:val="FF0000"/>
                <w:kern w:val="0"/>
                <w:sz w:val="21"/>
                <w:szCs w:val="21"/>
                <w:u w:val="none"/>
                <w:bdr w:val="none" w:color="auto" w:sz="0" w:space="0"/>
                <w:lang w:val="en-US" w:eastAsia="zh-CN" w:bidi="ar"/>
              </w:rPr>
              <w:t>含新建水泵间</w:t>
            </w:r>
            <w:r>
              <w:rPr>
                <w:rStyle w:val="35"/>
                <w:bdr w:val="none" w:color="auto" w:sz="0" w:space="0"/>
                <w:lang w:val="en-US" w:eastAsia="zh-CN" w:bidi="ar"/>
              </w:rPr>
              <w:t>、电气安装等）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532887698"/>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8F64885"/>
    <w:rsid w:val="0A047221"/>
    <w:rsid w:val="0A0901C8"/>
    <w:rsid w:val="0B4A7DF3"/>
    <w:rsid w:val="0DFC1491"/>
    <w:rsid w:val="0E4F2C23"/>
    <w:rsid w:val="0F454D3F"/>
    <w:rsid w:val="104501EF"/>
    <w:rsid w:val="1179334A"/>
    <w:rsid w:val="121B22D6"/>
    <w:rsid w:val="133E6E16"/>
    <w:rsid w:val="13B43725"/>
    <w:rsid w:val="140F383A"/>
    <w:rsid w:val="14197C48"/>
    <w:rsid w:val="16367436"/>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D79318C"/>
    <w:rsid w:val="4DF81BD7"/>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31"/>
    <w:basedOn w:val="1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2021-12-14T01:11:11Z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