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搭临区改造项目公辅配套工程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04</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201008DLQGFPTGC</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rPr>
        <w:t>建筑工程施工总承包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05</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12</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搭临区改造项目公辅配套工程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周剑波        </w:t>
      </w:r>
      <w:r>
        <w:rPr>
          <w:rFonts w:hint="eastAsia" w:ascii="宋体" w:hAnsi="宋体" w:eastAsia="宋体" w:cs="宋体"/>
          <w:color w:val="2A2A2A"/>
          <w:kern w:val="0"/>
          <w:sz w:val="24"/>
          <w:szCs w:val="24"/>
        </w:rPr>
        <w:t>13155338076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搭临区改造项目公辅配套工程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搭临区改造项目公辅配套工程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01</w:t>
      </w:r>
      <w:bookmarkStart w:id="4" w:name="_GoBack"/>
      <w:bookmarkEnd w:id="4"/>
      <w:r>
        <w:rPr>
          <w:rFonts w:hint="eastAsia" w:ascii="宋体" w:hAnsi="宋体" w:cs="宋体"/>
          <w:bCs/>
          <w:color w:val="FF0000"/>
          <w:kern w:val="36"/>
        </w:rPr>
        <w:t>月</w:t>
      </w:r>
      <w:r>
        <w:rPr>
          <w:rFonts w:hint="eastAsia" w:ascii="宋体" w:hAnsi="宋体" w:cs="宋体"/>
          <w:bCs/>
          <w:color w:val="FF0000"/>
          <w:kern w:val="36"/>
          <w:u w:val="single"/>
          <w:lang w:val="en-US" w:eastAsia="zh-CN"/>
        </w:rPr>
        <w:t>12</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spacing w:line="360" w:lineRule="auto"/>
        <w:rPr>
          <w:rFonts w:hint="eastAsia" w:ascii="宋体" w:hAnsi="宋体"/>
          <w:lang w:eastAsia="zh-CN"/>
        </w:rPr>
      </w:pPr>
      <w:r>
        <w:rPr>
          <w:rFonts w:hint="eastAsia" w:ascii="宋体" w:hAnsi="宋体"/>
          <w:lang w:val="en-US" w:eastAsia="zh-CN"/>
        </w:rPr>
        <w:t xml:space="preserve">2.  </w:t>
      </w:r>
      <w:r>
        <w:rPr>
          <w:rFonts w:hint="eastAsia" w:ascii="宋体" w:hAnsi="宋体"/>
          <w:lang w:eastAsia="zh-CN"/>
        </w:rPr>
        <w:t>工程概况和估算工作量：本工程内容包括搭临区办公楼、电气室及照明、给排水、采暖、防雷接地等施工。</w:t>
      </w:r>
    </w:p>
    <w:p>
      <w:pPr>
        <w:spacing w:line="360" w:lineRule="auto"/>
        <w:rPr>
          <w:rFonts w:hint="eastAsia" w:ascii="宋体" w:hAnsi="宋体"/>
          <w:lang w:eastAsia="zh-CN"/>
        </w:rPr>
      </w:pPr>
      <w:r>
        <w:rPr>
          <w:rFonts w:hint="eastAsia" w:ascii="宋体" w:hAnsi="宋体"/>
          <w:lang w:eastAsia="zh-CN"/>
        </w:rPr>
        <w:t>办公楼：三层钢筋混凝土框架结构，建筑面积1076.4m2，高11m。</w:t>
      </w:r>
    </w:p>
    <w:p>
      <w:pPr>
        <w:spacing w:line="360" w:lineRule="auto"/>
        <w:rPr>
          <w:rFonts w:hint="eastAsia" w:ascii="宋体" w:hAnsi="宋体"/>
          <w:lang w:eastAsia="zh-CN"/>
        </w:rPr>
      </w:pPr>
      <w:r>
        <w:rPr>
          <w:rFonts w:hint="eastAsia" w:ascii="宋体" w:hAnsi="宋体"/>
          <w:lang w:eastAsia="zh-CN"/>
        </w:rPr>
        <w:t>电气室：二层钢筋混凝土框架结构，建筑面积130m2，高8m。</w:t>
      </w:r>
    </w:p>
    <w:p>
      <w:pPr>
        <w:spacing w:line="360" w:lineRule="auto"/>
        <w:rPr>
          <w:rFonts w:hint="eastAsia" w:ascii="宋体" w:hAnsi="宋体"/>
          <w:lang w:val="en-US" w:eastAsia="zh-CN"/>
        </w:rPr>
      </w:pPr>
      <w:r>
        <w:rPr>
          <w:rFonts w:hint="eastAsia" w:ascii="宋体" w:hAnsi="宋体"/>
          <w:lang w:eastAsia="zh-CN"/>
        </w:rPr>
        <w:t>估算工程量：砼浇筑约500m3、钢筋制安约75t、砖砌筑约414 m3、刷(涂料)漆约5600m2、瓷砖粘贴约1100 m2等</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eastAsia="zh-CN"/>
        </w:rPr>
      </w:pPr>
      <w:r>
        <w:rPr>
          <w:rFonts w:hint="eastAsia" w:ascii="宋体" w:hAnsi="宋体"/>
          <w:lang w:eastAsia="zh-CN"/>
        </w:rPr>
        <w:t>开工日期： 2022年</w:t>
      </w:r>
      <w:r>
        <w:rPr>
          <w:rFonts w:hint="eastAsia" w:ascii="宋体" w:hAnsi="宋体"/>
          <w:lang w:val="en-US" w:eastAsia="zh-CN"/>
        </w:rPr>
        <w:t>02</w:t>
      </w:r>
      <w:r>
        <w:rPr>
          <w:rFonts w:hint="eastAsia" w:ascii="宋体" w:hAnsi="宋体"/>
          <w:lang w:eastAsia="zh-CN"/>
        </w:rPr>
        <w:t>月</w:t>
      </w:r>
      <w:r>
        <w:rPr>
          <w:rFonts w:hint="eastAsia" w:ascii="宋体" w:hAnsi="宋体"/>
          <w:lang w:val="en-US" w:eastAsia="zh-CN"/>
        </w:rPr>
        <w:t>10</w:t>
      </w:r>
      <w:r>
        <w:rPr>
          <w:rFonts w:hint="eastAsia" w:ascii="宋体" w:hAnsi="宋体"/>
          <w:lang w:eastAsia="zh-CN"/>
        </w:rPr>
        <w:t xml:space="preserve">日 （暂定）                                          </w:t>
      </w:r>
    </w:p>
    <w:p>
      <w:pPr>
        <w:spacing w:line="360" w:lineRule="auto"/>
        <w:rPr>
          <w:rFonts w:hint="eastAsia" w:ascii="宋体" w:hAnsi="宋体"/>
          <w:lang w:eastAsia="zh-CN"/>
        </w:rPr>
      </w:pPr>
      <w:r>
        <w:rPr>
          <w:rFonts w:hint="eastAsia" w:ascii="宋体" w:hAnsi="宋体"/>
          <w:lang w:eastAsia="zh-CN"/>
        </w:rPr>
        <w:t>竣工日期： 2022年</w:t>
      </w:r>
      <w:r>
        <w:rPr>
          <w:rFonts w:hint="eastAsia" w:ascii="宋体" w:hAnsi="宋体"/>
          <w:lang w:val="en-US" w:eastAsia="zh-CN"/>
        </w:rPr>
        <w:t>0</w:t>
      </w:r>
      <w:r>
        <w:rPr>
          <w:rFonts w:hint="eastAsia" w:ascii="宋体" w:hAnsi="宋体"/>
          <w:lang w:eastAsia="zh-CN"/>
        </w:rPr>
        <w:t>4月</w:t>
      </w:r>
      <w:r>
        <w:rPr>
          <w:rFonts w:hint="eastAsia" w:ascii="宋体" w:hAnsi="宋体"/>
          <w:lang w:val="en-US" w:eastAsia="zh-CN"/>
        </w:rPr>
        <w:t>15</w:t>
      </w:r>
      <w:r>
        <w:rPr>
          <w:rFonts w:hint="eastAsia" w:ascii="宋体" w:hAnsi="宋体"/>
          <w:lang w:eastAsia="zh-CN"/>
        </w:rPr>
        <w:t xml:space="preserve">日                                              </w:t>
      </w:r>
    </w:p>
    <w:p>
      <w:pPr>
        <w:spacing w:line="360" w:lineRule="auto"/>
        <w:rPr>
          <w:rFonts w:ascii="宋体" w:hAnsi="宋体"/>
        </w:rPr>
      </w:pPr>
      <w:r>
        <w:rPr>
          <w:rFonts w:hint="eastAsia" w:ascii="宋体" w:hAnsi="宋体"/>
          <w:lang w:eastAsia="zh-CN"/>
        </w:rPr>
        <w:t xml:space="preserve">合同工期总日历天数   </w:t>
      </w:r>
      <w:r>
        <w:rPr>
          <w:rFonts w:hint="eastAsia" w:ascii="宋体" w:hAnsi="宋体"/>
          <w:lang w:val="en-US" w:eastAsia="zh-CN"/>
        </w:rPr>
        <w:t>65</w:t>
      </w:r>
      <w:r>
        <w:rPr>
          <w:rFonts w:hint="eastAsia" w:ascii="宋体" w:hAnsi="宋体"/>
          <w:lang w:eastAsia="zh-CN"/>
        </w:rPr>
        <w:t xml:space="preserve">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Lines="50" w:afterLines="50"/>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rPr>
          <w:rFonts w:hint="eastAsia" w:ascii="宋体" w:hAnsi="宋体" w:eastAsiaTheme="minorEastAsia" w:cstheme="minorBidi"/>
          <w:kern w:val="2"/>
          <w:sz w:val="21"/>
          <w:szCs w:val="22"/>
          <w:lang w:val="en-US" w:eastAsia="zh-CN" w:bidi="ar-SA"/>
        </w:rPr>
      </w:pPr>
      <w:bookmarkStart w:id="0" w:name="_Hlk67732197"/>
      <w:r>
        <w:rPr>
          <w:rFonts w:hint="eastAsia" w:ascii="宋体" w:hAnsi="宋体" w:eastAsiaTheme="minorEastAsia" w:cstheme="minorBidi"/>
          <w:color w:val="FF0000"/>
          <w:kern w:val="2"/>
          <w:sz w:val="21"/>
          <w:szCs w:val="22"/>
          <w:lang w:val="en-US" w:eastAsia="zh-CN" w:bidi="ar-SA"/>
        </w:rPr>
        <w:t>单价包干部分材料价差除钢材外不予调整，钢材价格以2021年第11期芜湖市市场信息价为基准，芜湖市市场信息价没有的以合肥市市场信息价为基准，若施工期间材料单价涨跌幅超过±5%时，其超过部分据实调整钢材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r>
        <w:rPr>
          <w:rFonts w:hint="eastAsia" w:ascii="宋体" w:hAnsi="宋体" w:eastAsiaTheme="minorEastAsia" w:cstheme="minorBidi"/>
          <w:bCs/>
          <w:kern w:val="2"/>
          <w:sz w:val="21"/>
          <w:szCs w:val="22"/>
          <w:lang w:val="en-US" w:eastAsia="zh-CN" w:bidi="ar-SA"/>
        </w:rPr>
        <w:t>。</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13. 本次招标采取综合评分的方式进行评标，评分标准按以下表格计分，投标单位需对表内要求内容在投</w:t>
      </w:r>
      <w:r>
        <w:rPr>
          <w:rFonts w:hint="eastAsia"/>
          <w:bCs/>
          <w:kern w:val="36"/>
          <w:szCs w:val="21"/>
        </w:rPr>
        <w:t>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贰仟圆整（¥：2000元整）。竣工工期每延误1天，承包人向发包人支付违约金伍仟圆整（¥：5000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2"/>
          <w:szCs w:val="32"/>
        </w:rPr>
      </w:pPr>
      <w:r>
        <w:rPr>
          <w:rFonts w:hint="eastAsia" w:ascii="宋体" w:hAnsi="宋体"/>
          <w:b/>
          <w:bCs/>
          <w:sz w:val="32"/>
          <w:szCs w:val="32"/>
        </w:rPr>
        <w:t>搭临区改造项目公辅配套工程报价单</w:t>
      </w:r>
    </w:p>
    <w:tbl>
      <w:tblPr>
        <w:tblStyle w:val="13"/>
        <w:tblpPr w:leftFromText="180" w:rightFromText="180" w:vertAnchor="text" w:horzAnchor="page" w:tblpX="1089" w:tblpY="345"/>
        <w:tblOverlap w:val="never"/>
        <w:tblW w:w="14578" w:type="dxa"/>
        <w:tblInd w:w="0" w:type="dxa"/>
        <w:tblLayout w:type="fixed"/>
        <w:tblCellMar>
          <w:top w:w="0" w:type="dxa"/>
          <w:left w:w="108" w:type="dxa"/>
          <w:bottom w:w="0" w:type="dxa"/>
          <w:right w:w="108" w:type="dxa"/>
        </w:tblCellMar>
      </w:tblPr>
      <w:tblGrid>
        <w:gridCol w:w="756"/>
        <w:gridCol w:w="2301"/>
        <w:gridCol w:w="737"/>
        <w:gridCol w:w="1061"/>
        <w:gridCol w:w="1362"/>
        <w:gridCol w:w="1666"/>
        <w:gridCol w:w="6695"/>
      </w:tblGrid>
      <w:tr>
        <w:tblPrEx>
          <w:tblLayout w:type="fixed"/>
          <w:tblCellMar>
            <w:top w:w="0" w:type="dxa"/>
            <w:left w:w="108" w:type="dxa"/>
            <w:bottom w:w="0" w:type="dxa"/>
            <w:right w:w="108" w:type="dxa"/>
          </w:tblCellMar>
        </w:tblPrEx>
        <w:trPr>
          <w:trHeight w:val="90" w:hRule="atLeast"/>
        </w:trPr>
        <w:tc>
          <w:tcPr>
            <w:tcW w:w="7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3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分项名称</w:t>
            </w:r>
          </w:p>
        </w:tc>
        <w:tc>
          <w:tcPr>
            <w:tcW w:w="73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0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暂估工程量</w:t>
            </w:r>
          </w:p>
        </w:tc>
        <w:tc>
          <w:tcPr>
            <w:tcW w:w="13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拦标价</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报价</w:t>
            </w:r>
          </w:p>
        </w:tc>
        <w:tc>
          <w:tcPr>
            <w:tcW w:w="66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工作内容</w:t>
            </w:r>
          </w:p>
        </w:tc>
      </w:tr>
      <w:tr>
        <w:tblPrEx>
          <w:tblLayout w:type="fixed"/>
          <w:tblCellMar>
            <w:top w:w="0" w:type="dxa"/>
            <w:left w:w="108" w:type="dxa"/>
            <w:bottom w:w="0" w:type="dxa"/>
            <w:right w:w="108" w:type="dxa"/>
          </w:tblCellMar>
        </w:tblPrEx>
        <w:trPr>
          <w:trHeight w:val="154" w:hRule="atLeast"/>
        </w:trPr>
        <w:tc>
          <w:tcPr>
            <w:tcW w:w="14578"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color w:val="000000"/>
                <w:kern w:val="0"/>
                <w:sz w:val="18"/>
                <w:szCs w:val="18"/>
              </w:rPr>
              <w:t>一、单价包干部分</w:t>
            </w:r>
          </w:p>
        </w:tc>
      </w:tr>
      <w:tr>
        <w:tblPrEx>
          <w:tblLayout w:type="fixed"/>
          <w:tblCellMar>
            <w:top w:w="0" w:type="dxa"/>
            <w:left w:w="108" w:type="dxa"/>
            <w:bottom w:w="0" w:type="dxa"/>
            <w:right w:w="108" w:type="dxa"/>
          </w:tblCellMar>
        </w:tblPrEx>
        <w:trPr>
          <w:trHeight w:val="440" w:hRule="atLeast"/>
        </w:trPr>
        <w:tc>
          <w:tcPr>
            <w:tcW w:w="7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5"/>
                <w:szCs w:val="15"/>
              </w:rPr>
            </w:pPr>
            <w:r>
              <w:rPr>
                <w:rFonts w:hint="eastAsia" w:ascii="宋体" w:hAnsi="宋体"/>
                <w:color w:val="000000"/>
                <w:sz w:val="15"/>
                <w:szCs w:val="15"/>
              </w:rPr>
              <w:t>1</w:t>
            </w:r>
          </w:p>
        </w:tc>
        <w:tc>
          <w:tcPr>
            <w:tcW w:w="2301"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15"/>
                <w:szCs w:val="15"/>
              </w:rPr>
            </w:pPr>
            <w:r>
              <w:rPr>
                <w:rFonts w:hint="eastAsia" w:ascii="宋体" w:hAnsi="宋体"/>
                <w:color w:val="000000"/>
                <w:kern w:val="0"/>
                <w:sz w:val="15"/>
                <w:szCs w:val="15"/>
              </w:rPr>
              <w:t>机械开挖土方</w:t>
            </w:r>
          </w:p>
        </w:tc>
        <w:tc>
          <w:tcPr>
            <w:tcW w:w="73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vertAlign w:val="superscript"/>
              </w:rPr>
            </w:pPr>
            <w:r>
              <w:rPr>
                <w:rFonts w:ascii="宋体" w:hAnsi="宋体"/>
                <w:kern w:val="0"/>
                <w:sz w:val="15"/>
                <w:szCs w:val="15"/>
              </w:rPr>
              <w:t>m</w:t>
            </w:r>
            <w:r>
              <w:rPr>
                <w:rFonts w:ascii="宋体" w:hAnsi="宋体"/>
                <w:kern w:val="0"/>
                <w:sz w:val="15"/>
                <w:szCs w:val="15"/>
                <w:vertAlign w:val="superscript"/>
              </w:rPr>
              <w:t>3</w:t>
            </w:r>
          </w:p>
        </w:tc>
        <w:tc>
          <w:tcPr>
            <w:tcW w:w="1061" w:type="dxa"/>
            <w:tcBorders>
              <w:top w:val="nil"/>
              <w:left w:val="nil"/>
              <w:bottom w:val="single" w:color="auto" w:sz="4" w:space="0"/>
              <w:right w:val="single" w:color="auto" w:sz="4" w:space="0"/>
            </w:tcBorders>
            <w:vAlign w:val="center"/>
          </w:tcPr>
          <w:p>
            <w:pPr>
              <w:widowControl/>
              <w:jc w:val="center"/>
              <w:rPr>
                <w:rFonts w:ascii="宋体" w:hAnsi="宋体"/>
                <w:sz w:val="15"/>
                <w:szCs w:val="15"/>
              </w:rPr>
            </w:pPr>
            <w:r>
              <w:rPr>
                <w:rFonts w:hint="eastAsia" w:ascii="宋体" w:hAnsi="宋体"/>
                <w:sz w:val="15"/>
                <w:szCs w:val="15"/>
              </w:rPr>
              <w:t>485</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36元/</w:t>
            </w:r>
            <w:r>
              <w:rPr>
                <w:rFonts w:ascii="宋体" w:hAnsi="宋体"/>
                <w:kern w:val="0"/>
                <w:sz w:val="15"/>
                <w:szCs w:val="15"/>
              </w:rPr>
              <w:t>m</w:t>
            </w:r>
            <w:r>
              <w:rPr>
                <w:rFonts w:ascii="宋体" w:hAnsi="宋体"/>
                <w:kern w:val="0"/>
                <w:sz w:val="15"/>
                <w:szCs w:val="15"/>
                <w:vertAlign w:val="superscript"/>
              </w:rPr>
              <w:t>3</w:t>
            </w:r>
          </w:p>
        </w:tc>
        <w:tc>
          <w:tcPr>
            <w:tcW w:w="166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kern w:val="0"/>
                <w:sz w:val="15"/>
                <w:szCs w:val="15"/>
              </w:rPr>
              <w:t>元/</w:t>
            </w:r>
            <w:r>
              <w:rPr>
                <w:rFonts w:ascii="宋体" w:hAnsi="宋体"/>
                <w:kern w:val="0"/>
                <w:sz w:val="15"/>
                <w:szCs w:val="15"/>
              </w:rPr>
              <w:t>m</w:t>
            </w:r>
            <w:r>
              <w:rPr>
                <w:rFonts w:ascii="宋体" w:hAnsi="宋体"/>
                <w:kern w:val="0"/>
                <w:sz w:val="15"/>
                <w:szCs w:val="15"/>
                <w:vertAlign w:val="superscript"/>
              </w:rPr>
              <w:t>3</w:t>
            </w:r>
          </w:p>
        </w:tc>
        <w:tc>
          <w:tcPr>
            <w:tcW w:w="6695" w:type="dxa"/>
            <w:tcBorders>
              <w:top w:val="single" w:color="auto" w:sz="4" w:space="0"/>
              <w:left w:val="nil"/>
              <w:bottom w:val="single" w:color="auto" w:sz="4" w:space="0"/>
              <w:right w:val="single" w:color="auto" w:sz="4" w:space="0"/>
            </w:tcBorders>
          </w:tcPr>
          <w:p>
            <w:pPr>
              <w:rPr>
                <w:rFonts w:ascii="宋体" w:hAnsi="宋体"/>
                <w:sz w:val="15"/>
                <w:szCs w:val="15"/>
              </w:rPr>
            </w:pPr>
            <w:r>
              <w:rPr>
                <w:rFonts w:hint="eastAsia" w:ascii="宋体" w:hAnsi="宋体"/>
                <w:sz w:val="15"/>
                <w:szCs w:val="15"/>
              </w:rPr>
              <w:t>包括开挖、装车、外排（外运5km）人工清底等涉及的全部工序及人工费、机械费、材料费、措施费、不可竞争费、税金、水电费等全部费用。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365" w:hRule="atLeast"/>
        </w:trPr>
        <w:tc>
          <w:tcPr>
            <w:tcW w:w="756" w:type="dxa"/>
            <w:tcBorders>
              <w:top w:val="nil"/>
              <w:left w:val="single" w:color="auto" w:sz="4" w:space="0"/>
              <w:bottom w:val="nil"/>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2</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土方回填</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kern w:val="0"/>
                <w:sz w:val="15"/>
                <w:szCs w:val="15"/>
              </w:rPr>
              <w:t>m</w:t>
            </w:r>
            <w:r>
              <w:rPr>
                <w:rFonts w:ascii="宋体" w:hAnsi="宋体"/>
                <w:kern w:val="0"/>
                <w:sz w:val="15"/>
                <w:szCs w:val="15"/>
                <w:vertAlign w:val="superscript"/>
              </w:rPr>
              <w:t>3</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78</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28元/</w:t>
            </w:r>
            <w:r>
              <w:rPr>
                <w:rFonts w:ascii="宋体" w:hAnsi="宋体"/>
                <w:kern w:val="0"/>
                <w:sz w:val="15"/>
                <w:szCs w:val="15"/>
              </w:rPr>
              <w:t>m</w:t>
            </w:r>
            <w:r>
              <w:rPr>
                <w:rFonts w:ascii="宋体" w:hAnsi="宋体"/>
                <w:kern w:val="0"/>
                <w:sz w:val="15"/>
                <w:szCs w:val="15"/>
                <w:vertAlign w:val="superscript"/>
              </w:rPr>
              <w:t>3</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ascii="宋体" w:hAnsi="宋体"/>
                <w:kern w:val="0"/>
                <w:sz w:val="15"/>
                <w:szCs w:val="15"/>
                <w:vertAlign w:val="superscript"/>
              </w:rPr>
              <w:t>3</w:t>
            </w:r>
          </w:p>
        </w:tc>
        <w:tc>
          <w:tcPr>
            <w:tcW w:w="6695" w:type="dxa"/>
            <w:tcBorders>
              <w:top w:val="single" w:color="auto" w:sz="4" w:space="0"/>
              <w:left w:val="nil"/>
              <w:bottom w:val="single" w:color="auto" w:sz="4" w:space="0"/>
              <w:right w:val="single" w:color="auto" w:sz="4" w:space="0"/>
            </w:tcBorders>
          </w:tcPr>
          <w:p>
            <w:pPr>
              <w:rPr>
                <w:rFonts w:ascii="宋体" w:hAnsi="宋体"/>
                <w:sz w:val="15"/>
                <w:szCs w:val="15"/>
              </w:rPr>
            </w:pPr>
            <w:r>
              <w:rPr>
                <w:rFonts w:hint="eastAsia" w:ascii="宋体" w:hAnsi="宋体"/>
                <w:sz w:val="15"/>
                <w:szCs w:val="15"/>
              </w:rPr>
              <w:t>包括装车、运输、回填、平整、夯实等涉及的全部工序及人工费、机械费、材料费、措施费、不可竞争费、税金、水电费等全部费用。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267"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3</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砼浇筑</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kern w:val="0"/>
                <w:sz w:val="15"/>
                <w:szCs w:val="15"/>
              </w:rPr>
              <w:t>m</w:t>
            </w:r>
            <w:r>
              <w:rPr>
                <w:rFonts w:ascii="宋体" w:hAnsi="宋体"/>
                <w:kern w:val="0"/>
                <w:sz w:val="15"/>
                <w:szCs w:val="15"/>
                <w:vertAlign w:val="superscript"/>
              </w:rPr>
              <w:t>3</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500</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1350元/</w:t>
            </w:r>
            <w:r>
              <w:rPr>
                <w:rFonts w:ascii="宋体" w:hAnsi="宋体"/>
                <w:kern w:val="0"/>
                <w:sz w:val="15"/>
                <w:szCs w:val="15"/>
              </w:rPr>
              <w:t>m</w:t>
            </w:r>
            <w:r>
              <w:rPr>
                <w:rFonts w:ascii="宋体" w:hAnsi="宋体"/>
                <w:kern w:val="0"/>
                <w:sz w:val="15"/>
                <w:szCs w:val="15"/>
                <w:vertAlign w:val="superscript"/>
              </w:rPr>
              <w:t>3</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ascii="宋体" w:hAnsi="宋体"/>
                <w:kern w:val="0"/>
                <w:sz w:val="15"/>
                <w:szCs w:val="15"/>
                <w:vertAlign w:val="superscript"/>
              </w:rPr>
              <w:t>3</w:t>
            </w:r>
          </w:p>
        </w:tc>
        <w:tc>
          <w:tcPr>
            <w:tcW w:w="6695" w:type="dxa"/>
            <w:tcBorders>
              <w:top w:val="single" w:color="auto" w:sz="4" w:space="0"/>
              <w:left w:val="nil"/>
              <w:bottom w:val="single" w:color="auto" w:sz="4" w:space="0"/>
              <w:right w:val="single" w:color="auto" w:sz="4" w:space="0"/>
            </w:tcBorders>
          </w:tcPr>
          <w:p>
            <w:pPr>
              <w:rPr>
                <w:rFonts w:ascii="宋体" w:hAnsi="宋体"/>
                <w:sz w:val="15"/>
                <w:szCs w:val="15"/>
              </w:rPr>
            </w:pPr>
            <w:r>
              <w:rPr>
                <w:rFonts w:hint="eastAsia" w:ascii="宋体" w:hAnsi="宋体"/>
                <w:sz w:val="15"/>
                <w:szCs w:val="15"/>
              </w:rPr>
              <w:t>包括卸车、运输、倒运、支模、对拉丝、浇筑、脚手架、养生、伸缩缝施工等涉及的全部工序及人工费、机械费、材料费、措施费、不可竞争费、税金、水电费等全部费用。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255"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4</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钢筋制安</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t</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75</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1450元/</w:t>
            </w:r>
            <w:r>
              <w:rPr>
                <w:rFonts w:ascii="宋体" w:hAnsi="宋体"/>
                <w:sz w:val="15"/>
                <w:szCs w:val="15"/>
              </w:rPr>
              <w:t>t</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sz w:val="15"/>
                <w:szCs w:val="15"/>
              </w:rPr>
              <w:t>t</w:t>
            </w:r>
          </w:p>
        </w:tc>
        <w:tc>
          <w:tcPr>
            <w:tcW w:w="6695" w:type="dxa"/>
            <w:tcBorders>
              <w:top w:val="single" w:color="auto" w:sz="4" w:space="0"/>
              <w:left w:val="nil"/>
              <w:bottom w:val="single" w:color="auto" w:sz="4" w:space="0"/>
              <w:right w:val="single" w:color="auto" w:sz="4" w:space="0"/>
            </w:tcBorders>
          </w:tcPr>
          <w:p>
            <w:pPr>
              <w:rPr>
                <w:rFonts w:ascii="宋体" w:hAnsi="宋体"/>
                <w:sz w:val="15"/>
                <w:szCs w:val="15"/>
              </w:rPr>
            </w:pPr>
            <w:r>
              <w:rPr>
                <w:rFonts w:hint="eastAsia" w:ascii="宋体" w:hAnsi="宋体"/>
                <w:sz w:val="15"/>
                <w:szCs w:val="15"/>
              </w:rPr>
              <w:t>包括卸车、运输、倒运、制作、安装等涉及的全部工序及人工费、机械费、材料费</w:t>
            </w:r>
            <w:r>
              <w:rPr>
                <w:rFonts w:hint="eastAsia" w:ascii="宋体" w:hAnsi="宋体"/>
                <w:b/>
                <w:sz w:val="15"/>
                <w:szCs w:val="15"/>
              </w:rPr>
              <w:t>(不含钢筋材料费)</w:t>
            </w:r>
            <w:r>
              <w:rPr>
                <w:rFonts w:hint="eastAsia" w:ascii="宋体" w:hAnsi="宋体"/>
                <w:sz w:val="15"/>
                <w:szCs w:val="15"/>
              </w:rPr>
              <w:t>、措施费、不可竞争费、税金、水电费等全部费用。</w:t>
            </w:r>
          </w:p>
        </w:tc>
      </w:tr>
      <w:tr>
        <w:tblPrEx>
          <w:tblLayout w:type="fixed"/>
          <w:tblCellMar>
            <w:top w:w="0" w:type="dxa"/>
            <w:left w:w="108" w:type="dxa"/>
            <w:bottom w:w="0" w:type="dxa"/>
            <w:right w:w="108" w:type="dxa"/>
          </w:tblCellMar>
        </w:tblPrEx>
        <w:trPr>
          <w:trHeight w:val="230"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5</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砖砌筑</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kern w:val="0"/>
                <w:sz w:val="15"/>
                <w:szCs w:val="15"/>
              </w:rPr>
              <w:t>m</w:t>
            </w:r>
            <w:r>
              <w:rPr>
                <w:rFonts w:ascii="宋体" w:hAnsi="宋体"/>
                <w:kern w:val="0"/>
                <w:sz w:val="15"/>
                <w:szCs w:val="15"/>
                <w:vertAlign w:val="superscript"/>
              </w:rPr>
              <w:t>3</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414</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850元/</w:t>
            </w:r>
            <w:r>
              <w:rPr>
                <w:rFonts w:ascii="宋体" w:hAnsi="宋体"/>
                <w:kern w:val="0"/>
                <w:sz w:val="15"/>
                <w:szCs w:val="15"/>
              </w:rPr>
              <w:t>m</w:t>
            </w:r>
            <w:r>
              <w:rPr>
                <w:rFonts w:ascii="宋体" w:hAnsi="宋体"/>
                <w:kern w:val="0"/>
                <w:sz w:val="15"/>
                <w:szCs w:val="15"/>
                <w:vertAlign w:val="superscript"/>
              </w:rPr>
              <w:t>3</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ascii="宋体" w:hAnsi="宋体"/>
                <w:kern w:val="0"/>
                <w:sz w:val="15"/>
                <w:szCs w:val="15"/>
                <w:vertAlign w:val="superscript"/>
              </w:rPr>
              <w:t>3</w:t>
            </w:r>
          </w:p>
        </w:tc>
        <w:tc>
          <w:tcPr>
            <w:tcW w:w="6695" w:type="dxa"/>
            <w:tcBorders>
              <w:top w:val="single" w:color="auto" w:sz="4" w:space="0"/>
              <w:left w:val="nil"/>
              <w:bottom w:val="single" w:color="auto" w:sz="4" w:space="0"/>
              <w:right w:val="single" w:color="auto" w:sz="4" w:space="0"/>
            </w:tcBorders>
          </w:tcPr>
          <w:p>
            <w:pPr>
              <w:rPr>
                <w:rFonts w:ascii="宋体" w:hAnsi="宋体"/>
                <w:sz w:val="15"/>
                <w:szCs w:val="15"/>
              </w:rPr>
            </w:pPr>
            <w:r>
              <w:rPr>
                <w:rFonts w:hint="eastAsia" w:ascii="宋体" w:hAnsi="宋体"/>
                <w:sz w:val="15"/>
                <w:szCs w:val="15"/>
              </w:rPr>
              <w:t>包括搅拌调、运、铺砂浆，运砖，砌砖，脚手架等涉及的全部工序及人工费、机械费、材料费、措施费、不可竞争费、税金、水电费等全部费用。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167"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6</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门窗（办公楼）</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vertAlign w:val="superscript"/>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237</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452元/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tcPr>
          <w:p>
            <w:pPr>
              <w:rPr>
                <w:rFonts w:ascii="宋体" w:hAnsi="宋体"/>
                <w:sz w:val="15"/>
                <w:szCs w:val="15"/>
              </w:rPr>
            </w:pPr>
            <w:r>
              <w:rPr>
                <w:rFonts w:hint="eastAsia" w:ascii="宋体" w:hAnsi="宋体"/>
                <w:sz w:val="15"/>
                <w:szCs w:val="15"/>
              </w:rPr>
              <w:t>包括运输、卸车、安装等涉及的全部工序及人工费、机械费、材料费、措施费、不可竞争费、税金、水电费等全部费用。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267"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7</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门窗（电气室）</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vertAlign w:val="superscript"/>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44</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620元/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tcPr>
          <w:p>
            <w:pPr>
              <w:rPr>
                <w:rFonts w:ascii="宋体" w:hAnsi="宋体"/>
                <w:sz w:val="15"/>
                <w:szCs w:val="15"/>
              </w:rPr>
            </w:pPr>
            <w:r>
              <w:rPr>
                <w:rFonts w:hint="eastAsia" w:ascii="宋体" w:hAnsi="宋体"/>
                <w:sz w:val="15"/>
                <w:szCs w:val="15"/>
              </w:rPr>
              <w:t>包括运输、卸车、安装等涉及的全部工序及人工费、机械费、材料费、措施费、不可竞争费、税金、水电费等全部费用。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225"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8</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抹灰</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5600</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42元/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tcPr>
          <w:p>
            <w:pPr>
              <w:rPr>
                <w:rFonts w:ascii="宋体" w:hAnsi="宋体"/>
                <w:sz w:val="15"/>
                <w:szCs w:val="15"/>
              </w:rPr>
            </w:pPr>
            <w:r>
              <w:rPr>
                <w:rFonts w:hint="eastAsia" w:ascii="宋体" w:hAnsi="宋体"/>
                <w:sz w:val="15"/>
                <w:szCs w:val="15"/>
              </w:rPr>
              <w:t>包括清理、修补、湿润基础表面、分层抹灰找平、刷浆、洒水湿润、罩面压光等涉及的全部工序及人工费、机械费、材料费、措施费、不可竞争费、税金、水电费等全部费用。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167"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9</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刷(涂料)漆</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5600</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30元/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tcPr>
          <w:p>
            <w:pPr>
              <w:rPr>
                <w:rFonts w:ascii="宋体" w:hAnsi="宋体"/>
                <w:sz w:val="15"/>
                <w:szCs w:val="15"/>
              </w:rPr>
            </w:pPr>
            <w:r>
              <w:rPr>
                <w:rFonts w:hint="eastAsia" w:ascii="宋体" w:hAnsi="宋体"/>
                <w:sz w:val="15"/>
                <w:szCs w:val="15"/>
              </w:rPr>
              <w:t>包括基层清理、调料、遮盖不应喷处，批腻子、喷涂料、压平等涉及的全部工序及人工费、机械费、材料费、措施费、不可竞争费、税金、水电费等全部费用。不含轻钢龙骨隔墙面刷乳胶漆。</w:t>
            </w:r>
          </w:p>
        </w:tc>
      </w:tr>
      <w:tr>
        <w:tblPrEx>
          <w:tblLayout w:type="fixed"/>
          <w:tblCellMar>
            <w:top w:w="0" w:type="dxa"/>
            <w:left w:w="108" w:type="dxa"/>
            <w:bottom w:w="0" w:type="dxa"/>
            <w:right w:w="108" w:type="dxa"/>
          </w:tblCellMar>
        </w:tblPrEx>
        <w:trPr>
          <w:trHeight w:val="90"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10</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吊顶</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784</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110元/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tcPr>
          <w:p>
            <w:pPr>
              <w:rPr>
                <w:rFonts w:ascii="宋体" w:hAnsi="宋体"/>
                <w:sz w:val="15"/>
                <w:szCs w:val="15"/>
              </w:rPr>
            </w:pPr>
            <w:r>
              <w:rPr>
                <w:rFonts w:hint="eastAsia" w:ascii="宋体" w:hAnsi="宋体"/>
                <w:sz w:val="15"/>
                <w:szCs w:val="15"/>
              </w:rPr>
              <w:t>包括吊筋、龙骨、面层安装涉及的全部工序及人工费、机械费、材料费、措施费、不可竞争费、税金、水电费等全部费用。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205"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11</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屋面</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472</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145元/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tcPr>
          <w:p>
            <w:pPr>
              <w:rPr>
                <w:rFonts w:ascii="宋体" w:hAnsi="宋体"/>
                <w:sz w:val="15"/>
                <w:szCs w:val="15"/>
              </w:rPr>
            </w:pPr>
            <w:r>
              <w:rPr>
                <w:rFonts w:hint="eastAsia" w:ascii="宋体" w:hAnsi="宋体"/>
                <w:sz w:val="15"/>
                <w:szCs w:val="15"/>
              </w:rPr>
              <w:t>包括设计范围内的轻集料混凝土找坡层，保温层，水泥砂浆找平层，防水层，粒料保护层等涉及的全部工序及人工费、机械费、材料费、措施费、不可竞争费、税金、水电费等全部费用。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343"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12</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瓷砖粘贴</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1100</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140元/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tcPr>
          <w:p>
            <w:pPr>
              <w:rPr>
                <w:rFonts w:ascii="宋体" w:hAnsi="宋体"/>
                <w:sz w:val="15"/>
                <w:szCs w:val="15"/>
              </w:rPr>
            </w:pPr>
            <w:r>
              <w:rPr>
                <w:rFonts w:hint="eastAsia" w:ascii="宋体" w:hAnsi="宋体"/>
                <w:sz w:val="15"/>
                <w:szCs w:val="15"/>
              </w:rPr>
              <w:t>包括清理基层、调制水泥砂浆、刷素水泥浆、磨边、贴砖、擦缝、清理净面、成品养护等涉及的全部工序及人工费、机械费、材料费、措施费、不可竞争费、税金、水电费等全部费用。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131" w:hRule="atLeast"/>
        </w:trPr>
        <w:tc>
          <w:tcPr>
            <w:tcW w:w="14578" w:type="dxa"/>
            <w:gridSpan w:val="7"/>
            <w:tcBorders>
              <w:top w:val="single" w:color="auto" w:sz="4" w:space="0"/>
              <w:left w:val="single" w:color="auto" w:sz="4" w:space="0"/>
              <w:bottom w:val="single" w:color="auto" w:sz="4" w:space="0"/>
              <w:right w:val="single" w:color="auto" w:sz="4" w:space="0"/>
            </w:tcBorders>
            <w:noWrap/>
            <w:vAlign w:val="center"/>
          </w:tcPr>
          <w:p>
            <w:pPr>
              <w:rPr>
                <w:rFonts w:ascii="宋体" w:hAnsi="宋体"/>
                <w:sz w:val="18"/>
                <w:szCs w:val="18"/>
              </w:rPr>
            </w:pPr>
            <w:r>
              <w:rPr>
                <w:rFonts w:hint="eastAsia" w:ascii="宋体" w:hAnsi="宋体"/>
                <w:color w:val="000000"/>
                <w:sz w:val="18"/>
                <w:szCs w:val="18"/>
              </w:rPr>
              <w:t>二、除单价包干外工作量</w:t>
            </w:r>
          </w:p>
        </w:tc>
      </w:tr>
      <w:tr>
        <w:tblPrEx>
          <w:tblLayout w:type="fixed"/>
          <w:tblCellMar>
            <w:top w:w="0" w:type="dxa"/>
            <w:left w:w="108" w:type="dxa"/>
            <w:bottom w:w="0" w:type="dxa"/>
            <w:right w:w="108" w:type="dxa"/>
          </w:tblCellMar>
        </w:tblPrEx>
        <w:trPr>
          <w:trHeight w:val="245" w:hRule="atLeast"/>
        </w:trPr>
        <w:tc>
          <w:tcPr>
            <w:tcW w:w="7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13</w:t>
            </w:r>
          </w:p>
        </w:tc>
        <w:tc>
          <w:tcPr>
            <w:tcW w:w="2301" w:type="dxa"/>
            <w:tcBorders>
              <w:top w:val="nil"/>
              <w:left w:val="nil"/>
              <w:bottom w:val="single" w:color="auto" w:sz="4" w:space="0"/>
              <w:right w:val="single" w:color="auto" w:sz="4" w:space="0"/>
            </w:tcBorders>
            <w:vAlign w:val="center"/>
          </w:tcPr>
          <w:p>
            <w:pPr>
              <w:jc w:val="left"/>
              <w:rPr>
                <w:rFonts w:ascii="宋体" w:hAnsi="宋体"/>
                <w:color w:val="000000"/>
                <w:sz w:val="15"/>
                <w:szCs w:val="15"/>
                <w:u w:val="single"/>
              </w:rPr>
            </w:pPr>
            <w:r>
              <w:rPr>
                <w:rFonts w:hint="eastAsia" w:ascii="宋体" w:hAnsi="宋体"/>
                <w:sz w:val="15"/>
                <w:szCs w:val="15"/>
              </w:rPr>
              <w:t>优惠率（不包含材料费）</w:t>
            </w:r>
          </w:p>
        </w:tc>
        <w:tc>
          <w:tcPr>
            <w:tcW w:w="1798" w:type="dxa"/>
            <w:gridSpan w:val="2"/>
            <w:tcBorders>
              <w:top w:val="nil"/>
              <w:left w:val="nil"/>
              <w:bottom w:val="single" w:color="auto" w:sz="4" w:space="0"/>
              <w:right w:val="single" w:color="auto" w:sz="4" w:space="0"/>
            </w:tcBorders>
            <w:vAlign w:val="center"/>
          </w:tcPr>
          <w:p>
            <w:pPr>
              <w:ind w:left="180" w:hanging="150" w:hangingChars="100"/>
              <w:jc w:val="left"/>
              <w:rPr>
                <w:rFonts w:ascii="宋体" w:hAnsi="宋体"/>
                <w:color w:val="000000"/>
                <w:sz w:val="15"/>
                <w:szCs w:val="15"/>
              </w:rPr>
            </w:pPr>
            <w:r>
              <w:rPr>
                <w:rFonts w:hint="eastAsia" w:ascii="宋体" w:hAnsi="宋体"/>
                <w:bCs/>
                <w:sz w:val="15"/>
                <w:szCs w:val="15"/>
              </w:rPr>
              <w:t>暂估</w:t>
            </w:r>
            <w:r>
              <w:rPr>
                <w:rFonts w:hint="eastAsia" w:ascii="宋体" w:hAnsi="宋体"/>
                <w:sz w:val="15"/>
                <w:szCs w:val="15"/>
              </w:rPr>
              <w:t>金额200000 元</w:t>
            </w:r>
          </w:p>
        </w:tc>
        <w:tc>
          <w:tcPr>
            <w:tcW w:w="136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1%</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优惠</w:t>
            </w:r>
            <w:r>
              <w:rPr>
                <w:rFonts w:hint="eastAsia" w:ascii="宋体" w:hAnsi="宋体"/>
                <w:kern w:val="0"/>
                <w:sz w:val="15"/>
                <w:szCs w:val="15"/>
                <w:u w:val="single"/>
              </w:rPr>
              <w:t xml:space="preserve">      </w:t>
            </w:r>
            <w:r>
              <w:rPr>
                <w:rFonts w:hint="eastAsia" w:ascii="宋体" w:hAnsi="宋体"/>
                <w:kern w:val="0"/>
                <w:sz w:val="15"/>
                <w:szCs w:val="15"/>
              </w:rPr>
              <w:t>%</w:t>
            </w:r>
          </w:p>
        </w:tc>
        <w:tc>
          <w:tcPr>
            <w:tcW w:w="6695" w:type="dxa"/>
            <w:tcBorders>
              <w:top w:val="single" w:color="auto" w:sz="4" w:space="0"/>
              <w:left w:val="nil"/>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执行2018版安徽省建设工程计价定额及配套费用定额，材料费不参与总价优惠。措施项目费以现场确认形式据实计取，二次搬运费不计取。工作内容包括照明、给排水、采暖、防雷接地等。</w:t>
            </w:r>
          </w:p>
        </w:tc>
      </w:tr>
    </w:tbl>
    <w:p>
      <w:pPr>
        <w:spacing w:line="360" w:lineRule="auto"/>
        <w:rPr>
          <w:rFonts w:ascii="宋体" w:hAnsi="宋体" w:cs="宋体"/>
          <w:sz w:val="18"/>
          <w:szCs w:val="18"/>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ind w:firstLine="4096" w:firstLineChars="1700"/>
        <w:jc w:val="both"/>
        <w:rPr>
          <w:rFonts w:hint="eastAsia"/>
        </w:rPr>
      </w:pPr>
      <w:r>
        <w:rPr>
          <w:rFonts w:hint="eastAsia" w:ascii="宋体" w:hAnsi="宋体" w:cs="宋体"/>
          <w:b/>
          <w:sz w:val="24"/>
          <w:szCs w:val="24"/>
          <w:lang w:val="en-US" w:eastAsia="zh-CN"/>
        </w:rPr>
        <w:t>注</w:t>
      </w:r>
      <w:r>
        <w:rPr>
          <w:rFonts w:hint="eastAsia" w:ascii="宋体" w:hAnsi="宋体" w:cs="宋体"/>
          <w:b/>
          <w:sz w:val="24"/>
          <w:szCs w:val="24"/>
        </w:rPr>
        <w:t>：本报价单需加盖投标单位公章和</w:t>
      </w:r>
      <w:r>
        <w:rPr>
          <w:rFonts w:hint="eastAsia"/>
          <w:b/>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91886"/>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9C74F5E"/>
    <w:rsid w:val="0C4264BF"/>
    <w:rsid w:val="0CDA2242"/>
    <w:rsid w:val="0DFC1491"/>
    <w:rsid w:val="0F5072FB"/>
    <w:rsid w:val="1DC136C9"/>
    <w:rsid w:val="1F240430"/>
    <w:rsid w:val="214D2E1E"/>
    <w:rsid w:val="21F73AF2"/>
    <w:rsid w:val="22574413"/>
    <w:rsid w:val="23883F50"/>
    <w:rsid w:val="24C93CD8"/>
    <w:rsid w:val="24E835CF"/>
    <w:rsid w:val="282A37D0"/>
    <w:rsid w:val="2838415D"/>
    <w:rsid w:val="2B7C00FD"/>
    <w:rsid w:val="326329B3"/>
    <w:rsid w:val="33DF1EB4"/>
    <w:rsid w:val="34481C4C"/>
    <w:rsid w:val="414F268B"/>
    <w:rsid w:val="42BD7D8D"/>
    <w:rsid w:val="4494055D"/>
    <w:rsid w:val="452453F0"/>
    <w:rsid w:val="466D1141"/>
    <w:rsid w:val="47614EF9"/>
    <w:rsid w:val="492349FE"/>
    <w:rsid w:val="4F9F6F3E"/>
    <w:rsid w:val="52631A2B"/>
    <w:rsid w:val="529A772A"/>
    <w:rsid w:val="567534EE"/>
    <w:rsid w:val="582A7EEA"/>
    <w:rsid w:val="59A06F0E"/>
    <w:rsid w:val="5B0F0AB4"/>
    <w:rsid w:val="5D882CE0"/>
    <w:rsid w:val="64A26E4D"/>
    <w:rsid w:val="66296C18"/>
    <w:rsid w:val="6903317D"/>
    <w:rsid w:val="6A715D94"/>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15</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2022-01-04T07:01:46Z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D1A0F34327A0413C96BBF0182386BB71</vt:lpwstr>
  </property>
</Properties>
</file>