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制氧站低压氮透机组改扩建土建工程项目</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17</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18</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制氧站低压氮透机组改扩建土建工程项目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制氧站低压氮透机组改扩建土建工程项目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auto"/>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包含：设备基础、支架基础、地坪破除及恢复</w:t>
      </w:r>
      <w:r>
        <w:rPr>
          <w:rFonts w:hint="eastAsia" w:ascii="宋体" w:hAnsi="宋体"/>
          <w:color w:val="auto"/>
          <w:lang w:eastAsia="zh-CN"/>
        </w:rPr>
        <w:t>等施工</w:t>
      </w:r>
      <w:r>
        <w:rPr>
          <w:rFonts w:hint="eastAsia" w:ascii="宋体" w:hAnsi="宋体"/>
          <w:color w:val="auto"/>
          <w:lang w:val="en-US" w:eastAsia="zh-CN"/>
        </w:rPr>
        <w:t>。</w:t>
      </w:r>
    </w:p>
    <w:p>
      <w:pPr>
        <w:numPr>
          <w:ilvl w:val="0"/>
          <w:numId w:val="0"/>
        </w:numPr>
        <w:spacing w:line="360" w:lineRule="auto"/>
        <w:ind w:leftChars="0"/>
        <w:rPr>
          <w:rFonts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开工日期：2022年2月10日（暂定）                                          </w:t>
      </w:r>
    </w:p>
    <w:p>
      <w:pPr>
        <w:spacing w:line="360" w:lineRule="auto"/>
        <w:rPr>
          <w:rFonts w:hint="eastAsia" w:ascii="宋体" w:hAnsi="宋体"/>
          <w:color w:val="auto"/>
          <w:lang w:val="en-US" w:eastAsia="zh-CN"/>
        </w:rPr>
      </w:pPr>
      <w:r>
        <w:rPr>
          <w:rFonts w:hint="eastAsia" w:ascii="宋体" w:hAnsi="宋体"/>
          <w:color w:val="auto"/>
          <w:lang w:val="en-US" w:eastAsia="zh-CN"/>
        </w:rPr>
        <w:t xml:space="preserve">竣工日期：2022年3月12日                                              </w:t>
      </w:r>
    </w:p>
    <w:p>
      <w:pPr>
        <w:spacing w:line="360" w:lineRule="auto"/>
        <w:rPr>
          <w:rFonts w:ascii="宋体" w:hAnsi="宋体"/>
          <w:color w:val="auto"/>
        </w:rPr>
      </w:pPr>
      <w:r>
        <w:rPr>
          <w:rFonts w:hint="eastAsia" w:ascii="宋体" w:hAnsi="宋体"/>
          <w:color w:val="auto"/>
          <w:lang w:val="en-US" w:eastAsia="zh-CN"/>
        </w:rPr>
        <w:t>合同工期总日历天数30天</w:t>
      </w:r>
      <w:r>
        <w:rPr>
          <w:rFonts w:hint="eastAsia" w:ascii="宋体" w:hAnsi="宋体"/>
          <w:color w:val="auto"/>
          <w:lang w:val="en-US" w:eastAsia="zh-CN"/>
        </w:rPr>
        <w:t>。</w:t>
      </w:r>
      <w:r>
        <w:rPr>
          <w:rFonts w:hint="eastAsia" w:ascii="宋体" w:hAnsi="宋体" w:cs="宋体"/>
          <w:color w:val="auto"/>
          <w:kern w:val="36"/>
        </w:rPr>
        <w:t>具体开工时间以现场条</w:t>
      </w:r>
      <w:r>
        <w:rPr>
          <w:rFonts w:hint="eastAsia"/>
          <w:bCs/>
          <w:color w:val="auto"/>
          <w:kern w:val="36"/>
        </w:rPr>
        <w:t>件具备，发包人书面通知为准。</w:t>
      </w:r>
      <w:r>
        <w:rPr>
          <w:rFonts w:hint="eastAsia"/>
          <w:color w:val="auto"/>
          <w:kern w:val="36"/>
        </w:rPr>
        <w:t>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本工程预结算执行《建设工程结算管理暂行办法》。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钢筋由发包人提供，其他所有材料由承包人提供</w:t>
      </w:r>
      <w:r>
        <w:rPr>
          <w:rFonts w:hint="eastAsia" w:ascii="宋体" w:hAnsi="宋体" w:eastAsiaTheme="minorEastAsia" w:cstheme="minorBidi"/>
          <w:color w:val="auto"/>
          <w:kern w:val="2"/>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2021年第12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p>
    <w:p>
      <w:pPr>
        <w:numPr>
          <w:ilvl w:val="0"/>
          <w:numId w:val="2"/>
        </w:numPr>
        <w:spacing w:line="360" w:lineRule="exact"/>
        <w:ind w:left="420" w:leftChars="0" w:hanging="420"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auto"/>
          <w:lang w:eastAsia="zh-CN"/>
        </w:rPr>
      </w:pPr>
      <w:r>
        <w:rPr>
          <w:rFonts w:hint="eastAsia" w:ascii="宋体" w:hAnsi="宋体" w:cs="宋体"/>
          <w:color w:val="auto"/>
        </w:rPr>
        <w:t>2．双方约定的工程款（进度款）支付的方式：以上工程无预付款；</w:t>
      </w:r>
      <w:r>
        <w:rPr>
          <w:rFonts w:hint="eastAsia" w:ascii="宋体" w:hAnsi="宋体" w:cs="宋体"/>
          <w:color w:val="auto"/>
          <w:lang w:val="en-US" w:eastAsia="zh-CN"/>
        </w:rPr>
        <w:t>工程完工后付至已完</w:t>
      </w:r>
      <w:r>
        <w:rPr>
          <w:rFonts w:hint="eastAsia" w:ascii="宋体" w:hAnsi="宋体" w:cs="宋体"/>
          <w:color w:val="auto"/>
        </w:rPr>
        <w:t>工程量的70% ，付款前提供等额增值税专用发票。</w:t>
      </w:r>
    </w:p>
    <w:p>
      <w:pPr>
        <w:spacing w:line="360" w:lineRule="exact"/>
        <w:ind w:firstLine="420" w:firstLineChars="200"/>
        <w:rPr>
          <w:rFonts w:hint="eastAsia" w:ascii="宋体" w:hAnsi="宋体" w:cs="宋体"/>
          <w:color w:val="auto"/>
        </w:rPr>
      </w:pPr>
      <w:r>
        <w:rPr>
          <w:rFonts w:hint="eastAsia" w:ascii="宋体" w:hAnsi="宋体" w:cs="宋体"/>
          <w:color w:val="auto"/>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hint="eastAsia" w:ascii="宋体" w:hAnsi="宋体" w:cs="宋体"/>
          <w:color w:val="auto"/>
          <w:lang w:val="en-US" w:eastAsia="zh-CN"/>
        </w:rPr>
      </w:pPr>
      <w:r>
        <w:rPr>
          <w:rFonts w:hint="eastAsia" w:ascii="宋体" w:hAnsi="宋体" w:cs="宋体"/>
          <w:color w:val="auto"/>
        </w:rPr>
        <w:t>结算审核后承包人及时向发包人开具全额增值税专用发票</w:t>
      </w:r>
      <w:r>
        <w:rPr>
          <w:rFonts w:hint="eastAsia" w:ascii="宋体" w:hAnsi="宋体" w:cs="宋体"/>
          <w:color w:val="auto"/>
          <w:lang w:val="en-US" w:eastAsia="zh-CN"/>
        </w:rPr>
        <w:t>。</w:t>
      </w:r>
    </w:p>
    <w:p>
      <w:pPr>
        <w:widowControl/>
        <w:spacing w:beforeLines="50" w:afterLines="50" w:line="360" w:lineRule="exact"/>
        <w:rPr>
          <w:rFonts w:ascii="宋体" w:hAnsi="宋体" w:cs="宋体"/>
          <w:color w:val="auto"/>
        </w:rPr>
      </w:pPr>
      <w:r>
        <w:rPr>
          <w:rFonts w:ascii="宋体" w:hAnsi="宋体" w:cs="宋体"/>
          <w:color w:val="auto"/>
        </w:rPr>
        <w:t>3</w:t>
      </w:r>
      <w:r>
        <w:rPr>
          <w:rFonts w:hint="eastAsia" w:ascii="宋体" w:hAnsi="宋体" w:cs="宋体"/>
          <w:color w:val="auto"/>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W w:w="16287" w:type="dxa"/>
        <w:tblInd w:w="0" w:type="dxa"/>
        <w:shd w:val="clear"/>
        <w:tblLayout w:type="fixed"/>
        <w:tblCellMar>
          <w:top w:w="0" w:type="dxa"/>
          <w:left w:w="0" w:type="dxa"/>
          <w:bottom w:w="0" w:type="dxa"/>
          <w:right w:w="0" w:type="dxa"/>
        </w:tblCellMar>
      </w:tblPr>
      <w:tblGrid>
        <w:gridCol w:w="452"/>
        <w:gridCol w:w="2250"/>
        <w:gridCol w:w="1430"/>
        <w:gridCol w:w="540"/>
        <w:gridCol w:w="930"/>
        <w:gridCol w:w="10685"/>
      </w:tblGrid>
      <w:tr>
        <w:tblPrEx>
          <w:shd w:val="clear"/>
          <w:tblLayout w:type="fixed"/>
          <w:tblCellMar>
            <w:top w:w="0" w:type="dxa"/>
            <w:left w:w="0" w:type="dxa"/>
            <w:bottom w:w="0" w:type="dxa"/>
            <w:right w:w="0" w:type="dxa"/>
          </w:tblCellMar>
        </w:tblPrEx>
        <w:trPr>
          <w:trHeight w:val="405" w:hRule="atLeast"/>
        </w:trPr>
        <w:tc>
          <w:tcPr>
            <w:tcW w:w="16287" w:type="dxa"/>
            <w:gridSpan w:val="6"/>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bdr w:val="none" w:color="auto" w:sz="0" w:space="0"/>
                <w:lang w:val="en-US" w:eastAsia="zh-CN" w:bidi="ar"/>
              </w:rPr>
              <w:t>制氧站低压氮透机组改扩建土建工程项目报价单</w:t>
            </w:r>
          </w:p>
        </w:tc>
      </w:tr>
      <w:tr>
        <w:tblPrEx>
          <w:tblLayout w:type="fixed"/>
          <w:tblCellMar>
            <w:top w:w="0" w:type="dxa"/>
            <w:left w:w="0" w:type="dxa"/>
            <w:bottom w:w="0" w:type="dxa"/>
            <w:right w:w="0" w:type="dxa"/>
          </w:tblCellMar>
        </w:tblPrEx>
        <w:trPr>
          <w:trHeight w:val="27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分项名称</w:t>
            </w:r>
          </w:p>
        </w:tc>
        <w:tc>
          <w:tcPr>
            <w:tcW w:w="14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工程量</w:t>
            </w:r>
          </w:p>
        </w:tc>
        <w:tc>
          <w:tcPr>
            <w:tcW w:w="106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备注</w:t>
            </w:r>
          </w:p>
        </w:tc>
      </w:tr>
      <w:tr>
        <w:tblPrEx>
          <w:tblLayout w:type="fixed"/>
          <w:tblCellMar>
            <w:top w:w="0" w:type="dxa"/>
            <w:left w:w="0" w:type="dxa"/>
            <w:bottom w:w="0" w:type="dxa"/>
            <w:right w:w="0" w:type="dxa"/>
          </w:tblCellMar>
        </w:tblPrEx>
        <w:trPr>
          <w:trHeight w:val="50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土方挖运</w:t>
            </w:r>
          </w:p>
        </w:tc>
        <w:tc>
          <w:tcPr>
            <w:tcW w:w="1430" w:type="dxa"/>
            <w:vMerge w:val="restart"/>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21050280.01J01</w:t>
            </w:r>
          </w:p>
        </w:tc>
        <w:tc>
          <w:tcPr>
            <w:tcW w:w="5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ｍ3</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68</w:t>
            </w:r>
          </w:p>
        </w:tc>
        <w:tc>
          <w:tcPr>
            <w:tcW w:w="106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拦标价：80元/ｍ3。包括开挖、装车、外排、人工清底等涉及的全部工序及人工费、机械费、材料费、措施费、不可竞争费、税金、水电费等全部费用。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52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土方回填</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ｍ3</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06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拦标价：60元/ｍ3。包括装车、运输、回填、平整、夯实等涉及的全部工序及人工费、机械费、材料费、措施费、不可竞争费、税金、水电费等全部费用。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54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片石垫层</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ｍ3</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106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拦标价：380元/ｍ3。包括装车、运输、回填、平整、夯实等涉及的全部工序及人工费、机械费、材料费、措施费、不可竞争费、税金、水电费等全部费用。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54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级配碎石垫层</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ｍ3</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06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拦标价：430元/ｍ3。包括装车、运输、拌和、铺设、平整、夯实等涉及的全部工序及人工费、机械费、材料费、措施费、不可竞争费、税金、水电费等全部费用。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52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砼浇筑（基础砼，不含地坪恢复砼）</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ｍ3</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w:t>
            </w:r>
          </w:p>
        </w:tc>
        <w:tc>
          <w:tcPr>
            <w:tcW w:w="106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拦标价：1200元/ｍ3。包括卸车、运输、倒运、支模、对拉丝、浇筑、脚手架、养生等涉及的全部工序及人工费、机械费、材料费、措施费、不可竞争费、税金、水电费等全部费用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54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预埋件、预埋螺栓制安</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ｔ</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0.2</w:t>
            </w:r>
          </w:p>
        </w:tc>
        <w:tc>
          <w:tcPr>
            <w:tcW w:w="106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拦标价：13000元/t。包括卸车、运输、倒运、制作、安装、等涉及的全部工序及人工费、机械费、材料费、措施费、不可竞争费、税金、水电费等全部费用。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54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钢筋制安</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ｔ</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0.5</w:t>
            </w:r>
          </w:p>
        </w:tc>
        <w:tc>
          <w:tcPr>
            <w:tcW w:w="106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拦标价：1800元/t。包括卸车、运输、倒运、制作、安装等涉及的全部工序及人工费、机械费、材料费(不含钢筋材料费)、措施费、不可竞争费、税金、水电费等全部费用。</w:t>
            </w:r>
          </w:p>
        </w:tc>
      </w:tr>
      <w:tr>
        <w:tblPrEx>
          <w:tblLayout w:type="fixed"/>
          <w:tblCellMar>
            <w:top w:w="0" w:type="dxa"/>
            <w:left w:w="0" w:type="dxa"/>
            <w:bottom w:w="0" w:type="dxa"/>
            <w:right w:w="0" w:type="dxa"/>
          </w:tblCellMar>
        </w:tblPrEx>
        <w:trPr>
          <w:trHeight w:val="66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砼、钢筋砼拆除</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ｍ3</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06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拦标价：300元/ｍ3。包括拆除、装车、外排等涉及的全部工序及人工费、机械费、材料费、措施费、不可竞争费、税金、水电费等全部费用。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54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9</w:t>
            </w:r>
          </w:p>
        </w:tc>
        <w:tc>
          <w:tcPr>
            <w:tcW w:w="2250" w:type="dxa"/>
            <w:tcBorders>
              <w:top w:val="single" w:color="000000" w:sz="4" w:space="0"/>
              <w:left w:val="nil"/>
              <w:bottom w:val="single" w:color="000000" w:sz="4" w:space="0"/>
              <w:right w:val="nil"/>
            </w:tcBorders>
            <w:shd w:val="clear"/>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原墙开洞</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ｍ2</w:t>
            </w:r>
          </w:p>
        </w:tc>
        <w:tc>
          <w:tcPr>
            <w:tcW w:w="930"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0685" w:type="dxa"/>
            <w:tcBorders>
              <w:top w:val="single" w:color="000000" w:sz="4" w:space="0"/>
              <w:left w:val="nil"/>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拦标价：250元/ｍ2。包括墙体开洞、墙洞抹灰修复、垃圾清运等等涉及的全部工序及人工费、机械费、材料费、措施费、不可竞争费、税金、水电费等全部费用。</w:t>
            </w:r>
          </w:p>
        </w:tc>
      </w:tr>
      <w:tr>
        <w:tblPrEx>
          <w:tblLayout w:type="fixed"/>
          <w:tblCellMar>
            <w:top w:w="0" w:type="dxa"/>
            <w:left w:w="0" w:type="dxa"/>
            <w:bottom w:w="0" w:type="dxa"/>
            <w:right w:w="0" w:type="dxa"/>
          </w:tblCellMar>
        </w:tblPrEx>
        <w:trPr>
          <w:trHeight w:val="700" w:hRule="atLeast"/>
        </w:trPr>
        <w:tc>
          <w:tcPr>
            <w:tcW w:w="452" w:type="dxa"/>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10</w:t>
            </w:r>
          </w:p>
        </w:tc>
        <w:tc>
          <w:tcPr>
            <w:tcW w:w="225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优惠率（不包含材料费）</w:t>
            </w:r>
          </w:p>
        </w:tc>
        <w:tc>
          <w:tcPr>
            <w:tcW w:w="1430" w:type="dxa"/>
            <w:vMerge w:val="continue"/>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暂估金额10000元</w:t>
            </w:r>
          </w:p>
        </w:tc>
        <w:tc>
          <w:tcPr>
            <w:tcW w:w="1068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bookmarkStart w:id="3" w:name="_GoBack"/>
            <w:bookmarkEnd w:id="3"/>
            <w:r>
              <w:rPr>
                <w:rFonts w:hint="eastAsia" w:ascii="宋体" w:hAnsi="宋体" w:eastAsia="宋体" w:cs="宋体"/>
                <w:i w:val="0"/>
                <w:color w:val="000000"/>
                <w:kern w:val="0"/>
                <w:sz w:val="20"/>
                <w:szCs w:val="20"/>
                <w:u w:val="none"/>
                <w:bdr w:val="none" w:color="auto" w:sz="0" w:space="0"/>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532887698"/>
      <w:bookmarkStart w:id="2" w:name="_Toc15231775"/>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5F62028"/>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A33768E"/>
    <w:rsid w:val="1C7E1688"/>
    <w:rsid w:val="1C8160E7"/>
    <w:rsid w:val="1CAB7BE0"/>
    <w:rsid w:val="1DC136C9"/>
    <w:rsid w:val="214D2E1E"/>
    <w:rsid w:val="21D2437C"/>
    <w:rsid w:val="21F73AF2"/>
    <w:rsid w:val="23883F50"/>
    <w:rsid w:val="24C93CD8"/>
    <w:rsid w:val="24E835CF"/>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26C16C4"/>
    <w:rsid w:val="42B5472A"/>
    <w:rsid w:val="467B56CD"/>
    <w:rsid w:val="47807B49"/>
    <w:rsid w:val="4786146B"/>
    <w:rsid w:val="49806F97"/>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A06F0E"/>
    <w:rsid w:val="5ACF5D45"/>
    <w:rsid w:val="5D634D0C"/>
    <w:rsid w:val="5E513B46"/>
    <w:rsid w:val="5F297010"/>
    <w:rsid w:val="5F533CAB"/>
    <w:rsid w:val="607B250C"/>
    <w:rsid w:val="65100BCA"/>
    <w:rsid w:val="66296C18"/>
    <w:rsid w:val="67B90FFF"/>
    <w:rsid w:val="67E85B48"/>
    <w:rsid w:val="68BB783B"/>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2022-01-17T02:19:01Z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9C715AAECA884F55A9461866D6FA45E2</vt:lpwstr>
  </property>
</Properties>
</file>