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bookmarkStart w:id="3" w:name="_GoBack"/>
      <w:r>
        <w:rPr>
          <w:rFonts w:hint="eastAsia" w:ascii="宋体" w:hAnsi="宋体"/>
          <w:color w:val="auto"/>
          <w:sz w:val="36"/>
          <w:szCs w:val="32"/>
          <w:lang w:eastAsia="zh-CN"/>
        </w:rPr>
        <w:t>1号门通单身楼人车分流工程</w:t>
      </w:r>
      <w:r>
        <w:rPr>
          <w:rFonts w:hint="eastAsia" w:ascii="宋体" w:hAnsi="宋体"/>
          <w:color w:val="auto"/>
          <w:sz w:val="36"/>
          <w:szCs w:val="32"/>
          <w:lang w:val="en-US" w:eastAsia="zh-CN"/>
        </w:rPr>
        <w:t>项目</w:t>
      </w:r>
      <w:bookmarkEnd w:id="3"/>
    </w:p>
    <w:p>
      <w:pPr>
        <w:spacing w:before="156" w:beforeLines="50" w:after="156" w:afterLines="50" w:line="300" w:lineRule="auto"/>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建筑工程总</w:t>
      </w:r>
      <w:r>
        <w:rPr>
          <w:rFonts w:hint="eastAsia" w:ascii="宋体" w:hAnsi="宋体"/>
          <w:bCs/>
          <w:color w:val="FF0000"/>
          <w:sz w:val="24"/>
          <w:szCs w:val="24"/>
          <w:u w:val="none"/>
        </w:rPr>
        <w:t>承包叁级及以上资质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23</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FF0000"/>
          <w:kern w:val="36"/>
          <w:lang w:eastAsia="zh-CN"/>
        </w:rPr>
        <w:t>1号门通单身楼人车分流工程</w:t>
      </w:r>
      <w:r>
        <w:rPr>
          <w:rFonts w:hint="eastAsia" w:ascii="宋体" w:hAnsi="宋体" w:cs="宋体"/>
          <w:color w:val="FF0000"/>
          <w:kern w:val="36"/>
          <w:lang w:val="en-US" w:eastAsia="zh-CN"/>
        </w:rPr>
        <w:t>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FF0000"/>
          <w:kern w:val="36"/>
          <w:lang w:eastAsia="zh-CN"/>
        </w:rPr>
        <w:t>1号门通单身楼人车分流工程工程</w:t>
      </w:r>
      <w:r>
        <w:rPr>
          <w:rFonts w:hint="eastAsia" w:ascii="宋体" w:hAnsi="宋体" w:cs="宋体"/>
          <w:color w:val="FF0000"/>
          <w:kern w:val="36"/>
          <w:lang w:val="en-US" w:eastAsia="zh-CN"/>
        </w:rPr>
        <w:t>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机械开挖土方约550m3，土方回填约120m3，级配砂石、砂石垫层约160m3，道路级配碎石约30m3，片石垫层约50m3，粗砂隔离层约2m3，砼浇筑（不含围墙恢复）约60m3，钢筋制安约3t，植筋约1810根，成品侧石铺砌约450m，人行道砖铺设约1000m2，钢结构制安约15t，木结构制安约15m3，碎石灌浆垫层约10m3，砖砌台阶约20m2，防撞墩彩绘约20m2，铁路橡胶垫约5m，房屋拆除、围墙拆除恢复、路灯安装、电气安装等工程量</w:t>
      </w:r>
      <w:r>
        <w:rPr>
          <w:rFonts w:hint="eastAsia" w:ascii="宋体" w:hAnsi="宋体"/>
          <w:color w:val="auto"/>
          <w:lang w:val="en-US" w:eastAsia="zh-CN"/>
        </w:rPr>
        <w:t>。</w:t>
      </w:r>
    </w:p>
    <w:p>
      <w:pPr>
        <w:spacing w:line="360" w:lineRule="exact"/>
        <w:rPr>
          <w:rFonts w:hint="eastAsia" w:ascii="宋体" w:hAnsi="宋体"/>
          <w:color w:val="auto"/>
          <w:lang w:val="en-US" w:eastAsia="zh-CN"/>
        </w:rPr>
      </w:pPr>
      <w:r>
        <w:rPr>
          <w:rFonts w:hint="eastAsia" w:ascii="宋体" w:hAnsi="宋体"/>
          <w:color w:val="auto"/>
          <w:lang w:val="en-US" w:eastAsia="zh-CN"/>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 2022-3-7     （暂定）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 2021-5-16                                                    </w:t>
      </w:r>
    </w:p>
    <w:p>
      <w:pPr>
        <w:spacing w:line="360" w:lineRule="auto"/>
        <w:rPr>
          <w:rFonts w:ascii="宋体" w:hAnsi="宋体"/>
          <w:color w:val="auto"/>
        </w:rPr>
      </w:pPr>
      <w:r>
        <w:rPr>
          <w:rFonts w:hint="eastAsia" w:ascii="宋体" w:hAnsi="宋体"/>
          <w:color w:val="auto"/>
          <w:lang w:val="en-US" w:eastAsia="zh-CN"/>
        </w:rPr>
        <w:t>合同工期总日历天数 70 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ind w:firstLineChars="0"/>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color w:val="auto"/>
          <w:kern w:val="2"/>
          <w:sz w:val="21"/>
          <w:szCs w:val="22"/>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混凝土外不予调整，混凝土价格以2022年第1期芜湖市市场信息价为基准，芜湖市市场信息价没有的以合肥市市场信息价为基准，若施工期间材料单价涨跌幅超过±5%时，其超过部分据实调整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keepNext w:val="0"/>
        <w:keepLines w:val="0"/>
        <w:pageBreakBefore w:val="0"/>
        <w:widowControl w:val="0"/>
        <w:numPr>
          <w:ilvl w:val="0"/>
          <w:numId w:val="2"/>
        </w:numPr>
        <w:kinsoku/>
        <w:wordWrap/>
        <w:overflowPunct/>
        <w:topLinePunct w:val="0"/>
        <w:autoSpaceDE/>
        <w:autoSpaceDN/>
        <w:bidi w:val="0"/>
        <w:adjustRightInd/>
        <w:spacing w:before="156" w:beforeLines="50" w:after="156" w:afterLines="50" w:line="240" w:lineRule="auto"/>
        <w:textAlignment w:val="auto"/>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0"/>
        </w:numPr>
        <w:suppressLineNumbers w:val="0"/>
        <w:ind w:leftChars="0"/>
        <w:jc w:val="left"/>
        <w:rPr>
          <w:rFonts w:ascii="宋体" w:hAnsi="宋体"/>
          <w:bCs/>
          <w:color w:val="auto"/>
        </w:rPr>
      </w:pPr>
      <w:r>
        <w:rPr>
          <w:rFonts w:hint="eastAsia" w:ascii="宋体" w:hAnsi="宋体" w:cs="宋体"/>
          <w:bCs/>
          <w:strike w:val="0"/>
          <w:dstrike w:val="0"/>
          <w:color w:val="FF0000"/>
          <w:lang w:val="en-US" w:eastAsia="zh-CN"/>
        </w:rPr>
        <w:t>13. 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工程完工后付至已完</w:t>
      </w:r>
      <w:r>
        <w:rPr>
          <w:rFonts w:hint="eastAsia" w:ascii="宋体" w:hAnsi="宋体" w:cs="宋体"/>
          <w:color w:val="auto"/>
        </w:rPr>
        <w:t>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035"/>
        <w:gridCol w:w="540"/>
        <w:gridCol w:w="930"/>
        <w:gridCol w:w="10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1号门通单身楼人车分流工程报价单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机械开挖土方</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550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拦标价：35元/m3，包括开挖、装车、外排（外运5km）人工清底等涉及的全部工序及人工费、机械费、材料费、措施费、不可竞争费、税金、水电费等全部费用。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土方回填</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拦标价：35元/m3，包括装车、运输、回填、平整、夯实等涉及的全部工序及人工费、机械费、材料费、措施费、不可竞争费、税金、水电费等全部费用。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级配砂石、砂石垫层</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160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拦标价：400元/m3，包括装车、运输、拌和、铺设、平整、夯实等涉及的全部工序及人工费、机械费、材料费、措施费、不可竞争费、税金、水电费等全部费用。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道路级配碎石</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拦标价：350元/m3，包括装车、运输、拌和、铺设、平整、夯实等涉及的全部工序及人工费、机械费、材料费、措施费、不可竞争费、税金、水电费等全部费用。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片石垫层</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拦标价：300元/m3，包括装车、运输、铺设、平整、夯实等涉及的全部工序及人工费、机械费、材料费、措施费、不可竞争费、税金、水电费等全部费用。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粗砂隔离层</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拦标价：400元/m3，包括装车、运输、铺设、平整、夯实等涉及的全部工序及人工费、机械费、材料费、措施费、不可竞争费、税金、水电费等全部费用。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砼浇筑（不含围墙恢复）</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60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拦标价：880元/m3，包括卸车、运输、倒运、支模、对拉丝、浇筑、脚手架、养生、路面刻痕、伸缩缝施工等涉及的全部工序及人工费、机械费、材料费、措施费、不可竞争费、税金、水电费等全部费用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钢筋制安</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拦标价：1500元/t，包括卸车、运输、倒运、制作、安装等涉及的全部工序及人工费、机械费、材料费(不含钢筋材料费)、措施费、不可竞争费、税金、水电费等全部费用。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钢筋在厂内的倒运费用</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3</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拦标价：50元/t，包括发包人提供的钢筋在厂内的提料、运输、卸车等涉及的全部工序及人工费、机械费、材料费、措施费、不可竞争费、税金、水电费等全部费用。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植筋</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根</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1810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拦标价：4元/根，包括打孔、清理、安置钢筋、灌胶等涉及的全部工序及人工费、机械费、材料费、措施费、不可竞争费、税金、水电费等全部费用。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成品侧石铺砌</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450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拦标价：40元/m，包括搅拌、调、运、铺砂浆，侧石铺砌等涉及的全部工序及人工费、机械费、材料费、措施费、不可竞争费、税金、水电费等全部费用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人行道砖铺设</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1000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拦标价：90元/m2，包括搅拌、调、运、铺砂浆、铺砌块料面层、扫缝等涉及的全部工序及人工费、机械费、材料费、措施费、不可竞争费、税金、水电费等全部费用。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钢结构制安</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ｔ</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拦标价：10000元/t，包括卸车、运输、倒运、制作、安装、除锈刷漆、脚手架等涉及的全部工序及人工费、机械费、材料费、措施费、不可竞争费、税金、水电费等全部费用。包含预埋件、观景桥钢结构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木结构制安</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拦标价：4700元/m3，包括卸车、运输、倒运、制作、安装、刷漆、脚手架等涉及的全部工序及人工费、机械费、材料费、措施费、不可竞争费、税金、水电费等全部费用。包含木龙骨、桥面木板、木栏杆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碎石灌浆垫层</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拦标价：450元/m3，包括装车、运输、拌和、铺设、平整、夯实等涉及的全部工序及人工费、机械费、材料费、措施费、不可竞争费、税金、水电费等全部费用。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砖砌台阶</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拦标价：160元/m2，包括卸车、运输、倒运、砌砖、台阶表面抹砂浆等涉及的全部工序及人工费、机械费、材料费、措施费、不可竞争费、税金、水电费等全部费用。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17</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防撞墩彩绘</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20</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拦标价：160元/m2，包括表面清理、找平、彩绘等涉及的全部工序及人工费、机械费、材料费、措施费、不可竞争费、税金、水电费等全部费用。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铁路橡胶垫</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ｍ</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5</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拦标价：3000元/m，包括基层清理、橡胶垫铺设等涉及的全部工序及人工费、机械费、材料费、措施费、不可竞争费、税金、水电费等全部费用。以成品沿轨道方向长度量计算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19</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优惠率（不包含材料费）</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5"/>
                <w:szCs w:val="15"/>
                <w:u w:val="none"/>
              </w:rPr>
            </w:pP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暂估金额60000元</w:t>
            </w:r>
          </w:p>
        </w:tc>
        <w:tc>
          <w:tcPr>
            <w:tcW w:w="107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bdr w:val="none" w:color="auto" w:sz="0" w:space="0"/>
                <w:lang w:val="en-US" w:eastAsia="zh-CN" w:bidi="ar"/>
              </w:rPr>
              <w:t>拦标价：59400元。执行2018版安徽省建设工程计价定额及配套费用定额，材料费不参与总价优惠。措施项目费以现场确认形式据实计取，二次搬运费不计取。（含房屋拆除、围墙拆除恢复、路灯安装、电气安装等）</w:t>
            </w:r>
          </w:p>
        </w:tc>
      </w:tr>
    </w:tbl>
    <w:p>
      <w:pPr>
        <w:keepNext w:val="0"/>
        <w:keepLines w:val="0"/>
        <w:pageBreakBefore w:val="0"/>
        <w:widowControl w:val="0"/>
        <w:tabs>
          <w:tab w:val="left" w:pos="11340"/>
        </w:tabs>
        <w:kinsoku/>
        <w:wordWrap/>
        <w:overflowPunct/>
        <w:topLinePunct w:val="0"/>
        <w:autoSpaceDE/>
        <w:autoSpaceDN/>
        <w:bidi w:val="0"/>
        <w:adjustRightInd/>
        <w:snapToGrid/>
        <w:spacing w:line="288" w:lineRule="auto"/>
        <w:textAlignment w:val="auto"/>
        <w:rPr>
          <w:rFonts w:hint="eastAsia" w:ascii="宋体" w:hAnsi="宋体"/>
          <w:b w:val="0"/>
          <w:bCs w:val="0"/>
          <w:sz w:val="15"/>
          <w:szCs w:val="15"/>
          <w:highlight w:val="none"/>
          <w:lang w:val="en-US" w:eastAsia="zh-CN"/>
        </w:rPr>
      </w:pPr>
    </w:p>
    <w:p>
      <w:pPr>
        <w:tabs>
          <w:tab w:val="left" w:pos="720"/>
          <w:tab w:val="left" w:pos="7200"/>
        </w:tabs>
        <w:snapToGrid w:val="0"/>
        <w:spacing w:line="240" w:lineRule="auto"/>
        <w:ind w:firstLine="211" w:firstLineChars="100"/>
        <w:rPr>
          <w:b/>
          <w:color w:val="auto"/>
        </w:rPr>
        <w:sectPr>
          <w:pgSz w:w="16840" w:h="11900" w:orient="landscape"/>
          <w:pgMar w:top="1361" w:right="1582" w:bottom="981" w:left="278" w:header="720" w:footer="720" w:gutter="0"/>
          <w:cols w:space="0" w:num="1"/>
          <w:rtlGutter w:val="0"/>
          <w:docGrid w:linePitch="0" w:charSpace="0"/>
        </w:sectPr>
      </w:pP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6192C"/>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0F71D7"/>
    <w:rsid w:val="0F454D3F"/>
    <w:rsid w:val="104501EF"/>
    <w:rsid w:val="121B22D6"/>
    <w:rsid w:val="133E6E16"/>
    <w:rsid w:val="13B43725"/>
    <w:rsid w:val="140F383A"/>
    <w:rsid w:val="14197C48"/>
    <w:rsid w:val="15D2007E"/>
    <w:rsid w:val="1A33768E"/>
    <w:rsid w:val="1B0616D0"/>
    <w:rsid w:val="1C7E1688"/>
    <w:rsid w:val="1C8160E7"/>
    <w:rsid w:val="1CAB7BE0"/>
    <w:rsid w:val="1DC136C9"/>
    <w:rsid w:val="202F3A4D"/>
    <w:rsid w:val="209B4FA7"/>
    <w:rsid w:val="214D2E1E"/>
    <w:rsid w:val="21D2437C"/>
    <w:rsid w:val="21F73AF2"/>
    <w:rsid w:val="23883F50"/>
    <w:rsid w:val="24C93CD8"/>
    <w:rsid w:val="24E835CF"/>
    <w:rsid w:val="251B0931"/>
    <w:rsid w:val="26890390"/>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549187D"/>
    <w:rsid w:val="4588524B"/>
    <w:rsid w:val="467B56CD"/>
    <w:rsid w:val="47807B49"/>
    <w:rsid w:val="4786146B"/>
    <w:rsid w:val="49806F97"/>
    <w:rsid w:val="4A1D777A"/>
    <w:rsid w:val="4B2C6678"/>
    <w:rsid w:val="4BEB70CE"/>
    <w:rsid w:val="4C2439BA"/>
    <w:rsid w:val="4C2468E8"/>
    <w:rsid w:val="4C6D4D7D"/>
    <w:rsid w:val="4C6F1F1E"/>
    <w:rsid w:val="4EF83610"/>
    <w:rsid w:val="4FC1072C"/>
    <w:rsid w:val="507448EE"/>
    <w:rsid w:val="51C85998"/>
    <w:rsid w:val="526A207D"/>
    <w:rsid w:val="53966193"/>
    <w:rsid w:val="54DA0463"/>
    <w:rsid w:val="558D3BDC"/>
    <w:rsid w:val="56266223"/>
    <w:rsid w:val="56F435CB"/>
    <w:rsid w:val="57181B7C"/>
    <w:rsid w:val="576601DC"/>
    <w:rsid w:val="579A163B"/>
    <w:rsid w:val="58251DDC"/>
    <w:rsid w:val="5953468B"/>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512B28"/>
    <w:rsid w:val="7481717E"/>
    <w:rsid w:val="74E73BF7"/>
    <w:rsid w:val="75037D3A"/>
    <w:rsid w:val="76336AFB"/>
    <w:rsid w:val="765207B1"/>
    <w:rsid w:val="766E4B35"/>
    <w:rsid w:val="77676C2F"/>
    <w:rsid w:val="782F64FC"/>
    <w:rsid w:val="79640C5E"/>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3</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2022-02-22T07:51:05Z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